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E48" w:rsidRDefault="007E7BD4">
      <w:pPr>
        <w:divId w:val="1132095088"/>
        <w:rPr>
          <w:rFonts w:eastAsia="Times New Roman"/>
        </w:rPr>
      </w:pPr>
      <w:r w:rsidRPr="007E7BD4">
        <w:rPr>
          <w:rFonts w:eastAsia="Times New Roman"/>
        </w:rPr>
        <w:pict>
          <v:rect id="_x0000_i1025" style="width:0;height:3pt" o:hralign="center" o:hrstd="t" o:hrnoshade="t" o:hr="t" fillcolor="black" stroked="f"/>
        </w:pict>
      </w:r>
    </w:p>
    <w:p w:rsidR="00D27E48" w:rsidRDefault="007E7BD4" w:rsidP="00DA513A">
      <w:pPr>
        <w:divId w:val="1132095088"/>
        <w:rPr>
          <w:rFonts w:eastAsia="Times New Roman"/>
        </w:rPr>
      </w:pPr>
      <w:r w:rsidRPr="007E7BD4">
        <w:rPr>
          <w:rFonts w:eastAsia="Times New Roman"/>
        </w:rPr>
        <w:pict>
          <v:rect id="_x0000_i1026" style="width:0;height:.75pt" o:hralign="center" o:hrstd="t" o:hrnoshade="t" o:hr="t" fillcolor="black" stroked="f"/>
        </w:pict>
      </w:r>
    </w:p>
    <w:p w:rsidR="00D27E48" w:rsidRDefault="00D27E48">
      <w:pPr>
        <w:pStyle w:val="NormalWeb"/>
        <w:spacing w:before="0" w:beforeAutospacing="0" w:after="0" w:afterAutospacing="0" w:line="320" w:lineRule="atLeast"/>
        <w:jc w:val="center"/>
        <w:rPr>
          <w:sz w:val="28"/>
          <w:szCs w:val="28"/>
        </w:rPr>
      </w:pPr>
      <w:r>
        <w:rPr>
          <w:b/>
          <w:bCs/>
          <w:sz w:val="28"/>
          <w:szCs w:val="28"/>
        </w:rPr>
        <w:t>UNITED STATES</w:t>
      </w:r>
    </w:p>
    <w:p w:rsidR="00D27E48" w:rsidRDefault="00D27E48">
      <w:pPr>
        <w:pStyle w:val="NormalWeb"/>
        <w:spacing w:before="0" w:beforeAutospacing="0" w:after="0" w:afterAutospacing="0" w:line="320" w:lineRule="atLeast"/>
        <w:jc w:val="center"/>
        <w:rPr>
          <w:sz w:val="28"/>
          <w:szCs w:val="28"/>
        </w:rPr>
      </w:pPr>
      <w:r>
        <w:rPr>
          <w:b/>
          <w:bCs/>
          <w:sz w:val="28"/>
          <w:szCs w:val="28"/>
        </w:rPr>
        <w:t>SECURITIES AND EXCHANGE COMMISSION</w:t>
      </w:r>
    </w:p>
    <w:p w:rsidR="00D27E48" w:rsidRDefault="00D27E48">
      <w:pPr>
        <w:pStyle w:val="NormalWeb"/>
        <w:spacing w:before="0" w:beforeAutospacing="0" w:after="0" w:afterAutospacing="0"/>
        <w:jc w:val="center"/>
      </w:pPr>
      <w:r>
        <w:rPr>
          <w:b/>
          <w:bCs/>
        </w:rPr>
        <w:t>Washington, D.C. 20549</w:t>
      </w:r>
    </w:p>
    <w:p w:rsidR="00D27E48" w:rsidRDefault="00D27E48">
      <w:pPr>
        <w:pStyle w:val="NormalWeb"/>
        <w:spacing w:before="0" w:beforeAutospacing="0" w:after="0" w:afterAutospacing="0"/>
        <w:jc w:val="center"/>
      </w:pPr>
    </w:p>
    <w:p w:rsidR="00D27E48" w:rsidRDefault="00D27E48">
      <w:pPr>
        <w:pStyle w:val="NormalWeb"/>
        <w:spacing w:before="0" w:beforeAutospacing="0" w:after="0" w:afterAutospacing="0"/>
        <w:jc w:val="center"/>
      </w:pPr>
      <w:r>
        <w:t>———————</w:t>
      </w:r>
    </w:p>
    <w:p w:rsidR="00D27E48" w:rsidRDefault="00D27E48">
      <w:pPr>
        <w:pStyle w:val="NormalWeb"/>
        <w:spacing w:before="0" w:beforeAutospacing="0" w:after="0" w:afterAutospacing="0" w:line="320" w:lineRule="atLeast"/>
        <w:jc w:val="center"/>
        <w:rPr>
          <w:sz w:val="28"/>
          <w:szCs w:val="28"/>
        </w:rPr>
      </w:pPr>
      <w:r>
        <w:rPr>
          <w:b/>
          <w:bCs/>
          <w:sz w:val="28"/>
          <w:szCs w:val="28"/>
        </w:rPr>
        <w:t>FORM 10-Q</w:t>
      </w:r>
    </w:p>
    <w:p w:rsidR="00D27E48" w:rsidRDefault="00D27E48">
      <w:pPr>
        <w:pStyle w:val="NormalWeb"/>
        <w:spacing w:before="0" w:beforeAutospacing="0" w:after="0" w:afterAutospacing="0"/>
        <w:jc w:val="center"/>
      </w:pPr>
      <w:r>
        <w:t>———————</w:t>
      </w:r>
    </w:p>
    <w:p w:rsidR="00D27E48" w:rsidRDefault="00D27E48">
      <w:pPr>
        <w:pStyle w:val="NormalWeb"/>
        <w:spacing w:before="0" w:beforeAutospacing="0" w:after="0" w:afterAutospacing="0"/>
        <w:jc w:val="center"/>
      </w:pPr>
      <w:r>
        <w:t>(Mark One)</w:t>
      </w:r>
    </w:p>
    <w:p w:rsidR="00D27E48" w:rsidRDefault="00D27E48">
      <w:pPr>
        <w:pStyle w:val="NormalWeb"/>
        <w:spacing w:before="0" w:beforeAutospacing="0" w:after="0" w:afterAutospacing="0"/>
        <w:jc w:val="center"/>
      </w:pPr>
    </w:p>
    <w:tbl>
      <w:tblPr>
        <w:tblW w:w="0" w:type="auto"/>
        <w:jc w:val="center"/>
        <w:tblCellSpacing w:w="0" w:type="dxa"/>
        <w:tblCellMar>
          <w:top w:w="15" w:type="dxa"/>
          <w:left w:w="15" w:type="dxa"/>
          <w:bottom w:w="15" w:type="dxa"/>
          <w:right w:w="15" w:type="dxa"/>
        </w:tblCellMar>
        <w:tblLook w:val="04A0"/>
      </w:tblPr>
      <w:tblGrid>
        <w:gridCol w:w="285"/>
        <w:gridCol w:w="10515"/>
      </w:tblGrid>
      <w:tr w:rsidR="00D27E48" w:rsidTr="00DA513A">
        <w:trPr>
          <w:tblCellSpacing w:w="0" w:type="dxa"/>
          <w:jc w:val="center"/>
        </w:trPr>
        <w:tc>
          <w:tcPr>
            <w:tcW w:w="285" w:type="dxa"/>
            <w:vAlign w:val="center"/>
            <w:hideMark/>
          </w:tcPr>
          <w:p w:rsidR="00D27E48" w:rsidRDefault="00D27E48">
            <w:pPr>
              <w:rPr>
                <w:rFonts w:eastAsia="Times New Roman"/>
                <w:sz w:val="1"/>
                <w:szCs w:val="2"/>
              </w:rPr>
            </w:pPr>
          </w:p>
        </w:tc>
        <w:tc>
          <w:tcPr>
            <w:tcW w:w="10515" w:type="dxa"/>
            <w:vAlign w:val="center"/>
            <w:hideMark/>
          </w:tcPr>
          <w:p w:rsidR="00D27E48" w:rsidRDefault="00D27E48">
            <w:pPr>
              <w:rPr>
                <w:rFonts w:eastAsia="Times New Roman"/>
                <w:sz w:val="1"/>
                <w:szCs w:val="2"/>
              </w:rPr>
            </w:pPr>
          </w:p>
        </w:tc>
      </w:tr>
      <w:tr w:rsidR="00D27E48" w:rsidTr="00DA513A">
        <w:trPr>
          <w:tblCellSpacing w:w="0" w:type="dxa"/>
          <w:jc w:val="center"/>
        </w:trPr>
        <w:tc>
          <w:tcPr>
            <w:tcW w:w="285" w:type="dxa"/>
            <w:tcBorders>
              <w:top w:val="single" w:sz="4" w:space="0" w:color="000000"/>
              <w:left w:val="single" w:sz="4" w:space="0" w:color="000000"/>
              <w:bottom w:val="single" w:sz="4" w:space="0" w:color="000000"/>
              <w:right w:val="single" w:sz="4" w:space="0" w:color="000000"/>
            </w:tcBorders>
            <w:hideMark/>
          </w:tcPr>
          <w:p w:rsidR="00D27E48" w:rsidRDefault="00D27E48">
            <w:pPr>
              <w:pStyle w:val="NormalWeb"/>
              <w:spacing w:before="0" w:beforeAutospacing="0" w:after="0" w:afterAutospacing="0"/>
              <w:jc w:val="center"/>
              <w:rPr>
                <w:sz w:val="20"/>
                <w:szCs w:val="20"/>
              </w:rPr>
            </w:pPr>
            <w:r>
              <w:rPr>
                <w:b/>
                <w:bCs/>
                <w:sz w:val="20"/>
                <w:szCs w:val="20"/>
              </w:rPr>
              <w:t>X</w:t>
            </w:r>
          </w:p>
        </w:tc>
        <w:tc>
          <w:tcPr>
            <w:tcW w:w="10515" w:type="dxa"/>
            <w:hideMark/>
          </w:tcPr>
          <w:p w:rsidR="00D27E48" w:rsidRDefault="00D27E48">
            <w:pPr>
              <w:pStyle w:val="NormalWeb"/>
              <w:spacing w:before="0" w:beforeAutospacing="0" w:after="0" w:afterAutospacing="0"/>
              <w:rPr>
                <w:sz w:val="20"/>
                <w:szCs w:val="20"/>
              </w:rPr>
            </w:pPr>
            <w:r>
              <w:rPr>
                <w:b/>
                <w:bCs/>
                <w:sz w:val="20"/>
                <w:szCs w:val="20"/>
              </w:rPr>
              <w:t> QUARTERLY REPORT PURSUANT TO SECTION 13 OR 15(d) OF THE SECURITIES EXCHANGE ACT OF 1934</w:t>
            </w:r>
          </w:p>
        </w:tc>
      </w:tr>
      <w:tr w:rsidR="00D27E48">
        <w:trPr>
          <w:tblCellSpacing w:w="0" w:type="dxa"/>
          <w:jc w:val="center"/>
        </w:trPr>
        <w:tc>
          <w:tcPr>
            <w:tcW w:w="10800" w:type="dxa"/>
            <w:gridSpan w:val="2"/>
            <w:hideMark/>
          </w:tcPr>
          <w:p w:rsidR="00D27E48" w:rsidRDefault="00D27E48">
            <w:pPr>
              <w:pStyle w:val="NormalWeb"/>
              <w:spacing w:before="0" w:beforeAutospacing="0" w:after="0" w:afterAutospacing="0"/>
              <w:jc w:val="center"/>
              <w:rPr>
                <w:sz w:val="20"/>
                <w:szCs w:val="20"/>
              </w:rPr>
            </w:pPr>
            <w:r>
              <w:rPr>
                <w:sz w:val="20"/>
                <w:szCs w:val="20"/>
              </w:rPr>
              <w:t xml:space="preserve">For the quarterly period ended: </w:t>
            </w:r>
            <w:r>
              <w:rPr>
                <w:b/>
                <w:bCs/>
                <w:sz w:val="20"/>
                <w:szCs w:val="20"/>
              </w:rPr>
              <w:t>December 31, 2011</w:t>
            </w:r>
          </w:p>
        </w:tc>
      </w:tr>
      <w:tr w:rsidR="00D27E48">
        <w:trPr>
          <w:tblCellSpacing w:w="0" w:type="dxa"/>
          <w:jc w:val="center"/>
        </w:trPr>
        <w:tc>
          <w:tcPr>
            <w:tcW w:w="10800" w:type="dxa"/>
            <w:gridSpan w:val="2"/>
            <w:hideMark/>
          </w:tcPr>
          <w:p w:rsidR="00D27E48" w:rsidRDefault="00D27E48">
            <w:pPr>
              <w:pStyle w:val="NormalWeb"/>
              <w:spacing w:before="0" w:beforeAutospacing="0" w:after="0" w:afterAutospacing="0"/>
              <w:jc w:val="center"/>
              <w:rPr>
                <w:sz w:val="20"/>
                <w:szCs w:val="20"/>
              </w:rPr>
            </w:pPr>
            <w:r>
              <w:rPr>
                <w:sz w:val="20"/>
                <w:szCs w:val="20"/>
              </w:rPr>
              <w:t>Or</w:t>
            </w:r>
          </w:p>
        </w:tc>
      </w:tr>
      <w:tr w:rsidR="00D27E48" w:rsidTr="00DA513A">
        <w:trPr>
          <w:tblCellSpacing w:w="0" w:type="dxa"/>
          <w:jc w:val="center"/>
        </w:trPr>
        <w:tc>
          <w:tcPr>
            <w:tcW w:w="285" w:type="dxa"/>
            <w:hideMark/>
          </w:tcPr>
          <w:p w:rsidR="00D27E48" w:rsidRDefault="00D27E48">
            <w:pPr>
              <w:pStyle w:val="NormalWeb"/>
              <w:rPr>
                <w:sz w:val="20"/>
                <w:szCs w:val="20"/>
              </w:rPr>
            </w:pPr>
            <w:r>
              <w:rPr>
                <w:sz w:val="20"/>
                <w:szCs w:val="20"/>
              </w:rPr>
              <w:t> </w:t>
            </w:r>
          </w:p>
        </w:tc>
        <w:tc>
          <w:tcPr>
            <w:tcW w:w="10515" w:type="dxa"/>
            <w:hideMark/>
          </w:tcPr>
          <w:p w:rsidR="00D27E48" w:rsidRDefault="00D27E48">
            <w:pPr>
              <w:pStyle w:val="NormalWeb"/>
              <w:rPr>
                <w:sz w:val="20"/>
                <w:szCs w:val="20"/>
              </w:rPr>
            </w:pPr>
            <w:r>
              <w:rPr>
                <w:sz w:val="20"/>
                <w:szCs w:val="20"/>
              </w:rPr>
              <w:t> </w:t>
            </w:r>
          </w:p>
        </w:tc>
      </w:tr>
      <w:tr w:rsidR="00D27E48" w:rsidTr="00DA513A">
        <w:trPr>
          <w:tblCellSpacing w:w="0" w:type="dxa"/>
          <w:jc w:val="center"/>
        </w:trPr>
        <w:tc>
          <w:tcPr>
            <w:tcW w:w="285" w:type="dxa"/>
            <w:tcBorders>
              <w:top w:val="single" w:sz="4" w:space="0" w:color="000000"/>
              <w:left w:val="single" w:sz="4" w:space="0" w:color="000000"/>
              <w:bottom w:val="single" w:sz="4" w:space="0" w:color="000000"/>
              <w:right w:val="single" w:sz="4" w:space="0" w:color="000000"/>
            </w:tcBorders>
            <w:hideMark/>
          </w:tcPr>
          <w:p w:rsidR="00D27E48" w:rsidRDefault="00D27E48">
            <w:pPr>
              <w:rPr>
                <w:rFonts w:eastAsia="Times New Roman"/>
                <w:sz w:val="20"/>
                <w:szCs w:val="20"/>
              </w:rPr>
            </w:pPr>
          </w:p>
        </w:tc>
        <w:tc>
          <w:tcPr>
            <w:tcW w:w="10515" w:type="dxa"/>
            <w:hideMark/>
          </w:tcPr>
          <w:p w:rsidR="00D27E48" w:rsidRDefault="00D27E48">
            <w:pPr>
              <w:pStyle w:val="NormalWeb"/>
              <w:spacing w:before="0" w:beforeAutospacing="0" w:after="0" w:afterAutospacing="0"/>
              <w:rPr>
                <w:sz w:val="20"/>
                <w:szCs w:val="20"/>
              </w:rPr>
            </w:pPr>
            <w:r>
              <w:rPr>
                <w:b/>
                <w:bCs/>
                <w:sz w:val="20"/>
                <w:szCs w:val="20"/>
              </w:rPr>
              <w:t> TRANSITION REPORT PURSUANT TO SECTION 13 OR 15(d) OF THE SECURITIES EXCHANGE  ACT OF 1934</w:t>
            </w:r>
          </w:p>
        </w:tc>
      </w:tr>
      <w:tr w:rsidR="00D27E48">
        <w:trPr>
          <w:tblCellSpacing w:w="0" w:type="dxa"/>
          <w:jc w:val="center"/>
        </w:trPr>
        <w:tc>
          <w:tcPr>
            <w:tcW w:w="10800" w:type="dxa"/>
            <w:gridSpan w:val="2"/>
            <w:hideMark/>
          </w:tcPr>
          <w:p w:rsidR="00D27E48" w:rsidRDefault="00D27E48">
            <w:pPr>
              <w:pStyle w:val="NormalWeb"/>
              <w:spacing w:before="0" w:beforeAutospacing="0" w:after="0" w:afterAutospacing="0"/>
              <w:jc w:val="center"/>
              <w:rPr>
                <w:sz w:val="20"/>
                <w:szCs w:val="20"/>
              </w:rPr>
            </w:pPr>
            <w:r>
              <w:rPr>
                <w:sz w:val="20"/>
                <w:szCs w:val="20"/>
              </w:rPr>
              <w:t>For the transition period from: _____________ to _____________</w:t>
            </w:r>
          </w:p>
        </w:tc>
      </w:tr>
    </w:tbl>
    <w:p w:rsidR="00D27E48" w:rsidRDefault="00D27E48">
      <w:pPr>
        <w:pStyle w:val="NormalWeb"/>
        <w:spacing w:before="0" w:beforeAutospacing="0" w:after="0" w:afterAutospacing="0"/>
        <w:jc w:val="center"/>
      </w:pPr>
    </w:p>
    <w:p w:rsidR="00D27E48" w:rsidRDefault="00D27E48">
      <w:pPr>
        <w:pStyle w:val="NormalWeb"/>
        <w:spacing w:before="0" w:beforeAutospacing="0" w:after="0" w:afterAutospacing="0"/>
        <w:jc w:val="center"/>
      </w:pPr>
      <w:r>
        <w:t>———————</w:t>
      </w:r>
    </w:p>
    <w:p w:rsidR="00D27E48" w:rsidRDefault="00D27E48">
      <w:pPr>
        <w:jc w:val="center"/>
        <w:rPr>
          <w:rFonts w:eastAsia="Times New Roman"/>
        </w:rPr>
      </w:pPr>
      <w:proofErr w:type="gramStart"/>
      <w:r>
        <w:rPr>
          <w:rStyle w:val="Strong"/>
          <w:rFonts w:eastAsia="Times New Roman"/>
          <w:sz w:val="32"/>
          <w:szCs w:val="32"/>
        </w:rPr>
        <w:t>ADVANCED OXYGEN TECHNOLOGIES, INC.</w:t>
      </w:r>
      <w:proofErr w:type="gramEnd"/>
    </w:p>
    <w:p w:rsidR="00D27E48" w:rsidRDefault="00D27E48">
      <w:pPr>
        <w:pStyle w:val="NormalWeb"/>
        <w:spacing w:before="0" w:beforeAutospacing="0" w:after="0" w:afterAutospacing="0" w:line="200" w:lineRule="atLeast"/>
        <w:jc w:val="center"/>
        <w:rPr>
          <w:sz w:val="16"/>
          <w:szCs w:val="16"/>
        </w:rPr>
      </w:pPr>
      <w:r>
        <w:rPr>
          <w:sz w:val="16"/>
          <w:szCs w:val="16"/>
        </w:rPr>
        <w:t> (Exact name of registrant as specified in its charter)</w:t>
      </w:r>
    </w:p>
    <w:p w:rsidR="00D27E48" w:rsidRDefault="00D27E48">
      <w:pPr>
        <w:pStyle w:val="NormalWeb"/>
        <w:spacing w:before="0" w:beforeAutospacing="0" w:after="0" w:afterAutospacing="0"/>
        <w:jc w:val="center"/>
      </w:pPr>
      <w:r>
        <w:t>———————</w:t>
      </w:r>
    </w:p>
    <w:tbl>
      <w:tblPr>
        <w:tblW w:w="0" w:type="auto"/>
        <w:jc w:val="center"/>
        <w:tblCellSpacing w:w="0" w:type="dxa"/>
        <w:tblCellMar>
          <w:top w:w="15" w:type="dxa"/>
          <w:left w:w="15" w:type="dxa"/>
          <w:bottom w:w="15" w:type="dxa"/>
          <w:right w:w="15" w:type="dxa"/>
        </w:tblCellMar>
        <w:tblLook w:val="04A0"/>
      </w:tblPr>
      <w:tblGrid>
        <w:gridCol w:w="3600"/>
        <w:gridCol w:w="3600"/>
        <w:gridCol w:w="3585"/>
      </w:tblGrid>
      <w:tr w:rsidR="00D27E48">
        <w:trPr>
          <w:tblCellSpacing w:w="0" w:type="dxa"/>
          <w:jc w:val="center"/>
        </w:trPr>
        <w:tc>
          <w:tcPr>
            <w:tcW w:w="3600" w:type="dxa"/>
            <w:vAlign w:val="center"/>
            <w:hideMark/>
          </w:tcPr>
          <w:p w:rsidR="00D27E48" w:rsidRDefault="00D27E48">
            <w:pPr>
              <w:rPr>
                <w:rFonts w:eastAsia="Times New Roman"/>
                <w:sz w:val="1"/>
                <w:szCs w:val="2"/>
              </w:rPr>
            </w:pPr>
          </w:p>
        </w:tc>
        <w:tc>
          <w:tcPr>
            <w:tcW w:w="3600" w:type="dxa"/>
            <w:vAlign w:val="center"/>
            <w:hideMark/>
          </w:tcPr>
          <w:p w:rsidR="00D27E48" w:rsidRDefault="00D27E48">
            <w:pPr>
              <w:rPr>
                <w:rFonts w:eastAsia="Times New Roman"/>
                <w:sz w:val="1"/>
                <w:szCs w:val="2"/>
              </w:rPr>
            </w:pPr>
          </w:p>
        </w:tc>
        <w:tc>
          <w:tcPr>
            <w:tcW w:w="3585" w:type="dxa"/>
            <w:vAlign w:val="center"/>
            <w:hideMark/>
          </w:tcPr>
          <w:p w:rsidR="00D27E48" w:rsidRDefault="00D27E48">
            <w:pPr>
              <w:rPr>
                <w:rFonts w:eastAsia="Times New Roman"/>
                <w:sz w:val="1"/>
                <w:szCs w:val="2"/>
              </w:rPr>
            </w:pPr>
          </w:p>
        </w:tc>
      </w:tr>
      <w:tr w:rsidR="00D27E48">
        <w:trPr>
          <w:tblCellSpacing w:w="0" w:type="dxa"/>
          <w:jc w:val="center"/>
        </w:trPr>
        <w:tc>
          <w:tcPr>
            <w:tcW w:w="3600" w:type="dxa"/>
            <w:hideMark/>
          </w:tcPr>
          <w:p w:rsidR="00D27E48" w:rsidRDefault="00D27E48">
            <w:pPr>
              <w:pStyle w:val="NormalWeb"/>
              <w:spacing w:before="0" w:beforeAutospacing="0" w:after="0" w:afterAutospacing="0"/>
              <w:jc w:val="center"/>
              <w:rPr>
                <w:sz w:val="20"/>
                <w:szCs w:val="20"/>
              </w:rPr>
            </w:pPr>
            <w:r>
              <w:rPr>
                <w:b/>
                <w:bCs/>
                <w:sz w:val="20"/>
                <w:szCs w:val="20"/>
              </w:rPr>
              <w:t>Delaware</w:t>
            </w:r>
          </w:p>
        </w:tc>
        <w:tc>
          <w:tcPr>
            <w:tcW w:w="3600" w:type="dxa"/>
            <w:hideMark/>
          </w:tcPr>
          <w:p w:rsidR="00D27E48" w:rsidRDefault="00D27E48">
            <w:pPr>
              <w:pStyle w:val="NormalWeb"/>
              <w:spacing w:before="0" w:beforeAutospacing="0" w:after="0" w:afterAutospacing="0"/>
              <w:jc w:val="center"/>
              <w:rPr>
                <w:sz w:val="20"/>
                <w:szCs w:val="20"/>
              </w:rPr>
            </w:pPr>
            <w:r>
              <w:rPr>
                <w:rStyle w:val="Strong"/>
                <w:sz w:val="20"/>
                <w:szCs w:val="20"/>
              </w:rPr>
              <w:t>0-9951</w:t>
            </w:r>
          </w:p>
        </w:tc>
        <w:tc>
          <w:tcPr>
            <w:tcW w:w="3585" w:type="dxa"/>
            <w:hideMark/>
          </w:tcPr>
          <w:p w:rsidR="00D27E48" w:rsidRDefault="00D27E48">
            <w:pPr>
              <w:pStyle w:val="NormalWeb"/>
              <w:spacing w:before="0" w:beforeAutospacing="0" w:after="0" w:afterAutospacing="0"/>
              <w:jc w:val="center"/>
              <w:rPr>
                <w:sz w:val="20"/>
                <w:szCs w:val="20"/>
              </w:rPr>
            </w:pPr>
            <w:r>
              <w:rPr>
                <w:rStyle w:val="Strong"/>
                <w:sz w:val="20"/>
                <w:szCs w:val="20"/>
              </w:rPr>
              <w:t>91-1143622</w:t>
            </w:r>
          </w:p>
        </w:tc>
      </w:tr>
      <w:tr w:rsidR="00D27E48">
        <w:trPr>
          <w:tblCellSpacing w:w="0" w:type="dxa"/>
          <w:jc w:val="center"/>
        </w:trPr>
        <w:tc>
          <w:tcPr>
            <w:tcW w:w="3600" w:type="dxa"/>
            <w:hideMark/>
          </w:tcPr>
          <w:p w:rsidR="00D27E48" w:rsidRDefault="00D27E48">
            <w:pPr>
              <w:pStyle w:val="NormalWeb"/>
              <w:spacing w:before="0" w:beforeAutospacing="0" w:after="0" w:afterAutospacing="0" w:line="200" w:lineRule="atLeast"/>
              <w:jc w:val="center"/>
              <w:rPr>
                <w:sz w:val="16"/>
                <w:szCs w:val="16"/>
              </w:rPr>
            </w:pPr>
            <w:r>
              <w:rPr>
                <w:sz w:val="16"/>
                <w:szCs w:val="16"/>
              </w:rPr>
              <w:t>(State or Other Jurisdiction</w:t>
            </w:r>
          </w:p>
        </w:tc>
        <w:tc>
          <w:tcPr>
            <w:tcW w:w="3600" w:type="dxa"/>
            <w:hideMark/>
          </w:tcPr>
          <w:p w:rsidR="00D27E48" w:rsidRDefault="00D27E48">
            <w:pPr>
              <w:pStyle w:val="NormalWeb"/>
              <w:spacing w:before="0" w:beforeAutospacing="0" w:after="0" w:afterAutospacing="0" w:line="200" w:lineRule="atLeast"/>
              <w:jc w:val="center"/>
              <w:rPr>
                <w:sz w:val="16"/>
                <w:szCs w:val="16"/>
              </w:rPr>
            </w:pPr>
            <w:r>
              <w:rPr>
                <w:sz w:val="16"/>
                <w:szCs w:val="16"/>
              </w:rPr>
              <w:t>(Commission</w:t>
            </w:r>
          </w:p>
        </w:tc>
        <w:tc>
          <w:tcPr>
            <w:tcW w:w="3585" w:type="dxa"/>
            <w:hideMark/>
          </w:tcPr>
          <w:p w:rsidR="00D27E48" w:rsidRDefault="00D27E48">
            <w:pPr>
              <w:pStyle w:val="NormalWeb"/>
              <w:spacing w:before="0" w:beforeAutospacing="0" w:after="0" w:afterAutospacing="0" w:line="200" w:lineRule="atLeast"/>
              <w:jc w:val="center"/>
              <w:rPr>
                <w:sz w:val="16"/>
                <w:szCs w:val="16"/>
              </w:rPr>
            </w:pPr>
            <w:r>
              <w:rPr>
                <w:sz w:val="16"/>
                <w:szCs w:val="16"/>
              </w:rPr>
              <w:t>(I.R.S. Employer</w:t>
            </w:r>
          </w:p>
        </w:tc>
      </w:tr>
      <w:tr w:rsidR="00D27E48">
        <w:trPr>
          <w:tblCellSpacing w:w="0" w:type="dxa"/>
          <w:jc w:val="center"/>
        </w:trPr>
        <w:tc>
          <w:tcPr>
            <w:tcW w:w="3600" w:type="dxa"/>
            <w:hideMark/>
          </w:tcPr>
          <w:p w:rsidR="00D27E48" w:rsidRDefault="00D27E48">
            <w:pPr>
              <w:pStyle w:val="NormalWeb"/>
              <w:spacing w:before="0" w:beforeAutospacing="0" w:after="0" w:afterAutospacing="0" w:line="200" w:lineRule="atLeast"/>
              <w:jc w:val="center"/>
              <w:rPr>
                <w:sz w:val="16"/>
                <w:szCs w:val="16"/>
              </w:rPr>
            </w:pPr>
            <w:r>
              <w:rPr>
                <w:sz w:val="16"/>
                <w:szCs w:val="16"/>
              </w:rPr>
              <w:t>of Incorporation)</w:t>
            </w:r>
          </w:p>
        </w:tc>
        <w:tc>
          <w:tcPr>
            <w:tcW w:w="3600" w:type="dxa"/>
            <w:hideMark/>
          </w:tcPr>
          <w:p w:rsidR="00D27E48" w:rsidRDefault="00D27E48">
            <w:pPr>
              <w:pStyle w:val="NormalWeb"/>
              <w:spacing w:before="0" w:beforeAutospacing="0" w:after="0" w:afterAutospacing="0" w:line="200" w:lineRule="atLeast"/>
              <w:jc w:val="center"/>
              <w:rPr>
                <w:sz w:val="16"/>
                <w:szCs w:val="16"/>
              </w:rPr>
            </w:pPr>
            <w:r>
              <w:rPr>
                <w:sz w:val="16"/>
                <w:szCs w:val="16"/>
              </w:rPr>
              <w:t>File Number)</w:t>
            </w:r>
          </w:p>
        </w:tc>
        <w:tc>
          <w:tcPr>
            <w:tcW w:w="3585" w:type="dxa"/>
            <w:hideMark/>
          </w:tcPr>
          <w:p w:rsidR="00D27E48" w:rsidRDefault="00D27E48">
            <w:pPr>
              <w:pStyle w:val="NormalWeb"/>
              <w:spacing w:before="0" w:beforeAutospacing="0" w:after="0" w:afterAutospacing="0" w:line="200" w:lineRule="atLeast"/>
              <w:jc w:val="center"/>
              <w:rPr>
                <w:sz w:val="16"/>
                <w:szCs w:val="16"/>
              </w:rPr>
            </w:pPr>
            <w:r>
              <w:rPr>
                <w:sz w:val="16"/>
                <w:szCs w:val="16"/>
              </w:rPr>
              <w:t>Identification No.)</w:t>
            </w:r>
          </w:p>
        </w:tc>
      </w:tr>
    </w:tbl>
    <w:p w:rsidR="00D27E48" w:rsidRDefault="00D27E48">
      <w:pPr>
        <w:pStyle w:val="NormalWeb"/>
        <w:spacing w:before="0" w:beforeAutospacing="0" w:after="0" w:afterAutospacing="0"/>
        <w:jc w:val="center"/>
      </w:pPr>
    </w:p>
    <w:p w:rsidR="00D27E48" w:rsidRDefault="00D27E48">
      <w:pPr>
        <w:pStyle w:val="NormalWeb"/>
        <w:spacing w:before="0" w:beforeAutospacing="0" w:after="0" w:afterAutospacing="0"/>
        <w:jc w:val="center"/>
      </w:pPr>
      <w:r>
        <w:rPr>
          <w:b/>
          <w:bCs/>
        </w:rPr>
        <w:t xml:space="preserve">C/O Crossfield, Inc., 653 VT Route 12A, PO Box 189, Randolph, VT 05060 </w:t>
      </w:r>
    </w:p>
    <w:p w:rsidR="00D27E48" w:rsidRDefault="00D27E48">
      <w:pPr>
        <w:pStyle w:val="NormalWeb"/>
        <w:spacing w:before="0" w:beforeAutospacing="0" w:after="0" w:afterAutospacing="0" w:line="200" w:lineRule="atLeast"/>
        <w:jc w:val="center"/>
        <w:rPr>
          <w:sz w:val="16"/>
          <w:szCs w:val="16"/>
        </w:rPr>
      </w:pPr>
      <w:r>
        <w:rPr>
          <w:sz w:val="16"/>
          <w:szCs w:val="16"/>
        </w:rPr>
        <w:t> (Address of Principal Executive Offices) (Zip Code)</w:t>
      </w:r>
    </w:p>
    <w:p w:rsidR="00D27E48" w:rsidRDefault="00D27E48">
      <w:pPr>
        <w:pStyle w:val="NormalWeb"/>
        <w:spacing w:before="0" w:beforeAutospacing="0" w:after="0" w:afterAutospacing="0"/>
        <w:jc w:val="center"/>
      </w:pPr>
    </w:p>
    <w:p w:rsidR="00D27E48" w:rsidRDefault="00D27E48">
      <w:pPr>
        <w:pStyle w:val="NormalWeb"/>
        <w:spacing w:before="0" w:beforeAutospacing="0" w:after="0" w:afterAutospacing="0"/>
        <w:jc w:val="center"/>
      </w:pPr>
      <w:r>
        <w:rPr>
          <w:b/>
          <w:bCs/>
        </w:rPr>
        <w:t>(212) 727-7085</w:t>
      </w:r>
    </w:p>
    <w:p w:rsidR="00D27E48" w:rsidRDefault="00D27E48">
      <w:pPr>
        <w:pStyle w:val="NormalWeb"/>
        <w:spacing w:before="0" w:beforeAutospacing="0" w:after="0" w:afterAutospacing="0" w:line="200" w:lineRule="atLeast"/>
        <w:jc w:val="center"/>
        <w:rPr>
          <w:sz w:val="16"/>
          <w:szCs w:val="16"/>
        </w:rPr>
      </w:pPr>
      <w:r>
        <w:rPr>
          <w:sz w:val="16"/>
          <w:szCs w:val="16"/>
        </w:rPr>
        <w:t> (Registrant’s telephone number, including area code)</w:t>
      </w:r>
    </w:p>
    <w:p w:rsidR="00D27E48" w:rsidRDefault="00D27E48">
      <w:pPr>
        <w:pStyle w:val="NormalWeb"/>
        <w:spacing w:before="89" w:beforeAutospacing="0" w:after="0" w:afterAutospacing="0"/>
        <w:jc w:val="center"/>
      </w:pPr>
      <w:r>
        <w:rPr>
          <w:b/>
          <w:bCs/>
        </w:rPr>
        <w:t>C/O Crossfield, Inc., 100 Maiden Lane, Suite 2003, New York, NY 10038</w:t>
      </w:r>
    </w:p>
    <w:p w:rsidR="00D27E48" w:rsidRDefault="00D27E48">
      <w:pPr>
        <w:pStyle w:val="NormalWeb"/>
        <w:spacing w:before="0" w:beforeAutospacing="0" w:after="0" w:afterAutospacing="0" w:line="200" w:lineRule="atLeast"/>
        <w:jc w:val="center"/>
        <w:rPr>
          <w:sz w:val="16"/>
          <w:szCs w:val="16"/>
        </w:rPr>
      </w:pPr>
      <w:r>
        <w:rPr>
          <w:sz w:val="16"/>
          <w:szCs w:val="16"/>
        </w:rPr>
        <w:t>(Former name, former address and former fiscal year, if changed since last report)</w:t>
      </w:r>
    </w:p>
    <w:p w:rsidR="00D27E48" w:rsidRDefault="00D27E48">
      <w:pPr>
        <w:pStyle w:val="NormalWeb"/>
        <w:spacing w:before="0" w:beforeAutospacing="0" w:after="0" w:afterAutospacing="0"/>
        <w:jc w:val="center"/>
      </w:pPr>
      <w:r>
        <w:t>———————</w:t>
      </w:r>
    </w:p>
    <w:tbl>
      <w:tblPr>
        <w:tblW w:w="0" w:type="auto"/>
        <w:jc w:val="center"/>
        <w:tblCellSpacing w:w="0" w:type="dxa"/>
        <w:tblCellMar>
          <w:top w:w="15" w:type="dxa"/>
          <w:left w:w="15" w:type="dxa"/>
          <w:bottom w:w="15" w:type="dxa"/>
          <w:right w:w="15" w:type="dxa"/>
        </w:tblCellMar>
        <w:tblLook w:val="04A0"/>
      </w:tblPr>
      <w:tblGrid>
        <w:gridCol w:w="3255"/>
        <w:gridCol w:w="255"/>
        <w:gridCol w:w="2940"/>
        <w:gridCol w:w="270"/>
        <w:gridCol w:w="2460"/>
        <w:gridCol w:w="270"/>
        <w:gridCol w:w="540"/>
        <w:gridCol w:w="270"/>
        <w:gridCol w:w="540"/>
      </w:tblGrid>
      <w:tr w:rsidR="00D27E48">
        <w:trPr>
          <w:tblCellSpacing w:w="0" w:type="dxa"/>
          <w:jc w:val="center"/>
        </w:trPr>
        <w:tc>
          <w:tcPr>
            <w:tcW w:w="3255" w:type="dxa"/>
            <w:vAlign w:val="center"/>
            <w:hideMark/>
          </w:tcPr>
          <w:p w:rsidR="00D27E48" w:rsidRDefault="00D27E48">
            <w:pPr>
              <w:rPr>
                <w:rFonts w:eastAsia="Times New Roman"/>
                <w:sz w:val="1"/>
                <w:szCs w:val="2"/>
              </w:rPr>
            </w:pPr>
          </w:p>
        </w:tc>
        <w:tc>
          <w:tcPr>
            <w:tcW w:w="255" w:type="dxa"/>
            <w:vAlign w:val="center"/>
            <w:hideMark/>
          </w:tcPr>
          <w:p w:rsidR="00D27E48" w:rsidRDefault="00D27E48">
            <w:pPr>
              <w:rPr>
                <w:rFonts w:eastAsia="Times New Roman"/>
                <w:sz w:val="1"/>
                <w:szCs w:val="2"/>
              </w:rPr>
            </w:pPr>
          </w:p>
        </w:tc>
        <w:tc>
          <w:tcPr>
            <w:tcW w:w="2940" w:type="dxa"/>
            <w:vAlign w:val="center"/>
            <w:hideMark/>
          </w:tcPr>
          <w:p w:rsidR="00D27E48" w:rsidRDefault="00D27E48">
            <w:pPr>
              <w:rPr>
                <w:rFonts w:eastAsia="Times New Roman"/>
                <w:sz w:val="1"/>
                <w:szCs w:val="2"/>
              </w:rPr>
            </w:pPr>
          </w:p>
        </w:tc>
        <w:tc>
          <w:tcPr>
            <w:tcW w:w="270" w:type="dxa"/>
            <w:vAlign w:val="center"/>
            <w:hideMark/>
          </w:tcPr>
          <w:p w:rsidR="00D27E48" w:rsidRDefault="00D27E48">
            <w:pPr>
              <w:rPr>
                <w:rFonts w:eastAsia="Times New Roman"/>
                <w:sz w:val="1"/>
                <w:szCs w:val="2"/>
              </w:rPr>
            </w:pPr>
          </w:p>
        </w:tc>
        <w:tc>
          <w:tcPr>
            <w:tcW w:w="2445" w:type="dxa"/>
            <w:vAlign w:val="center"/>
            <w:hideMark/>
          </w:tcPr>
          <w:p w:rsidR="00D27E48" w:rsidRDefault="00D27E48">
            <w:pPr>
              <w:rPr>
                <w:rFonts w:eastAsia="Times New Roman"/>
                <w:sz w:val="1"/>
                <w:szCs w:val="2"/>
              </w:rPr>
            </w:pPr>
          </w:p>
        </w:tc>
        <w:tc>
          <w:tcPr>
            <w:tcW w:w="270" w:type="dxa"/>
            <w:vAlign w:val="center"/>
            <w:hideMark/>
          </w:tcPr>
          <w:p w:rsidR="00D27E48" w:rsidRDefault="00D27E48">
            <w:pPr>
              <w:rPr>
                <w:rFonts w:eastAsia="Times New Roman"/>
                <w:sz w:val="1"/>
                <w:szCs w:val="2"/>
              </w:rPr>
            </w:pPr>
          </w:p>
        </w:tc>
        <w:tc>
          <w:tcPr>
            <w:tcW w:w="540" w:type="dxa"/>
            <w:vAlign w:val="center"/>
            <w:hideMark/>
          </w:tcPr>
          <w:p w:rsidR="00D27E48" w:rsidRDefault="00D27E48">
            <w:pPr>
              <w:rPr>
                <w:rFonts w:eastAsia="Times New Roman"/>
                <w:sz w:val="1"/>
                <w:szCs w:val="2"/>
              </w:rPr>
            </w:pPr>
          </w:p>
        </w:tc>
        <w:tc>
          <w:tcPr>
            <w:tcW w:w="270" w:type="dxa"/>
            <w:vAlign w:val="center"/>
            <w:hideMark/>
          </w:tcPr>
          <w:p w:rsidR="00D27E48" w:rsidRDefault="00D27E48">
            <w:pPr>
              <w:rPr>
                <w:rFonts w:eastAsia="Times New Roman"/>
                <w:sz w:val="1"/>
                <w:szCs w:val="2"/>
              </w:rPr>
            </w:pPr>
          </w:p>
        </w:tc>
        <w:tc>
          <w:tcPr>
            <w:tcW w:w="510" w:type="dxa"/>
            <w:vAlign w:val="center"/>
            <w:hideMark/>
          </w:tcPr>
          <w:p w:rsidR="00D27E48" w:rsidRDefault="00D27E48">
            <w:pPr>
              <w:rPr>
                <w:rFonts w:eastAsia="Times New Roman"/>
                <w:sz w:val="1"/>
                <w:szCs w:val="2"/>
              </w:rPr>
            </w:pPr>
          </w:p>
        </w:tc>
      </w:tr>
      <w:tr w:rsidR="00D27E48">
        <w:trPr>
          <w:tblCellSpacing w:w="0" w:type="dxa"/>
          <w:jc w:val="center"/>
        </w:trPr>
        <w:tc>
          <w:tcPr>
            <w:tcW w:w="10800" w:type="dxa"/>
            <w:gridSpan w:val="9"/>
            <w:hideMark/>
          </w:tcPr>
          <w:p w:rsidR="00D27E48" w:rsidRDefault="00D27E48" w:rsidP="00DA513A">
            <w:pPr>
              <w:pStyle w:val="NormalWeb"/>
              <w:spacing w:before="0" w:beforeAutospacing="0" w:after="0" w:afterAutospacing="0"/>
              <w:jc w:val="both"/>
              <w:rPr>
                <w:sz w:val="20"/>
                <w:szCs w:val="20"/>
              </w:rPr>
            </w:pPr>
            <w:r>
              <w:rPr>
                <w:sz w:val="20"/>
                <w:szCs w:val="20"/>
              </w:rPr>
              <w:t>Indicate by check mark whether the registrant (1) has filed all reports required to be filed by Section 13 or 15(d) of the</w:t>
            </w:r>
            <w:r>
              <w:rPr>
                <w:sz w:val="20"/>
                <w:szCs w:val="20"/>
              </w:rPr>
              <w:br/>
              <w:t>Securities Exchange Act of 1934 during the preceding 12 months (or for such shorter period that the registrant was</w:t>
            </w:r>
          </w:p>
        </w:tc>
      </w:tr>
      <w:tr w:rsidR="00D27E48">
        <w:trPr>
          <w:tblCellSpacing w:w="0" w:type="dxa"/>
          <w:jc w:val="center"/>
        </w:trPr>
        <w:tc>
          <w:tcPr>
            <w:tcW w:w="9180" w:type="dxa"/>
            <w:gridSpan w:val="5"/>
            <w:tcBorders>
              <w:right w:val="single" w:sz="4" w:space="0" w:color="000000"/>
            </w:tcBorders>
            <w:hideMark/>
          </w:tcPr>
          <w:p w:rsidR="00D27E48" w:rsidRDefault="00D27E48">
            <w:pPr>
              <w:pStyle w:val="NormalWeb"/>
              <w:spacing w:before="0" w:beforeAutospacing="0" w:after="0" w:afterAutospacing="0"/>
              <w:rPr>
                <w:sz w:val="20"/>
                <w:szCs w:val="20"/>
              </w:rPr>
            </w:pPr>
            <w:proofErr w:type="gramStart"/>
            <w:r>
              <w:rPr>
                <w:sz w:val="20"/>
                <w:szCs w:val="20"/>
              </w:rPr>
              <w:t>required</w:t>
            </w:r>
            <w:proofErr w:type="gramEnd"/>
            <w:r>
              <w:rPr>
                <w:sz w:val="20"/>
                <w:szCs w:val="20"/>
              </w:rPr>
              <w:t xml:space="preserve"> to file such reports), and (2) has been subject to such filing requirements for the past 90 days.</w:t>
            </w:r>
          </w:p>
        </w:tc>
        <w:tc>
          <w:tcPr>
            <w:tcW w:w="270" w:type="dxa"/>
            <w:tcBorders>
              <w:top w:val="single" w:sz="4" w:space="0" w:color="000000"/>
              <w:bottom w:val="single" w:sz="4" w:space="0" w:color="000000"/>
              <w:right w:val="single" w:sz="4" w:space="0" w:color="000000"/>
            </w:tcBorders>
            <w:hideMark/>
          </w:tcPr>
          <w:p w:rsidR="00D27E48" w:rsidRDefault="00D27E48">
            <w:pPr>
              <w:pStyle w:val="NormalWeb"/>
              <w:spacing w:before="0" w:beforeAutospacing="0" w:after="0" w:afterAutospacing="0"/>
              <w:jc w:val="center"/>
              <w:rPr>
                <w:sz w:val="20"/>
                <w:szCs w:val="20"/>
              </w:rPr>
            </w:pPr>
            <w:r>
              <w:rPr>
                <w:sz w:val="20"/>
                <w:szCs w:val="20"/>
              </w:rPr>
              <w:t>X</w:t>
            </w:r>
          </w:p>
        </w:tc>
        <w:tc>
          <w:tcPr>
            <w:tcW w:w="540" w:type="dxa"/>
            <w:tcBorders>
              <w:right w:val="single" w:sz="4" w:space="0" w:color="000000"/>
            </w:tcBorders>
            <w:hideMark/>
          </w:tcPr>
          <w:p w:rsidR="00D27E48" w:rsidRDefault="00D27E48">
            <w:pPr>
              <w:pStyle w:val="NormalWeb"/>
              <w:spacing w:before="0" w:beforeAutospacing="0" w:after="0" w:afterAutospacing="0"/>
              <w:rPr>
                <w:sz w:val="20"/>
                <w:szCs w:val="20"/>
              </w:rPr>
            </w:pPr>
            <w:r>
              <w:rPr>
                <w:sz w:val="20"/>
                <w:szCs w:val="20"/>
              </w:rPr>
              <w:t> Yes</w:t>
            </w:r>
          </w:p>
        </w:tc>
        <w:tc>
          <w:tcPr>
            <w:tcW w:w="270" w:type="dxa"/>
            <w:tcBorders>
              <w:top w:val="single" w:sz="4" w:space="0" w:color="000000"/>
              <w:bottom w:val="single" w:sz="4" w:space="0" w:color="000000"/>
              <w:right w:val="single" w:sz="4" w:space="0" w:color="000000"/>
            </w:tcBorders>
            <w:hideMark/>
          </w:tcPr>
          <w:p w:rsidR="00D27E48" w:rsidRDefault="00D27E48">
            <w:pPr>
              <w:pStyle w:val="NormalWeb"/>
              <w:rPr>
                <w:sz w:val="20"/>
                <w:szCs w:val="20"/>
              </w:rPr>
            </w:pPr>
            <w:r>
              <w:rPr>
                <w:sz w:val="20"/>
                <w:szCs w:val="20"/>
              </w:rPr>
              <w:t> </w:t>
            </w:r>
          </w:p>
        </w:tc>
        <w:tc>
          <w:tcPr>
            <w:tcW w:w="510" w:type="dxa"/>
            <w:hideMark/>
          </w:tcPr>
          <w:p w:rsidR="00D27E48" w:rsidRDefault="00D27E48">
            <w:pPr>
              <w:pStyle w:val="NormalWeb"/>
              <w:spacing w:before="0" w:beforeAutospacing="0" w:after="0" w:afterAutospacing="0"/>
              <w:rPr>
                <w:sz w:val="20"/>
                <w:szCs w:val="20"/>
              </w:rPr>
            </w:pPr>
            <w:r>
              <w:rPr>
                <w:sz w:val="20"/>
                <w:szCs w:val="20"/>
              </w:rPr>
              <w:t> No</w:t>
            </w:r>
          </w:p>
        </w:tc>
      </w:tr>
      <w:tr w:rsidR="00D27E48">
        <w:trPr>
          <w:tblCellSpacing w:w="0" w:type="dxa"/>
          <w:jc w:val="center"/>
        </w:trPr>
        <w:tc>
          <w:tcPr>
            <w:tcW w:w="10800" w:type="dxa"/>
            <w:gridSpan w:val="9"/>
            <w:hideMark/>
          </w:tcPr>
          <w:p w:rsidR="00D27E48" w:rsidRDefault="00D27E48">
            <w:pPr>
              <w:pStyle w:val="NormalWeb"/>
              <w:rPr>
                <w:sz w:val="20"/>
                <w:szCs w:val="20"/>
              </w:rPr>
            </w:pPr>
            <w:r>
              <w:rPr>
                <w:sz w:val="20"/>
                <w:szCs w:val="20"/>
              </w:rPr>
              <w:t> </w:t>
            </w:r>
          </w:p>
        </w:tc>
      </w:tr>
      <w:tr w:rsidR="00D27E48">
        <w:trPr>
          <w:tblCellSpacing w:w="0" w:type="dxa"/>
          <w:jc w:val="center"/>
        </w:trPr>
        <w:tc>
          <w:tcPr>
            <w:tcW w:w="10800" w:type="dxa"/>
            <w:gridSpan w:val="9"/>
            <w:hideMark/>
          </w:tcPr>
          <w:p w:rsidR="00D27E48" w:rsidRDefault="00D27E48" w:rsidP="00DA513A">
            <w:pPr>
              <w:pStyle w:val="NormalWeb"/>
              <w:spacing w:before="0" w:beforeAutospacing="0" w:after="0" w:afterAutospacing="0"/>
              <w:jc w:val="both"/>
              <w:rPr>
                <w:sz w:val="20"/>
                <w:szCs w:val="20"/>
              </w:rPr>
            </w:pPr>
            <w:r>
              <w:rPr>
                <w:sz w:val="20"/>
                <w:szCs w:val="20"/>
              </w:rPr>
              <w:t>Indicate by check mark whether the registrant is a large accelerated filer, an accelerated filer, a non-accelerated filer, or a smaller reporting company.  See the definitions of “large accelerated filer,” “accelerated filer” and “smaller reporting company” in Rule 12b-2 of the Exchange Act.</w:t>
            </w:r>
          </w:p>
        </w:tc>
      </w:tr>
      <w:tr w:rsidR="00D27E48">
        <w:trPr>
          <w:tblCellSpacing w:w="0" w:type="dxa"/>
          <w:jc w:val="center"/>
        </w:trPr>
        <w:tc>
          <w:tcPr>
            <w:tcW w:w="9180" w:type="dxa"/>
            <w:gridSpan w:val="5"/>
            <w:hideMark/>
          </w:tcPr>
          <w:p w:rsidR="00D27E48" w:rsidRDefault="00D27E48">
            <w:pPr>
              <w:pStyle w:val="NormalWeb"/>
              <w:rPr>
                <w:sz w:val="20"/>
                <w:szCs w:val="20"/>
              </w:rPr>
            </w:pPr>
            <w:r>
              <w:rPr>
                <w:sz w:val="20"/>
                <w:szCs w:val="20"/>
              </w:rPr>
              <w:t> </w:t>
            </w:r>
          </w:p>
        </w:tc>
        <w:tc>
          <w:tcPr>
            <w:tcW w:w="1605" w:type="dxa"/>
            <w:gridSpan w:val="4"/>
            <w:hideMark/>
          </w:tcPr>
          <w:p w:rsidR="00D27E48" w:rsidRDefault="00D27E48">
            <w:pPr>
              <w:pStyle w:val="NormalWeb"/>
              <w:rPr>
                <w:sz w:val="20"/>
                <w:szCs w:val="20"/>
              </w:rPr>
            </w:pPr>
            <w:r>
              <w:rPr>
                <w:sz w:val="20"/>
                <w:szCs w:val="20"/>
              </w:rPr>
              <w:t> </w:t>
            </w:r>
          </w:p>
        </w:tc>
      </w:tr>
      <w:tr w:rsidR="00D27E48">
        <w:trPr>
          <w:tblCellSpacing w:w="0" w:type="dxa"/>
          <w:jc w:val="center"/>
        </w:trPr>
        <w:tc>
          <w:tcPr>
            <w:tcW w:w="3255" w:type="dxa"/>
            <w:tcBorders>
              <w:right w:val="single" w:sz="4" w:space="0" w:color="000000"/>
            </w:tcBorders>
            <w:hideMark/>
          </w:tcPr>
          <w:p w:rsidR="00D27E48" w:rsidRDefault="00D27E48">
            <w:pPr>
              <w:pStyle w:val="NormalWeb"/>
              <w:spacing w:before="0" w:beforeAutospacing="0" w:after="0" w:afterAutospacing="0"/>
              <w:jc w:val="center"/>
              <w:rPr>
                <w:sz w:val="20"/>
                <w:szCs w:val="20"/>
              </w:rPr>
            </w:pPr>
            <w:r>
              <w:rPr>
                <w:sz w:val="20"/>
                <w:szCs w:val="20"/>
              </w:rPr>
              <w:t>Large accelerated filer</w:t>
            </w:r>
          </w:p>
        </w:tc>
        <w:tc>
          <w:tcPr>
            <w:tcW w:w="255" w:type="dxa"/>
            <w:tcBorders>
              <w:top w:val="single" w:sz="4" w:space="0" w:color="000000"/>
              <w:bottom w:val="single" w:sz="4" w:space="0" w:color="000000"/>
              <w:right w:val="single" w:sz="4" w:space="0" w:color="000000"/>
            </w:tcBorders>
            <w:hideMark/>
          </w:tcPr>
          <w:p w:rsidR="00D27E48" w:rsidRDefault="00D27E48">
            <w:pPr>
              <w:pStyle w:val="NormalWeb"/>
              <w:rPr>
                <w:sz w:val="20"/>
                <w:szCs w:val="20"/>
              </w:rPr>
            </w:pPr>
            <w:r>
              <w:rPr>
                <w:sz w:val="20"/>
                <w:szCs w:val="20"/>
              </w:rPr>
              <w:t> </w:t>
            </w:r>
          </w:p>
        </w:tc>
        <w:tc>
          <w:tcPr>
            <w:tcW w:w="2940" w:type="dxa"/>
            <w:hideMark/>
          </w:tcPr>
          <w:p w:rsidR="00D27E48" w:rsidRDefault="00D27E48">
            <w:pPr>
              <w:pStyle w:val="NormalWeb"/>
              <w:rPr>
                <w:sz w:val="20"/>
                <w:szCs w:val="20"/>
              </w:rPr>
            </w:pPr>
            <w:r>
              <w:rPr>
                <w:sz w:val="20"/>
                <w:szCs w:val="20"/>
              </w:rPr>
              <w:t> </w:t>
            </w:r>
          </w:p>
        </w:tc>
        <w:tc>
          <w:tcPr>
            <w:tcW w:w="270" w:type="dxa"/>
            <w:hideMark/>
          </w:tcPr>
          <w:p w:rsidR="00D27E48" w:rsidRDefault="00D27E48">
            <w:pPr>
              <w:pStyle w:val="NormalWeb"/>
              <w:rPr>
                <w:sz w:val="20"/>
                <w:szCs w:val="20"/>
              </w:rPr>
            </w:pPr>
            <w:r>
              <w:rPr>
                <w:sz w:val="20"/>
                <w:szCs w:val="20"/>
              </w:rPr>
              <w:t> </w:t>
            </w:r>
          </w:p>
        </w:tc>
        <w:tc>
          <w:tcPr>
            <w:tcW w:w="3255" w:type="dxa"/>
            <w:gridSpan w:val="3"/>
            <w:tcBorders>
              <w:right w:val="single" w:sz="4" w:space="0" w:color="000000"/>
            </w:tcBorders>
            <w:hideMark/>
          </w:tcPr>
          <w:p w:rsidR="00D27E48" w:rsidRDefault="00D27E48">
            <w:pPr>
              <w:pStyle w:val="NormalWeb"/>
              <w:spacing w:before="0" w:beforeAutospacing="0" w:after="0" w:afterAutospacing="0"/>
              <w:jc w:val="center"/>
              <w:rPr>
                <w:sz w:val="20"/>
                <w:szCs w:val="20"/>
              </w:rPr>
            </w:pPr>
            <w:r>
              <w:rPr>
                <w:sz w:val="20"/>
                <w:szCs w:val="20"/>
              </w:rPr>
              <w:t>Accelerated filer</w:t>
            </w:r>
          </w:p>
        </w:tc>
        <w:tc>
          <w:tcPr>
            <w:tcW w:w="270" w:type="dxa"/>
            <w:tcBorders>
              <w:top w:val="single" w:sz="4" w:space="0" w:color="000000"/>
              <w:bottom w:val="single" w:sz="4" w:space="0" w:color="000000"/>
              <w:right w:val="single" w:sz="4" w:space="0" w:color="000000"/>
            </w:tcBorders>
            <w:hideMark/>
          </w:tcPr>
          <w:p w:rsidR="00D27E48" w:rsidRDefault="00D27E48">
            <w:pPr>
              <w:pStyle w:val="NormalWeb"/>
              <w:rPr>
                <w:sz w:val="20"/>
                <w:szCs w:val="20"/>
              </w:rPr>
            </w:pPr>
            <w:r>
              <w:rPr>
                <w:sz w:val="20"/>
                <w:szCs w:val="20"/>
              </w:rPr>
              <w:t> </w:t>
            </w:r>
          </w:p>
        </w:tc>
        <w:tc>
          <w:tcPr>
            <w:tcW w:w="510" w:type="dxa"/>
            <w:hideMark/>
          </w:tcPr>
          <w:p w:rsidR="00D27E48" w:rsidRDefault="00D27E48">
            <w:pPr>
              <w:pStyle w:val="NormalWeb"/>
              <w:rPr>
                <w:sz w:val="20"/>
                <w:szCs w:val="20"/>
              </w:rPr>
            </w:pPr>
            <w:r>
              <w:rPr>
                <w:sz w:val="20"/>
                <w:szCs w:val="20"/>
              </w:rPr>
              <w:t> </w:t>
            </w:r>
          </w:p>
        </w:tc>
      </w:tr>
      <w:tr w:rsidR="00D27E48">
        <w:trPr>
          <w:tblCellSpacing w:w="0" w:type="dxa"/>
          <w:jc w:val="center"/>
        </w:trPr>
        <w:tc>
          <w:tcPr>
            <w:tcW w:w="0" w:type="auto"/>
            <w:vAlign w:val="center"/>
            <w:hideMark/>
          </w:tcPr>
          <w:p w:rsidR="00D27E48" w:rsidRDefault="00D27E48">
            <w:pPr>
              <w:rPr>
                <w:rFonts w:eastAsia="Times New Roman"/>
                <w:sz w:val="20"/>
                <w:szCs w:val="20"/>
              </w:rPr>
            </w:pPr>
          </w:p>
        </w:tc>
        <w:tc>
          <w:tcPr>
            <w:tcW w:w="0" w:type="auto"/>
            <w:vAlign w:val="center"/>
            <w:hideMark/>
          </w:tcPr>
          <w:p w:rsidR="00D27E48" w:rsidRDefault="00D27E48">
            <w:pPr>
              <w:rPr>
                <w:rFonts w:eastAsia="Times New Roman"/>
                <w:sz w:val="20"/>
                <w:szCs w:val="20"/>
              </w:rPr>
            </w:pPr>
          </w:p>
        </w:tc>
        <w:tc>
          <w:tcPr>
            <w:tcW w:w="0" w:type="auto"/>
            <w:vAlign w:val="center"/>
            <w:hideMark/>
          </w:tcPr>
          <w:p w:rsidR="00D27E48" w:rsidRDefault="00D27E48">
            <w:pPr>
              <w:rPr>
                <w:rFonts w:eastAsia="Times New Roman"/>
                <w:sz w:val="20"/>
                <w:szCs w:val="20"/>
              </w:rPr>
            </w:pPr>
          </w:p>
        </w:tc>
        <w:tc>
          <w:tcPr>
            <w:tcW w:w="0" w:type="auto"/>
            <w:vAlign w:val="center"/>
            <w:hideMark/>
          </w:tcPr>
          <w:p w:rsidR="00D27E48" w:rsidRDefault="00D27E48">
            <w:pPr>
              <w:rPr>
                <w:rFonts w:eastAsia="Times New Roman"/>
                <w:sz w:val="20"/>
                <w:szCs w:val="20"/>
              </w:rPr>
            </w:pPr>
          </w:p>
        </w:tc>
        <w:tc>
          <w:tcPr>
            <w:tcW w:w="0" w:type="auto"/>
            <w:vAlign w:val="center"/>
            <w:hideMark/>
          </w:tcPr>
          <w:p w:rsidR="00D27E48" w:rsidRDefault="00D27E48">
            <w:pPr>
              <w:rPr>
                <w:rFonts w:eastAsia="Times New Roman"/>
                <w:sz w:val="20"/>
                <w:szCs w:val="20"/>
              </w:rPr>
            </w:pPr>
          </w:p>
        </w:tc>
        <w:tc>
          <w:tcPr>
            <w:tcW w:w="0" w:type="auto"/>
            <w:vAlign w:val="center"/>
            <w:hideMark/>
          </w:tcPr>
          <w:p w:rsidR="00D27E48" w:rsidRDefault="00D27E48">
            <w:pPr>
              <w:rPr>
                <w:rFonts w:eastAsia="Times New Roman"/>
                <w:sz w:val="20"/>
                <w:szCs w:val="20"/>
              </w:rPr>
            </w:pPr>
          </w:p>
        </w:tc>
        <w:tc>
          <w:tcPr>
            <w:tcW w:w="0" w:type="auto"/>
            <w:vAlign w:val="center"/>
            <w:hideMark/>
          </w:tcPr>
          <w:p w:rsidR="00D27E48" w:rsidRDefault="00D27E48">
            <w:pPr>
              <w:rPr>
                <w:rFonts w:eastAsia="Times New Roman"/>
                <w:sz w:val="20"/>
                <w:szCs w:val="20"/>
              </w:rPr>
            </w:pPr>
          </w:p>
        </w:tc>
        <w:tc>
          <w:tcPr>
            <w:tcW w:w="0" w:type="auto"/>
            <w:vAlign w:val="center"/>
            <w:hideMark/>
          </w:tcPr>
          <w:p w:rsidR="00D27E48" w:rsidRDefault="00D27E48">
            <w:pPr>
              <w:rPr>
                <w:rFonts w:eastAsia="Times New Roman"/>
                <w:sz w:val="20"/>
                <w:szCs w:val="20"/>
              </w:rPr>
            </w:pPr>
          </w:p>
        </w:tc>
        <w:tc>
          <w:tcPr>
            <w:tcW w:w="0" w:type="auto"/>
            <w:vAlign w:val="center"/>
            <w:hideMark/>
          </w:tcPr>
          <w:p w:rsidR="00D27E48" w:rsidRDefault="00D27E48">
            <w:pPr>
              <w:rPr>
                <w:rFonts w:eastAsia="Times New Roman"/>
                <w:sz w:val="20"/>
                <w:szCs w:val="20"/>
              </w:rPr>
            </w:pPr>
          </w:p>
        </w:tc>
      </w:tr>
      <w:tr w:rsidR="00D27E48">
        <w:trPr>
          <w:tblCellSpacing w:w="0" w:type="dxa"/>
          <w:jc w:val="center"/>
        </w:trPr>
        <w:tc>
          <w:tcPr>
            <w:tcW w:w="3255" w:type="dxa"/>
            <w:tcBorders>
              <w:right w:val="single" w:sz="4" w:space="0" w:color="000000"/>
            </w:tcBorders>
            <w:hideMark/>
          </w:tcPr>
          <w:p w:rsidR="00D27E48" w:rsidRDefault="00D27E48">
            <w:pPr>
              <w:pStyle w:val="NormalWeb"/>
              <w:spacing w:before="0" w:beforeAutospacing="0" w:after="0" w:afterAutospacing="0"/>
              <w:jc w:val="center"/>
              <w:rPr>
                <w:sz w:val="20"/>
                <w:szCs w:val="20"/>
              </w:rPr>
            </w:pPr>
            <w:r>
              <w:rPr>
                <w:sz w:val="20"/>
                <w:szCs w:val="20"/>
              </w:rPr>
              <w:t>Non-accelerated filer</w:t>
            </w:r>
          </w:p>
        </w:tc>
        <w:tc>
          <w:tcPr>
            <w:tcW w:w="255" w:type="dxa"/>
            <w:tcBorders>
              <w:top w:val="single" w:sz="4" w:space="0" w:color="000000"/>
              <w:bottom w:val="single" w:sz="4" w:space="0" w:color="000000"/>
              <w:right w:val="single" w:sz="4" w:space="0" w:color="000000"/>
            </w:tcBorders>
            <w:hideMark/>
          </w:tcPr>
          <w:p w:rsidR="00D27E48" w:rsidRDefault="00D27E48">
            <w:pPr>
              <w:pStyle w:val="NormalWeb"/>
              <w:rPr>
                <w:sz w:val="20"/>
                <w:szCs w:val="20"/>
              </w:rPr>
            </w:pPr>
            <w:r>
              <w:rPr>
                <w:sz w:val="20"/>
                <w:szCs w:val="20"/>
              </w:rPr>
              <w:t> </w:t>
            </w:r>
          </w:p>
        </w:tc>
        <w:tc>
          <w:tcPr>
            <w:tcW w:w="2940" w:type="dxa"/>
            <w:hideMark/>
          </w:tcPr>
          <w:p w:rsidR="00D27E48" w:rsidRDefault="00D27E48">
            <w:pPr>
              <w:pStyle w:val="NormalWeb"/>
              <w:rPr>
                <w:sz w:val="20"/>
                <w:szCs w:val="20"/>
              </w:rPr>
            </w:pPr>
            <w:r>
              <w:rPr>
                <w:sz w:val="20"/>
                <w:szCs w:val="20"/>
              </w:rPr>
              <w:t> </w:t>
            </w:r>
          </w:p>
        </w:tc>
        <w:tc>
          <w:tcPr>
            <w:tcW w:w="270" w:type="dxa"/>
            <w:hideMark/>
          </w:tcPr>
          <w:p w:rsidR="00D27E48" w:rsidRDefault="00D27E48">
            <w:pPr>
              <w:pStyle w:val="NormalWeb"/>
              <w:rPr>
                <w:sz w:val="20"/>
                <w:szCs w:val="20"/>
              </w:rPr>
            </w:pPr>
            <w:r>
              <w:rPr>
                <w:sz w:val="20"/>
                <w:szCs w:val="20"/>
              </w:rPr>
              <w:t> </w:t>
            </w:r>
          </w:p>
        </w:tc>
        <w:tc>
          <w:tcPr>
            <w:tcW w:w="3255" w:type="dxa"/>
            <w:gridSpan w:val="3"/>
            <w:tcBorders>
              <w:right w:val="single" w:sz="4" w:space="0" w:color="000000"/>
            </w:tcBorders>
            <w:hideMark/>
          </w:tcPr>
          <w:p w:rsidR="00D27E48" w:rsidRDefault="00D27E48">
            <w:pPr>
              <w:pStyle w:val="NormalWeb"/>
              <w:spacing w:before="0" w:beforeAutospacing="0" w:after="0" w:afterAutospacing="0"/>
              <w:jc w:val="center"/>
              <w:rPr>
                <w:sz w:val="20"/>
                <w:szCs w:val="20"/>
              </w:rPr>
            </w:pPr>
            <w:r>
              <w:rPr>
                <w:sz w:val="20"/>
                <w:szCs w:val="20"/>
              </w:rPr>
              <w:t>Smaller reporting company</w:t>
            </w:r>
          </w:p>
        </w:tc>
        <w:tc>
          <w:tcPr>
            <w:tcW w:w="270" w:type="dxa"/>
            <w:tcBorders>
              <w:top w:val="single" w:sz="4" w:space="0" w:color="000000"/>
              <w:bottom w:val="single" w:sz="4" w:space="0" w:color="000000"/>
              <w:right w:val="single" w:sz="4" w:space="0" w:color="000000"/>
            </w:tcBorders>
            <w:hideMark/>
          </w:tcPr>
          <w:p w:rsidR="00D27E48" w:rsidRDefault="00D27E48">
            <w:pPr>
              <w:pStyle w:val="NormalWeb"/>
              <w:spacing w:before="0" w:beforeAutospacing="0" w:after="0" w:afterAutospacing="0"/>
              <w:jc w:val="center"/>
              <w:rPr>
                <w:sz w:val="20"/>
                <w:szCs w:val="20"/>
              </w:rPr>
            </w:pPr>
            <w:r>
              <w:rPr>
                <w:sz w:val="20"/>
                <w:szCs w:val="20"/>
              </w:rPr>
              <w:t>X</w:t>
            </w:r>
          </w:p>
        </w:tc>
        <w:tc>
          <w:tcPr>
            <w:tcW w:w="510" w:type="dxa"/>
            <w:hideMark/>
          </w:tcPr>
          <w:p w:rsidR="00D27E48" w:rsidRDefault="00D27E48">
            <w:pPr>
              <w:pStyle w:val="NormalWeb"/>
              <w:rPr>
                <w:sz w:val="20"/>
                <w:szCs w:val="20"/>
              </w:rPr>
            </w:pPr>
            <w:r>
              <w:rPr>
                <w:sz w:val="20"/>
                <w:szCs w:val="20"/>
              </w:rPr>
              <w:t> </w:t>
            </w:r>
          </w:p>
        </w:tc>
      </w:tr>
      <w:tr w:rsidR="00D27E48">
        <w:trPr>
          <w:tblCellSpacing w:w="0" w:type="dxa"/>
          <w:jc w:val="center"/>
        </w:trPr>
        <w:tc>
          <w:tcPr>
            <w:tcW w:w="9180" w:type="dxa"/>
            <w:gridSpan w:val="5"/>
            <w:hideMark/>
          </w:tcPr>
          <w:p w:rsidR="00D27E48" w:rsidRDefault="00D27E48">
            <w:pPr>
              <w:pStyle w:val="NormalWeb"/>
              <w:spacing w:before="0" w:beforeAutospacing="0" w:after="0" w:afterAutospacing="0"/>
              <w:rPr>
                <w:sz w:val="20"/>
                <w:szCs w:val="20"/>
              </w:rPr>
            </w:pPr>
            <w:r>
              <w:rPr>
                <w:sz w:val="20"/>
                <w:szCs w:val="20"/>
              </w:rPr>
              <w:t>(Do not check if a smaller reporting company)</w:t>
            </w:r>
          </w:p>
        </w:tc>
        <w:tc>
          <w:tcPr>
            <w:tcW w:w="1605" w:type="dxa"/>
            <w:gridSpan w:val="4"/>
            <w:hideMark/>
          </w:tcPr>
          <w:p w:rsidR="00D27E48" w:rsidRDefault="00D27E48">
            <w:pPr>
              <w:pStyle w:val="NormalWeb"/>
              <w:rPr>
                <w:sz w:val="20"/>
                <w:szCs w:val="20"/>
              </w:rPr>
            </w:pPr>
            <w:r>
              <w:rPr>
                <w:sz w:val="20"/>
                <w:szCs w:val="20"/>
              </w:rPr>
              <w:t> </w:t>
            </w:r>
          </w:p>
        </w:tc>
      </w:tr>
      <w:tr w:rsidR="00D27E48">
        <w:trPr>
          <w:tblCellSpacing w:w="0" w:type="dxa"/>
          <w:jc w:val="center"/>
        </w:trPr>
        <w:tc>
          <w:tcPr>
            <w:tcW w:w="9180" w:type="dxa"/>
            <w:gridSpan w:val="5"/>
            <w:tcBorders>
              <w:right w:val="single" w:sz="4" w:space="0" w:color="000000"/>
            </w:tcBorders>
            <w:hideMark/>
          </w:tcPr>
          <w:p w:rsidR="00D27E48" w:rsidRDefault="00D27E48">
            <w:pPr>
              <w:pStyle w:val="NormalWeb"/>
              <w:spacing w:before="0" w:beforeAutospacing="0" w:after="0" w:afterAutospacing="0"/>
              <w:rPr>
                <w:sz w:val="20"/>
                <w:szCs w:val="20"/>
              </w:rPr>
            </w:pPr>
            <w:r>
              <w:rPr>
                <w:sz w:val="20"/>
                <w:szCs w:val="20"/>
              </w:rPr>
              <w:t>Indicate by check mark whether the registrant is a shell company (as defined in Rule 12b-2 of the Act).</w:t>
            </w:r>
          </w:p>
        </w:tc>
        <w:tc>
          <w:tcPr>
            <w:tcW w:w="270" w:type="dxa"/>
            <w:tcBorders>
              <w:top w:val="single" w:sz="4" w:space="0" w:color="000000"/>
              <w:bottom w:val="single" w:sz="4" w:space="0" w:color="000000"/>
              <w:right w:val="single" w:sz="4" w:space="0" w:color="000000"/>
            </w:tcBorders>
            <w:hideMark/>
          </w:tcPr>
          <w:p w:rsidR="00D27E48" w:rsidRDefault="00D27E48">
            <w:pPr>
              <w:pStyle w:val="NormalWeb"/>
              <w:rPr>
                <w:sz w:val="20"/>
                <w:szCs w:val="20"/>
              </w:rPr>
            </w:pPr>
            <w:r>
              <w:rPr>
                <w:sz w:val="20"/>
                <w:szCs w:val="20"/>
              </w:rPr>
              <w:t> </w:t>
            </w:r>
          </w:p>
        </w:tc>
        <w:tc>
          <w:tcPr>
            <w:tcW w:w="540" w:type="dxa"/>
            <w:tcBorders>
              <w:right w:val="single" w:sz="4" w:space="0" w:color="000000"/>
            </w:tcBorders>
            <w:hideMark/>
          </w:tcPr>
          <w:p w:rsidR="00D27E48" w:rsidRDefault="00D27E48">
            <w:pPr>
              <w:pStyle w:val="NormalWeb"/>
              <w:spacing w:before="0" w:beforeAutospacing="0" w:after="0" w:afterAutospacing="0"/>
              <w:rPr>
                <w:sz w:val="20"/>
                <w:szCs w:val="20"/>
              </w:rPr>
            </w:pPr>
            <w:r>
              <w:rPr>
                <w:sz w:val="20"/>
                <w:szCs w:val="20"/>
              </w:rPr>
              <w:t> Yes</w:t>
            </w:r>
          </w:p>
        </w:tc>
        <w:tc>
          <w:tcPr>
            <w:tcW w:w="270" w:type="dxa"/>
            <w:tcBorders>
              <w:top w:val="single" w:sz="4" w:space="0" w:color="000000"/>
              <w:bottom w:val="single" w:sz="4" w:space="0" w:color="000000"/>
              <w:right w:val="single" w:sz="4" w:space="0" w:color="000000"/>
            </w:tcBorders>
            <w:hideMark/>
          </w:tcPr>
          <w:p w:rsidR="00D27E48" w:rsidRDefault="00D27E48">
            <w:pPr>
              <w:pStyle w:val="NormalWeb"/>
              <w:spacing w:before="0" w:beforeAutospacing="0" w:after="0" w:afterAutospacing="0"/>
              <w:jc w:val="center"/>
              <w:rPr>
                <w:sz w:val="20"/>
                <w:szCs w:val="20"/>
              </w:rPr>
            </w:pPr>
            <w:r>
              <w:rPr>
                <w:sz w:val="20"/>
                <w:szCs w:val="20"/>
              </w:rPr>
              <w:t>X</w:t>
            </w:r>
          </w:p>
        </w:tc>
        <w:tc>
          <w:tcPr>
            <w:tcW w:w="510" w:type="dxa"/>
            <w:hideMark/>
          </w:tcPr>
          <w:p w:rsidR="00D27E48" w:rsidRDefault="00D27E48">
            <w:pPr>
              <w:pStyle w:val="NormalWeb"/>
              <w:spacing w:before="0" w:beforeAutospacing="0" w:after="0" w:afterAutospacing="0"/>
              <w:rPr>
                <w:sz w:val="20"/>
                <w:szCs w:val="20"/>
              </w:rPr>
            </w:pPr>
            <w:r>
              <w:rPr>
                <w:sz w:val="20"/>
                <w:szCs w:val="20"/>
              </w:rPr>
              <w:t> No</w:t>
            </w:r>
          </w:p>
        </w:tc>
      </w:tr>
      <w:tr w:rsidR="00D27E48">
        <w:trPr>
          <w:tblCellSpacing w:w="0" w:type="dxa"/>
          <w:jc w:val="center"/>
        </w:trPr>
        <w:tc>
          <w:tcPr>
            <w:tcW w:w="9180" w:type="dxa"/>
            <w:gridSpan w:val="5"/>
            <w:hideMark/>
          </w:tcPr>
          <w:p w:rsidR="00D27E48" w:rsidRDefault="00D27E48">
            <w:pPr>
              <w:pStyle w:val="NormalWeb"/>
              <w:rPr>
                <w:sz w:val="20"/>
                <w:szCs w:val="20"/>
              </w:rPr>
            </w:pPr>
            <w:r>
              <w:rPr>
                <w:sz w:val="20"/>
                <w:szCs w:val="20"/>
              </w:rPr>
              <w:t> </w:t>
            </w:r>
          </w:p>
        </w:tc>
        <w:tc>
          <w:tcPr>
            <w:tcW w:w="1605" w:type="dxa"/>
            <w:gridSpan w:val="4"/>
            <w:hideMark/>
          </w:tcPr>
          <w:p w:rsidR="00D27E48" w:rsidRDefault="00D27E48">
            <w:pPr>
              <w:pStyle w:val="NormalWeb"/>
              <w:rPr>
                <w:sz w:val="20"/>
                <w:szCs w:val="20"/>
              </w:rPr>
            </w:pPr>
            <w:r>
              <w:rPr>
                <w:sz w:val="20"/>
                <w:szCs w:val="20"/>
              </w:rPr>
              <w:t> </w:t>
            </w:r>
          </w:p>
        </w:tc>
      </w:tr>
      <w:tr w:rsidR="00D27E48">
        <w:trPr>
          <w:tblCellSpacing w:w="0" w:type="dxa"/>
          <w:jc w:val="center"/>
        </w:trPr>
        <w:tc>
          <w:tcPr>
            <w:tcW w:w="10800" w:type="dxa"/>
            <w:gridSpan w:val="9"/>
            <w:hideMark/>
          </w:tcPr>
          <w:p w:rsidR="00D27E48" w:rsidRDefault="00D27E48">
            <w:pPr>
              <w:pStyle w:val="NormalWeb"/>
              <w:spacing w:before="0" w:beforeAutospacing="0" w:after="0" w:afterAutospacing="0"/>
              <w:rPr>
                <w:sz w:val="20"/>
                <w:szCs w:val="20"/>
              </w:rPr>
            </w:pPr>
            <w:r>
              <w:rPr>
                <w:sz w:val="20"/>
                <w:szCs w:val="20"/>
              </w:rPr>
              <w:t>Indicate the number of shares outstanding of each of the issuer’s classes of common stock, as of the latest practicable date:  </w:t>
            </w:r>
          </w:p>
        </w:tc>
      </w:tr>
      <w:tr w:rsidR="00D27E48">
        <w:trPr>
          <w:tblCellSpacing w:w="0" w:type="dxa"/>
          <w:jc w:val="center"/>
        </w:trPr>
        <w:tc>
          <w:tcPr>
            <w:tcW w:w="10800" w:type="dxa"/>
            <w:gridSpan w:val="9"/>
            <w:hideMark/>
          </w:tcPr>
          <w:p w:rsidR="00D27E48" w:rsidRDefault="00D27E48" w:rsidP="00DA513A">
            <w:pPr>
              <w:pStyle w:val="NormalWeb"/>
              <w:spacing w:before="0" w:beforeAutospacing="0" w:after="0" w:afterAutospacing="0"/>
              <w:rPr>
                <w:sz w:val="20"/>
                <w:szCs w:val="20"/>
              </w:rPr>
            </w:pPr>
            <w:r>
              <w:rPr>
                <w:sz w:val="20"/>
                <w:szCs w:val="20"/>
              </w:rPr>
              <w:t xml:space="preserve">As of </w:t>
            </w:r>
            <w:r w:rsidR="00DA513A">
              <w:rPr>
                <w:sz w:val="20"/>
                <w:szCs w:val="20"/>
              </w:rPr>
              <w:t>February 6</w:t>
            </w:r>
            <w:r>
              <w:rPr>
                <w:sz w:val="20"/>
                <w:szCs w:val="20"/>
              </w:rPr>
              <w:t>,</w:t>
            </w:r>
            <w:r w:rsidR="00C601BE">
              <w:rPr>
                <w:sz w:val="20"/>
                <w:szCs w:val="20"/>
              </w:rPr>
              <w:t xml:space="preserve"> 2012</w:t>
            </w:r>
            <w:r>
              <w:rPr>
                <w:sz w:val="20"/>
                <w:szCs w:val="20"/>
              </w:rPr>
              <w:t xml:space="preserve"> there were 46,973,585 issued shares and 45,853,585 outstanding shares of Advanced Oxygen Technologies, Inc. common stock, $0.01 par value.</w:t>
            </w:r>
          </w:p>
        </w:tc>
      </w:tr>
      <w:tr w:rsidR="00D27E48">
        <w:trPr>
          <w:tblCellSpacing w:w="0" w:type="dxa"/>
          <w:jc w:val="center"/>
        </w:trPr>
        <w:tc>
          <w:tcPr>
            <w:tcW w:w="10800" w:type="dxa"/>
            <w:gridSpan w:val="9"/>
            <w:hideMark/>
          </w:tcPr>
          <w:p w:rsidR="00D27E48" w:rsidRDefault="00D27E48">
            <w:pPr>
              <w:pStyle w:val="NormalWeb"/>
              <w:rPr>
                <w:sz w:val="20"/>
                <w:szCs w:val="20"/>
              </w:rPr>
            </w:pPr>
            <w:r>
              <w:rPr>
                <w:sz w:val="20"/>
                <w:szCs w:val="20"/>
              </w:rPr>
              <w:t> </w:t>
            </w:r>
          </w:p>
        </w:tc>
      </w:tr>
    </w:tbl>
    <w:p w:rsidR="00D27E48" w:rsidRDefault="007E7BD4">
      <w:pPr>
        <w:rPr>
          <w:rFonts w:eastAsia="Times New Roman"/>
        </w:rPr>
      </w:pPr>
      <w:r w:rsidRPr="007E7BD4">
        <w:rPr>
          <w:rFonts w:eastAsia="Times New Roman"/>
        </w:rPr>
        <w:pict>
          <v:rect id="_x0000_i1027" style="width:0;height:.75pt" o:hralign="center" o:hrstd="t" o:hrnoshade="t" o:hr="t" fillcolor="black" stroked="f"/>
        </w:pict>
      </w:r>
    </w:p>
    <w:p w:rsidR="00D27E48" w:rsidRDefault="007E7BD4">
      <w:pPr>
        <w:rPr>
          <w:rFonts w:eastAsia="Times New Roman"/>
        </w:rPr>
      </w:pPr>
      <w:r w:rsidRPr="007E7BD4">
        <w:rPr>
          <w:rFonts w:eastAsia="Times New Roman"/>
        </w:rPr>
        <w:pict>
          <v:rect id="_x0000_i1028" style="width:0;height:3pt" o:hralign="center" o:hrstd="t" o:hrnoshade="t" o:hr="t" fillcolor="black" stroked="f"/>
        </w:pict>
      </w:r>
    </w:p>
    <w:p w:rsidR="00D27E48" w:rsidRDefault="00D27E48">
      <w:pPr>
        <w:pStyle w:val="NormalWeb"/>
        <w:jc w:val="center"/>
      </w:pPr>
      <w:proofErr w:type="gramStart"/>
      <w:r>
        <w:rPr>
          <w:b/>
          <w:bCs/>
        </w:rPr>
        <w:lastRenderedPageBreak/>
        <w:t>ADVANCED OXYGEN TECHNOLOGIES, INC.</w:t>
      </w:r>
      <w:proofErr w:type="gramEnd"/>
    </w:p>
    <w:p w:rsidR="00D27E48" w:rsidRDefault="00D27E48">
      <w:pPr>
        <w:pStyle w:val="NormalWeb"/>
        <w:jc w:val="center"/>
      </w:pPr>
      <w:bookmarkStart w:id="0" w:name="toc"/>
      <w:bookmarkEnd w:id="0"/>
      <w:r>
        <w:t> Table of Contents</w:t>
      </w:r>
    </w:p>
    <w:tbl>
      <w:tblPr>
        <w:tblW w:w="4500" w:type="pct"/>
        <w:jc w:val="center"/>
        <w:tblCellSpacing w:w="0" w:type="dxa"/>
        <w:tblCellMar>
          <w:left w:w="0" w:type="dxa"/>
          <w:right w:w="0" w:type="dxa"/>
        </w:tblCellMar>
        <w:tblLook w:val="04A0"/>
      </w:tblPr>
      <w:tblGrid>
        <w:gridCol w:w="195"/>
        <w:gridCol w:w="194"/>
        <w:gridCol w:w="8165"/>
        <w:gridCol w:w="583"/>
        <w:gridCol w:w="583"/>
      </w:tblGrid>
      <w:tr w:rsidR="00D27E48">
        <w:trPr>
          <w:tblCellSpacing w:w="0" w:type="dxa"/>
          <w:jc w:val="center"/>
        </w:trPr>
        <w:tc>
          <w:tcPr>
            <w:tcW w:w="100" w:type="pct"/>
            <w:shd w:val="clear" w:color="auto" w:fill="CCFFCC"/>
            <w:vAlign w:val="center"/>
            <w:hideMark/>
          </w:tcPr>
          <w:p w:rsidR="00D27E48" w:rsidRDefault="00D27E48">
            <w:pPr>
              <w:rPr>
                <w:rFonts w:eastAsia="Times New Roman"/>
              </w:rPr>
            </w:pPr>
          </w:p>
        </w:tc>
        <w:tc>
          <w:tcPr>
            <w:tcW w:w="100" w:type="pct"/>
            <w:shd w:val="clear" w:color="auto" w:fill="CCFFCC"/>
            <w:vAlign w:val="center"/>
            <w:hideMark/>
          </w:tcPr>
          <w:p w:rsidR="00D27E48" w:rsidRDefault="00D27E48">
            <w:pPr>
              <w:rPr>
                <w:rFonts w:eastAsia="Times New Roman"/>
              </w:rPr>
            </w:pPr>
          </w:p>
        </w:tc>
        <w:tc>
          <w:tcPr>
            <w:tcW w:w="0" w:type="auto"/>
            <w:gridSpan w:val="3"/>
            <w:shd w:val="clear" w:color="auto" w:fill="CCFFCC"/>
            <w:vAlign w:val="center"/>
            <w:hideMark/>
          </w:tcPr>
          <w:p w:rsidR="00D27E48" w:rsidRDefault="00D27E48">
            <w:pPr>
              <w:pStyle w:val="NormalWeb"/>
              <w:jc w:val="center"/>
            </w:pPr>
            <w:r>
              <w:rPr>
                <w:b/>
                <w:bCs/>
                <w:sz w:val="20"/>
                <w:szCs w:val="20"/>
              </w:rPr>
              <w:t>INDEX</w:t>
            </w:r>
          </w:p>
        </w:tc>
      </w:tr>
      <w:tr w:rsidR="00D27E48">
        <w:trPr>
          <w:tblCellSpacing w:w="0" w:type="dxa"/>
          <w:jc w:val="center"/>
        </w:trPr>
        <w:tc>
          <w:tcPr>
            <w:tcW w:w="0" w:type="auto"/>
            <w:gridSpan w:val="3"/>
            <w:shd w:val="clear" w:color="auto" w:fill="FFFFFF"/>
            <w:vAlign w:val="center"/>
            <w:hideMark/>
          </w:tcPr>
          <w:p w:rsidR="00D27E48" w:rsidRDefault="00D27E48">
            <w:pPr>
              <w:rPr>
                <w:rFonts w:eastAsia="Times New Roman"/>
              </w:rPr>
            </w:pPr>
            <w:r>
              <w:rPr>
                <w:rFonts w:eastAsia="Times New Roman"/>
                <w:b/>
                <w:bCs/>
                <w:sz w:val="20"/>
                <w:szCs w:val="20"/>
              </w:rPr>
              <w:t>PART I</w:t>
            </w:r>
          </w:p>
        </w:tc>
        <w:tc>
          <w:tcPr>
            <w:tcW w:w="300" w:type="pct"/>
            <w:shd w:val="clear" w:color="auto" w:fill="FFFFFF"/>
            <w:vAlign w:val="center"/>
            <w:hideMark/>
          </w:tcPr>
          <w:p w:rsidR="00D27E48" w:rsidRDefault="00D27E48">
            <w:pPr>
              <w:jc w:val="right"/>
              <w:rPr>
                <w:rFonts w:eastAsia="Times New Roman"/>
              </w:rPr>
            </w:pPr>
          </w:p>
        </w:tc>
        <w:tc>
          <w:tcPr>
            <w:tcW w:w="300" w:type="pct"/>
            <w:shd w:val="clear" w:color="auto" w:fill="FFFFFF"/>
            <w:vAlign w:val="center"/>
            <w:hideMark/>
          </w:tcPr>
          <w:p w:rsidR="00D27E48" w:rsidRDefault="00D27E48">
            <w:pPr>
              <w:rPr>
                <w:rFonts w:eastAsia="Times New Roman"/>
              </w:rPr>
            </w:pPr>
          </w:p>
        </w:tc>
      </w:tr>
      <w:tr w:rsidR="00D27E48">
        <w:trPr>
          <w:tblCellSpacing w:w="0" w:type="dxa"/>
          <w:jc w:val="center"/>
        </w:trPr>
        <w:tc>
          <w:tcPr>
            <w:tcW w:w="0" w:type="auto"/>
            <w:shd w:val="clear" w:color="auto" w:fill="CCFFCC"/>
            <w:vAlign w:val="center"/>
            <w:hideMark/>
          </w:tcPr>
          <w:p w:rsidR="00D27E48" w:rsidRDefault="00D27E48">
            <w:pPr>
              <w:rPr>
                <w:rFonts w:eastAsia="Times New Roman"/>
              </w:rPr>
            </w:pPr>
          </w:p>
        </w:tc>
        <w:tc>
          <w:tcPr>
            <w:tcW w:w="0" w:type="auto"/>
            <w:gridSpan w:val="2"/>
            <w:shd w:val="clear" w:color="auto" w:fill="CCFFCC"/>
            <w:vAlign w:val="center"/>
            <w:hideMark/>
          </w:tcPr>
          <w:p w:rsidR="00D27E48" w:rsidRDefault="00D27E48">
            <w:pPr>
              <w:rPr>
                <w:rFonts w:eastAsia="Times New Roman"/>
              </w:rPr>
            </w:pPr>
            <w:r>
              <w:rPr>
                <w:rFonts w:eastAsia="Times New Roman"/>
                <w:sz w:val="20"/>
                <w:szCs w:val="20"/>
              </w:rPr>
              <w:t xml:space="preserve">Item I: Financial Statements (unaudited) </w:t>
            </w:r>
          </w:p>
        </w:tc>
        <w:tc>
          <w:tcPr>
            <w:tcW w:w="0" w:type="auto"/>
            <w:shd w:val="clear" w:color="auto" w:fill="CCFFCC"/>
            <w:vAlign w:val="center"/>
            <w:hideMark/>
          </w:tcPr>
          <w:p w:rsidR="00D27E48" w:rsidRDefault="00D27E48">
            <w:pPr>
              <w:jc w:val="right"/>
              <w:rPr>
                <w:rFonts w:eastAsia="Times New Roman"/>
              </w:rPr>
            </w:pPr>
          </w:p>
        </w:tc>
        <w:tc>
          <w:tcPr>
            <w:tcW w:w="0" w:type="auto"/>
            <w:shd w:val="clear" w:color="auto" w:fill="CCFFCC"/>
            <w:vAlign w:val="center"/>
            <w:hideMark/>
          </w:tcPr>
          <w:p w:rsidR="00D27E48" w:rsidRDefault="00D27E48">
            <w:pPr>
              <w:jc w:val="right"/>
              <w:rPr>
                <w:rFonts w:eastAsia="Times New Roman"/>
              </w:rPr>
            </w:pPr>
            <w:r>
              <w:rPr>
                <w:rFonts w:eastAsia="Times New Roman"/>
                <w:sz w:val="20"/>
                <w:szCs w:val="20"/>
              </w:rPr>
              <w:t>Page</w:t>
            </w:r>
          </w:p>
        </w:tc>
      </w:tr>
      <w:tr w:rsidR="00D27E48">
        <w:trPr>
          <w:tblCellSpacing w:w="0" w:type="dxa"/>
          <w:jc w:val="center"/>
        </w:trPr>
        <w:tc>
          <w:tcPr>
            <w:tcW w:w="0" w:type="auto"/>
            <w:shd w:val="clear" w:color="auto" w:fill="FFFFFF"/>
            <w:vAlign w:val="center"/>
            <w:hideMark/>
          </w:tcPr>
          <w:p w:rsidR="00D27E48" w:rsidRDefault="00D27E48">
            <w:pPr>
              <w:rPr>
                <w:rFonts w:eastAsia="Times New Roman"/>
              </w:rPr>
            </w:pPr>
          </w:p>
        </w:tc>
        <w:tc>
          <w:tcPr>
            <w:tcW w:w="0" w:type="auto"/>
            <w:shd w:val="clear" w:color="auto" w:fill="FFFFFF"/>
            <w:vAlign w:val="center"/>
            <w:hideMark/>
          </w:tcPr>
          <w:p w:rsidR="00D27E48" w:rsidRDefault="00D27E48">
            <w:pPr>
              <w:jc w:val="right"/>
              <w:rPr>
                <w:rFonts w:eastAsia="Times New Roman"/>
              </w:rPr>
            </w:pPr>
          </w:p>
        </w:tc>
        <w:tc>
          <w:tcPr>
            <w:tcW w:w="0" w:type="auto"/>
            <w:shd w:val="clear" w:color="auto" w:fill="FFFFFF"/>
            <w:vAlign w:val="center"/>
            <w:hideMark/>
          </w:tcPr>
          <w:p w:rsidR="00D27E48" w:rsidRDefault="00D27E48">
            <w:pPr>
              <w:rPr>
                <w:rFonts w:eastAsia="Times New Roman"/>
              </w:rPr>
            </w:pPr>
            <w:r>
              <w:rPr>
                <w:rFonts w:eastAsia="Times New Roman"/>
                <w:sz w:val="20"/>
                <w:szCs w:val="20"/>
              </w:rPr>
              <w:t>Unaudited consolidated Balance Sheet as of December 31, 2011, June 30, 2011 and June 30, 2010</w:t>
            </w:r>
          </w:p>
        </w:tc>
        <w:tc>
          <w:tcPr>
            <w:tcW w:w="0" w:type="auto"/>
            <w:shd w:val="clear" w:color="auto" w:fill="FFFFFF"/>
            <w:vAlign w:val="center"/>
            <w:hideMark/>
          </w:tcPr>
          <w:p w:rsidR="00D27E48" w:rsidRDefault="00D27E48">
            <w:pPr>
              <w:jc w:val="right"/>
              <w:rPr>
                <w:rFonts w:eastAsia="Times New Roman"/>
              </w:rPr>
            </w:pPr>
          </w:p>
        </w:tc>
        <w:tc>
          <w:tcPr>
            <w:tcW w:w="0" w:type="auto"/>
            <w:shd w:val="clear" w:color="auto" w:fill="FFFFFF"/>
            <w:vAlign w:val="center"/>
            <w:hideMark/>
          </w:tcPr>
          <w:p w:rsidR="00D27E48" w:rsidRDefault="00D27E48">
            <w:pPr>
              <w:jc w:val="right"/>
              <w:rPr>
                <w:rFonts w:eastAsia="Times New Roman"/>
              </w:rPr>
            </w:pPr>
            <w:r>
              <w:rPr>
                <w:rFonts w:eastAsia="Times New Roman"/>
                <w:sz w:val="20"/>
                <w:szCs w:val="20"/>
              </w:rPr>
              <w:t>1</w:t>
            </w:r>
          </w:p>
        </w:tc>
      </w:tr>
      <w:tr w:rsidR="00D27E48">
        <w:trPr>
          <w:tblCellSpacing w:w="0" w:type="dxa"/>
          <w:jc w:val="center"/>
        </w:trPr>
        <w:tc>
          <w:tcPr>
            <w:tcW w:w="0" w:type="auto"/>
            <w:shd w:val="clear" w:color="auto" w:fill="CCFFCC"/>
            <w:vAlign w:val="center"/>
            <w:hideMark/>
          </w:tcPr>
          <w:p w:rsidR="00D27E48" w:rsidRDefault="00D27E48">
            <w:pPr>
              <w:rPr>
                <w:rFonts w:eastAsia="Times New Roman"/>
              </w:rPr>
            </w:pPr>
          </w:p>
        </w:tc>
        <w:tc>
          <w:tcPr>
            <w:tcW w:w="0" w:type="auto"/>
            <w:shd w:val="clear" w:color="auto" w:fill="CCFFCC"/>
            <w:vAlign w:val="center"/>
            <w:hideMark/>
          </w:tcPr>
          <w:p w:rsidR="00D27E48" w:rsidRDefault="00D27E48">
            <w:pPr>
              <w:jc w:val="center"/>
              <w:rPr>
                <w:rFonts w:eastAsia="Times New Roman"/>
              </w:rPr>
            </w:pPr>
          </w:p>
        </w:tc>
        <w:tc>
          <w:tcPr>
            <w:tcW w:w="0" w:type="auto"/>
            <w:shd w:val="clear" w:color="auto" w:fill="CCFFCC"/>
            <w:vAlign w:val="center"/>
            <w:hideMark/>
          </w:tcPr>
          <w:p w:rsidR="00D27E48" w:rsidRDefault="00D27E48">
            <w:pPr>
              <w:rPr>
                <w:rFonts w:eastAsia="Times New Roman"/>
              </w:rPr>
            </w:pPr>
            <w:r>
              <w:rPr>
                <w:rFonts w:eastAsia="Times New Roman"/>
                <w:sz w:val="20"/>
                <w:szCs w:val="20"/>
              </w:rPr>
              <w:t>Unaudited Consolidated Statement of Operations and Changes in Accumulated Deficit for the three months and Six months ended December 31, 2011 and December 31, 2010</w:t>
            </w:r>
          </w:p>
        </w:tc>
        <w:tc>
          <w:tcPr>
            <w:tcW w:w="0" w:type="auto"/>
            <w:shd w:val="clear" w:color="auto" w:fill="CCFFCC"/>
            <w:vAlign w:val="center"/>
            <w:hideMark/>
          </w:tcPr>
          <w:p w:rsidR="00D27E48" w:rsidRDefault="00D27E48">
            <w:pPr>
              <w:jc w:val="right"/>
              <w:rPr>
                <w:rFonts w:eastAsia="Times New Roman"/>
              </w:rPr>
            </w:pPr>
          </w:p>
        </w:tc>
        <w:tc>
          <w:tcPr>
            <w:tcW w:w="0" w:type="auto"/>
            <w:shd w:val="clear" w:color="auto" w:fill="CCFFCC"/>
            <w:vAlign w:val="center"/>
            <w:hideMark/>
          </w:tcPr>
          <w:p w:rsidR="00D27E48" w:rsidRDefault="00D27E48">
            <w:pPr>
              <w:jc w:val="right"/>
              <w:rPr>
                <w:rFonts w:eastAsia="Times New Roman"/>
              </w:rPr>
            </w:pPr>
            <w:r>
              <w:rPr>
                <w:rFonts w:eastAsia="Times New Roman"/>
                <w:sz w:val="20"/>
                <w:szCs w:val="20"/>
              </w:rPr>
              <w:t>3</w:t>
            </w:r>
          </w:p>
        </w:tc>
      </w:tr>
      <w:tr w:rsidR="00D27E48">
        <w:trPr>
          <w:tblCellSpacing w:w="0" w:type="dxa"/>
          <w:jc w:val="center"/>
        </w:trPr>
        <w:tc>
          <w:tcPr>
            <w:tcW w:w="0" w:type="auto"/>
            <w:shd w:val="clear" w:color="auto" w:fill="FFFFFF"/>
            <w:vAlign w:val="center"/>
            <w:hideMark/>
          </w:tcPr>
          <w:p w:rsidR="00D27E48" w:rsidRDefault="00D27E48">
            <w:pPr>
              <w:rPr>
                <w:rFonts w:eastAsia="Times New Roman"/>
              </w:rPr>
            </w:pPr>
          </w:p>
        </w:tc>
        <w:tc>
          <w:tcPr>
            <w:tcW w:w="0" w:type="auto"/>
            <w:shd w:val="clear" w:color="auto" w:fill="FFFFFF"/>
            <w:vAlign w:val="center"/>
            <w:hideMark/>
          </w:tcPr>
          <w:p w:rsidR="00D27E48" w:rsidRDefault="00D27E48">
            <w:pPr>
              <w:jc w:val="right"/>
              <w:rPr>
                <w:rFonts w:eastAsia="Times New Roman"/>
              </w:rPr>
            </w:pPr>
          </w:p>
        </w:tc>
        <w:tc>
          <w:tcPr>
            <w:tcW w:w="0" w:type="auto"/>
            <w:shd w:val="clear" w:color="auto" w:fill="FFFFFF"/>
            <w:vAlign w:val="center"/>
            <w:hideMark/>
          </w:tcPr>
          <w:p w:rsidR="00D27E48" w:rsidRDefault="00D27E48">
            <w:pPr>
              <w:rPr>
                <w:rFonts w:eastAsia="Times New Roman"/>
              </w:rPr>
            </w:pPr>
            <w:r>
              <w:rPr>
                <w:rFonts w:eastAsia="Times New Roman"/>
                <w:sz w:val="20"/>
                <w:szCs w:val="20"/>
              </w:rPr>
              <w:t>Unaudited Consolidated Statement of Changes in Stockholders’ Equity and (Capital Deficiency) for the three months ended December 31, 2011 and December 31, 2010</w:t>
            </w:r>
          </w:p>
        </w:tc>
        <w:tc>
          <w:tcPr>
            <w:tcW w:w="0" w:type="auto"/>
            <w:shd w:val="clear" w:color="auto" w:fill="FFFFFF"/>
            <w:vAlign w:val="center"/>
            <w:hideMark/>
          </w:tcPr>
          <w:p w:rsidR="00D27E48" w:rsidRDefault="00D27E48">
            <w:pPr>
              <w:jc w:val="right"/>
              <w:rPr>
                <w:rFonts w:eastAsia="Times New Roman"/>
              </w:rPr>
            </w:pPr>
          </w:p>
        </w:tc>
        <w:tc>
          <w:tcPr>
            <w:tcW w:w="0" w:type="auto"/>
            <w:shd w:val="clear" w:color="auto" w:fill="FFFFFF"/>
            <w:vAlign w:val="center"/>
            <w:hideMark/>
          </w:tcPr>
          <w:p w:rsidR="00D27E48" w:rsidRDefault="00D27E48">
            <w:pPr>
              <w:jc w:val="right"/>
              <w:rPr>
                <w:rFonts w:eastAsia="Times New Roman"/>
              </w:rPr>
            </w:pPr>
            <w:r>
              <w:rPr>
                <w:rFonts w:eastAsia="Times New Roman"/>
                <w:sz w:val="20"/>
                <w:szCs w:val="20"/>
              </w:rPr>
              <w:t>4</w:t>
            </w:r>
          </w:p>
        </w:tc>
      </w:tr>
      <w:tr w:rsidR="00D27E48">
        <w:trPr>
          <w:tblCellSpacing w:w="0" w:type="dxa"/>
          <w:jc w:val="center"/>
        </w:trPr>
        <w:tc>
          <w:tcPr>
            <w:tcW w:w="0" w:type="auto"/>
            <w:shd w:val="clear" w:color="auto" w:fill="CCFFCC"/>
            <w:vAlign w:val="center"/>
            <w:hideMark/>
          </w:tcPr>
          <w:p w:rsidR="00D27E48" w:rsidRDefault="00D27E48">
            <w:pPr>
              <w:rPr>
                <w:rFonts w:eastAsia="Times New Roman"/>
              </w:rPr>
            </w:pPr>
          </w:p>
        </w:tc>
        <w:tc>
          <w:tcPr>
            <w:tcW w:w="0" w:type="auto"/>
            <w:shd w:val="clear" w:color="auto" w:fill="CCFFCC"/>
            <w:vAlign w:val="center"/>
            <w:hideMark/>
          </w:tcPr>
          <w:p w:rsidR="00D27E48" w:rsidRDefault="00D27E48">
            <w:pPr>
              <w:jc w:val="right"/>
              <w:rPr>
                <w:rFonts w:eastAsia="Times New Roman"/>
              </w:rPr>
            </w:pPr>
          </w:p>
        </w:tc>
        <w:tc>
          <w:tcPr>
            <w:tcW w:w="0" w:type="auto"/>
            <w:shd w:val="clear" w:color="auto" w:fill="CCFFCC"/>
            <w:vAlign w:val="center"/>
            <w:hideMark/>
          </w:tcPr>
          <w:p w:rsidR="00D27E48" w:rsidRDefault="00D27E48">
            <w:pPr>
              <w:rPr>
                <w:rFonts w:eastAsia="Times New Roman"/>
              </w:rPr>
            </w:pPr>
            <w:r>
              <w:rPr>
                <w:rFonts w:eastAsia="Times New Roman"/>
                <w:sz w:val="20"/>
                <w:szCs w:val="20"/>
              </w:rPr>
              <w:t>Unaudited Consolidated Statement of Cash Flow for the three months and six months ended December 31, 2011 and December 31, 2010</w:t>
            </w:r>
          </w:p>
        </w:tc>
        <w:tc>
          <w:tcPr>
            <w:tcW w:w="0" w:type="auto"/>
            <w:shd w:val="clear" w:color="auto" w:fill="CCFFCC"/>
            <w:vAlign w:val="center"/>
            <w:hideMark/>
          </w:tcPr>
          <w:p w:rsidR="00D27E48" w:rsidRDefault="00D27E48">
            <w:pPr>
              <w:jc w:val="right"/>
              <w:rPr>
                <w:rFonts w:eastAsia="Times New Roman"/>
              </w:rPr>
            </w:pPr>
          </w:p>
        </w:tc>
        <w:tc>
          <w:tcPr>
            <w:tcW w:w="0" w:type="auto"/>
            <w:shd w:val="clear" w:color="auto" w:fill="CCFFCC"/>
            <w:vAlign w:val="center"/>
            <w:hideMark/>
          </w:tcPr>
          <w:p w:rsidR="00D27E48" w:rsidRDefault="00D27E48">
            <w:pPr>
              <w:jc w:val="right"/>
              <w:rPr>
                <w:rFonts w:eastAsia="Times New Roman"/>
              </w:rPr>
            </w:pPr>
            <w:r>
              <w:rPr>
                <w:rFonts w:eastAsia="Times New Roman"/>
                <w:sz w:val="20"/>
                <w:szCs w:val="20"/>
              </w:rPr>
              <w:t>5</w:t>
            </w:r>
          </w:p>
        </w:tc>
      </w:tr>
      <w:tr w:rsidR="00D27E48">
        <w:trPr>
          <w:tblCellSpacing w:w="0" w:type="dxa"/>
          <w:jc w:val="center"/>
        </w:trPr>
        <w:tc>
          <w:tcPr>
            <w:tcW w:w="0" w:type="auto"/>
            <w:shd w:val="clear" w:color="auto" w:fill="FFFFFF"/>
            <w:vAlign w:val="center"/>
            <w:hideMark/>
          </w:tcPr>
          <w:p w:rsidR="00D27E48" w:rsidRDefault="00D27E48">
            <w:pPr>
              <w:rPr>
                <w:rFonts w:eastAsia="Times New Roman"/>
              </w:rPr>
            </w:pPr>
          </w:p>
        </w:tc>
        <w:tc>
          <w:tcPr>
            <w:tcW w:w="0" w:type="auto"/>
            <w:shd w:val="clear" w:color="auto" w:fill="FFFFFF"/>
            <w:vAlign w:val="center"/>
            <w:hideMark/>
          </w:tcPr>
          <w:p w:rsidR="00D27E48" w:rsidRDefault="00D27E48">
            <w:pPr>
              <w:jc w:val="right"/>
              <w:rPr>
                <w:rFonts w:eastAsia="Times New Roman"/>
              </w:rPr>
            </w:pPr>
          </w:p>
        </w:tc>
        <w:tc>
          <w:tcPr>
            <w:tcW w:w="0" w:type="auto"/>
            <w:shd w:val="clear" w:color="auto" w:fill="FFFFFF"/>
            <w:vAlign w:val="center"/>
            <w:hideMark/>
          </w:tcPr>
          <w:p w:rsidR="00D27E48" w:rsidRDefault="00D27E48">
            <w:pPr>
              <w:rPr>
                <w:rFonts w:eastAsia="Times New Roman"/>
              </w:rPr>
            </w:pPr>
            <w:r>
              <w:rPr>
                <w:rFonts w:eastAsia="Times New Roman"/>
                <w:sz w:val="20"/>
                <w:szCs w:val="20"/>
              </w:rPr>
              <w:t>Notes to the Consolidated Financial Statements</w:t>
            </w:r>
          </w:p>
        </w:tc>
        <w:tc>
          <w:tcPr>
            <w:tcW w:w="0" w:type="auto"/>
            <w:shd w:val="clear" w:color="auto" w:fill="FFFFFF"/>
            <w:vAlign w:val="center"/>
            <w:hideMark/>
          </w:tcPr>
          <w:p w:rsidR="00D27E48" w:rsidRDefault="00D27E48">
            <w:pPr>
              <w:jc w:val="right"/>
              <w:rPr>
                <w:rFonts w:eastAsia="Times New Roman"/>
              </w:rPr>
            </w:pPr>
          </w:p>
        </w:tc>
        <w:tc>
          <w:tcPr>
            <w:tcW w:w="0" w:type="auto"/>
            <w:shd w:val="clear" w:color="auto" w:fill="FFFFFF"/>
            <w:vAlign w:val="center"/>
            <w:hideMark/>
          </w:tcPr>
          <w:p w:rsidR="00D27E48" w:rsidRDefault="00D27E48">
            <w:pPr>
              <w:jc w:val="right"/>
              <w:rPr>
                <w:rFonts w:eastAsia="Times New Roman"/>
              </w:rPr>
            </w:pPr>
            <w:r>
              <w:rPr>
                <w:rFonts w:eastAsia="Times New Roman"/>
                <w:sz w:val="20"/>
                <w:szCs w:val="20"/>
              </w:rPr>
              <w:t>6</w:t>
            </w:r>
          </w:p>
        </w:tc>
      </w:tr>
      <w:tr w:rsidR="00D27E48">
        <w:trPr>
          <w:tblCellSpacing w:w="0" w:type="dxa"/>
          <w:jc w:val="center"/>
        </w:trPr>
        <w:tc>
          <w:tcPr>
            <w:tcW w:w="0" w:type="auto"/>
            <w:shd w:val="clear" w:color="auto" w:fill="CCFFCC"/>
            <w:vAlign w:val="center"/>
            <w:hideMark/>
          </w:tcPr>
          <w:p w:rsidR="00D27E48" w:rsidRDefault="00D27E48">
            <w:pPr>
              <w:rPr>
                <w:rFonts w:eastAsia="Times New Roman"/>
              </w:rPr>
            </w:pPr>
          </w:p>
        </w:tc>
        <w:tc>
          <w:tcPr>
            <w:tcW w:w="0" w:type="auto"/>
            <w:gridSpan w:val="2"/>
            <w:shd w:val="clear" w:color="auto" w:fill="CCFFCC"/>
            <w:vAlign w:val="center"/>
            <w:hideMark/>
          </w:tcPr>
          <w:p w:rsidR="00D27E48" w:rsidRDefault="00D27E48">
            <w:pPr>
              <w:rPr>
                <w:rFonts w:eastAsia="Times New Roman"/>
              </w:rPr>
            </w:pPr>
            <w:r>
              <w:rPr>
                <w:rFonts w:eastAsia="Times New Roman"/>
                <w:sz w:val="20"/>
                <w:szCs w:val="20"/>
              </w:rPr>
              <w:t xml:space="preserve">Item 2: Management's Discussion and Analysis of Financial Condition and Results of Operations </w:t>
            </w:r>
          </w:p>
        </w:tc>
        <w:tc>
          <w:tcPr>
            <w:tcW w:w="0" w:type="auto"/>
            <w:shd w:val="clear" w:color="auto" w:fill="CCFFCC"/>
            <w:vAlign w:val="center"/>
            <w:hideMark/>
          </w:tcPr>
          <w:p w:rsidR="00D27E48" w:rsidRDefault="00D27E48">
            <w:pPr>
              <w:jc w:val="right"/>
              <w:rPr>
                <w:rFonts w:eastAsia="Times New Roman"/>
              </w:rPr>
            </w:pPr>
          </w:p>
        </w:tc>
        <w:tc>
          <w:tcPr>
            <w:tcW w:w="0" w:type="auto"/>
            <w:shd w:val="clear" w:color="auto" w:fill="CCFFCC"/>
            <w:vAlign w:val="center"/>
            <w:hideMark/>
          </w:tcPr>
          <w:p w:rsidR="00D27E48" w:rsidRDefault="00D27E48">
            <w:pPr>
              <w:jc w:val="right"/>
              <w:rPr>
                <w:rFonts w:eastAsia="Times New Roman"/>
              </w:rPr>
            </w:pPr>
            <w:r>
              <w:rPr>
                <w:rFonts w:eastAsia="Times New Roman"/>
                <w:sz w:val="20"/>
                <w:szCs w:val="20"/>
              </w:rPr>
              <w:t>11</w:t>
            </w:r>
          </w:p>
        </w:tc>
      </w:tr>
      <w:tr w:rsidR="00D27E48">
        <w:trPr>
          <w:tblCellSpacing w:w="0" w:type="dxa"/>
          <w:jc w:val="center"/>
        </w:trPr>
        <w:tc>
          <w:tcPr>
            <w:tcW w:w="0" w:type="auto"/>
            <w:shd w:val="clear" w:color="auto" w:fill="FFFFFF"/>
            <w:vAlign w:val="center"/>
            <w:hideMark/>
          </w:tcPr>
          <w:p w:rsidR="00D27E48" w:rsidRDefault="00D27E48">
            <w:pPr>
              <w:rPr>
                <w:rFonts w:eastAsia="Times New Roman"/>
              </w:rPr>
            </w:pPr>
          </w:p>
        </w:tc>
        <w:tc>
          <w:tcPr>
            <w:tcW w:w="0" w:type="auto"/>
            <w:gridSpan w:val="2"/>
            <w:shd w:val="clear" w:color="auto" w:fill="FFFFFF"/>
            <w:vAlign w:val="center"/>
            <w:hideMark/>
          </w:tcPr>
          <w:p w:rsidR="00D27E48" w:rsidRDefault="00D27E48">
            <w:pPr>
              <w:rPr>
                <w:rFonts w:eastAsia="Times New Roman"/>
              </w:rPr>
            </w:pPr>
            <w:r>
              <w:rPr>
                <w:rFonts w:eastAsia="Times New Roman"/>
                <w:sz w:val="20"/>
                <w:szCs w:val="20"/>
              </w:rPr>
              <w:t xml:space="preserve">Item 3: Quantitative and Qualitative Disclosures about Market Risk </w:t>
            </w:r>
          </w:p>
        </w:tc>
        <w:tc>
          <w:tcPr>
            <w:tcW w:w="0" w:type="auto"/>
            <w:shd w:val="clear" w:color="auto" w:fill="FFFFFF"/>
            <w:vAlign w:val="center"/>
            <w:hideMark/>
          </w:tcPr>
          <w:p w:rsidR="00D27E48" w:rsidRDefault="00D27E48">
            <w:pPr>
              <w:jc w:val="right"/>
              <w:rPr>
                <w:rFonts w:eastAsia="Times New Roman"/>
              </w:rPr>
            </w:pPr>
          </w:p>
        </w:tc>
        <w:tc>
          <w:tcPr>
            <w:tcW w:w="0" w:type="auto"/>
            <w:shd w:val="clear" w:color="auto" w:fill="FFFFFF"/>
            <w:vAlign w:val="center"/>
            <w:hideMark/>
          </w:tcPr>
          <w:p w:rsidR="00D27E48" w:rsidRDefault="00D27E48">
            <w:pPr>
              <w:jc w:val="right"/>
              <w:rPr>
                <w:rFonts w:eastAsia="Times New Roman"/>
              </w:rPr>
            </w:pPr>
            <w:r>
              <w:rPr>
                <w:rFonts w:eastAsia="Times New Roman"/>
                <w:sz w:val="20"/>
                <w:szCs w:val="20"/>
              </w:rPr>
              <w:t>16</w:t>
            </w:r>
          </w:p>
        </w:tc>
      </w:tr>
      <w:tr w:rsidR="00D27E48">
        <w:trPr>
          <w:tblCellSpacing w:w="0" w:type="dxa"/>
          <w:jc w:val="center"/>
        </w:trPr>
        <w:tc>
          <w:tcPr>
            <w:tcW w:w="0" w:type="auto"/>
            <w:shd w:val="clear" w:color="auto" w:fill="CCFFCC"/>
            <w:vAlign w:val="center"/>
            <w:hideMark/>
          </w:tcPr>
          <w:p w:rsidR="00D27E48" w:rsidRDefault="00D27E48">
            <w:pPr>
              <w:rPr>
                <w:rFonts w:eastAsia="Times New Roman"/>
              </w:rPr>
            </w:pPr>
          </w:p>
        </w:tc>
        <w:tc>
          <w:tcPr>
            <w:tcW w:w="0" w:type="auto"/>
            <w:gridSpan w:val="2"/>
            <w:shd w:val="clear" w:color="auto" w:fill="CCFFCC"/>
            <w:vAlign w:val="center"/>
            <w:hideMark/>
          </w:tcPr>
          <w:p w:rsidR="00D27E48" w:rsidRDefault="00D27E48">
            <w:pPr>
              <w:rPr>
                <w:rFonts w:eastAsia="Times New Roman"/>
              </w:rPr>
            </w:pPr>
            <w:r>
              <w:rPr>
                <w:rFonts w:eastAsia="Times New Roman"/>
                <w:sz w:val="20"/>
                <w:szCs w:val="20"/>
              </w:rPr>
              <w:t>Item 4: Controls and Procedures</w:t>
            </w:r>
          </w:p>
        </w:tc>
        <w:tc>
          <w:tcPr>
            <w:tcW w:w="0" w:type="auto"/>
            <w:shd w:val="clear" w:color="auto" w:fill="CCFFCC"/>
            <w:vAlign w:val="center"/>
            <w:hideMark/>
          </w:tcPr>
          <w:p w:rsidR="00D27E48" w:rsidRDefault="00D27E48">
            <w:pPr>
              <w:jc w:val="right"/>
              <w:rPr>
                <w:rFonts w:eastAsia="Times New Roman"/>
              </w:rPr>
            </w:pPr>
          </w:p>
        </w:tc>
        <w:tc>
          <w:tcPr>
            <w:tcW w:w="0" w:type="auto"/>
            <w:shd w:val="clear" w:color="auto" w:fill="CCFFCC"/>
            <w:vAlign w:val="center"/>
            <w:hideMark/>
          </w:tcPr>
          <w:p w:rsidR="00D27E48" w:rsidRDefault="00D27E48">
            <w:pPr>
              <w:jc w:val="right"/>
              <w:rPr>
                <w:rFonts w:eastAsia="Times New Roman"/>
              </w:rPr>
            </w:pPr>
            <w:r>
              <w:rPr>
                <w:rFonts w:eastAsia="Times New Roman"/>
                <w:sz w:val="20"/>
                <w:szCs w:val="20"/>
              </w:rPr>
              <w:t>16</w:t>
            </w:r>
          </w:p>
        </w:tc>
      </w:tr>
      <w:tr w:rsidR="00D27E48">
        <w:trPr>
          <w:tblCellSpacing w:w="0" w:type="dxa"/>
          <w:jc w:val="center"/>
        </w:trPr>
        <w:tc>
          <w:tcPr>
            <w:tcW w:w="0" w:type="auto"/>
            <w:gridSpan w:val="3"/>
            <w:shd w:val="clear" w:color="auto" w:fill="FFFFFF"/>
            <w:vAlign w:val="center"/>
            <w:hideMark/>
          </w:tcPr>
          <w:p w:rsidR="00D27E48" w:rsidRDefault="00D27E48">
            <w:pPr>
              <w:rPr>
                <w:rFonts w:eastAsia="Times New Roman"/>
              </w:rPr>
            </w:pPr>
            <w:r>
              <w:rPr>
                <w:rFonts w:eastAsia="Times New Roman"/>
                <w:sz w:val="20"/>
                <w:szCs w:val="20"/>
              </w:rPr>
              <w:t>PART II</w:t>
            </w:r>
          </w:p>
        </w:tc>
        <w:tc>
          <w:tcPr>
            <w:tcW w:w="0" w:type="auto"/>
            <w:shd w:val="clear" w:color="auto" w:fill="FFFFFF"/>
            <w:vAlign w:val="center"/>
            <w:hideMark/>
          </w:tcPr>
          <w:p w:rsidR="00D27E48" w:rsidRDefault="00D27E48">
            <w:pPr>
              <w:jc w:val="right"/>
              <w:rPr>
                <w:rFonts w:eastAsia="Times New Roman"/>
              </w:rPr>
            </w:pPr>
          </w:p>
        </w:tc>
        <w:tc>
          <w:tcPr>
            <w:tcW w:w="0" w:type="auto"/>
            <w:shd w:val="clear" w:color="auto" w:fill="FFFFFF"/>
            <w:vAlign w:val="center"/>
            <w:hideMark/>
          </w:tcPr>
          <w:p w:rsidR="00D27E48" w:rsidRDefault="00D27E48">
            <w:pPr>
              <w:rPr>
                <w:rFonts w:eastAsia="Times New Roman"/>
              </w:rPr>
            </w:pPr>
          </w:p>
        </w:tc>
      </w:tr>
      <w:tr w:rsidR="00D27E48">
        <w:trPr>
          <w:tblCellSpacing w:w="0" w:type="dxa"/>
          <w:jc w:val="center"/>
        </w:trPr>
        <w:tc>
          <w:tcPr>
            <w:tcW w:w="0" w:type="auto"/>
            <w:shd w:val="clear" w:color="auto" w:fill="CCFFCC"/>
            <w:vAlign w:val="center"/>
            <w:hideMark/>
          </w:tcPr>
          <w:p w:rsidR="00D27E48" w:rsidRDefault="00D27E48">
            <w:pPr>
              <w:rPr>
                <w:rFonts w:eastAsia="Times New Roman"/>
              </w:rPr>
            </w:pPr>
          </w:p>
        </w:tc>
        <w:tc>
          <w:tcPr>
            <w:tcW w:w="0" w:type="auto"/>
            <w:gridSpan w:val="2"/>
            <w:shd w:val="clear" w:color="auto" w:fill="CCFFCC"/>
            <w:vAlign w:val="center"/>
            <w:hideMark/>
          </w:tcPr>
          <w:p w:rsidR="00D27E48" w:rsidRDefault="00D27E48">
            <w:pPr>
              <w:rPr>
                <w:rFonts w:eastAsia="Times New Roman"/>
              </w:rPr>
            </w:pPr>
            <w:r>
              <w:rPr>
                <w:rFonts w:eastAsia="Times New Roman"/>
                <w:sz w:val="20"/>
                <w:szCs w:val="20"/>
              </w:rPr>
              <w:t xml:space="preserve">Item 1: Legal Proceedings </w:t>
            </w:r>
          </w:p>
        </w:tc>
        <w:tc>
          <w:tcPr>
            <w:tcW w:w="0" w:type="auto"/>
            <w:shd w:val="clear" w:color="auto" w:fill="CCFFCC"/>
            <w:vAlign w:val="center"/>
            <w:hideMark/>
          </w:tcPr>
          <w:p w:rsidR="00D27E48" w:rsidRDefault="00D27E48">
            <w:pPr>
              <w:jc w:val="right"/>
              <w:rPr>
                <w:rFonts w:eastAsia="Times New Roman"/>
              </w:rPr>
            </w:pPr>
          </w:p>
        </w:tc>
        <w:tc>
          <w:tcPr>
            <w:tcW w:w="0" w:type="auto"/>
            <w:shd w:val="clear" w:color="auto" w:fill="CCFFCC"/>
            <w:vAlign w:val="center"/>
            <w:hideMark/>
          </w:tcPr>
          <w:p w:rsidR="00D27E48" w:rsidRDefault="00D27E48">
            <w:pPr>
              <w:jc w:val="right"/>
              <w:rPr>
                <w:rFonts w:eastAsia="Times New Roman"/>
              </w:rPr>
            </w:pPr>
            <w:r>
              <w:rPr>
                <w:rFonts w:eastAsia="Times New Roman"/>
                <w:sz w:val="20"/>
                <w:szCs w:val="20"/>
              </w:rPr>
              <w:t>18</w:t>
            </w:r>
          </w:p>
        </w:tc>
      </w:tr>
      <w:tr w:rsidR="00D27E48">
        <w:trPr>
          <w:tblCellSpacing w:w="0" w:type="dxa"/>
          <w:jc w:val="center"/>
        </w:trPr>
        <w:tc>
          <w:tcPr>
            <w:tcW w:w="0" w:type="auto"/>
            <w:shd w:val="clear" w:color="auto" w:fill="FFFFFF"/>
            <w:vAlign w:val="center"/>
            <w:hideMark/>
          </w:tcPr>
          <w:p w:rsidR="00D27E48" w:rsidRDefault="00D27E48">
            <w:pPr>
              <w:rPr>
                <w:rFonts w:eastAsia="Times New Roman"/>
              </w:rPr>
            </w:pPr>
          </w:p>
        </w:tc>
        <w:tc>
          <w:tcPr>
            <w:tcW w:w="0" w:type="auto"/>
            <w:gridSpan w:val="2"/>
            <w:shd w:val="clear" w:color="auto" w:fill="FFFFFF"/>
            <w:vAlign w:val="center"/>
            <w:hideMark/>
          </w:tcPr>
          <w:p w:rsidR="00D27E48" w:rsidRDefault="00D27E48">
            <w:pPr>
              <w:rPr>
                <w:rFonts w:eastAsia="Times New Roman"/>
              </w:rPr>
            </w:pPr>
            <w:r>
              <w:rPr>
                <w:rFonts w:eastAsia="Times New Roman"/>
                <w:sz w:val="20"/>
                <w:szCs w:val="20"/>
              </w:rPr>
              <w:t xml:space="preserve">Item 2: Unregistered Sales of Equity Securities and Use of Proceeds </w:t>
            </w:r>
          </w:p>
        </w:tc>
        <w:tc>
          <w:tcPr>
            <w:tcW w:w="0" w:type="auto"/>
            <w:shd w:val="clear" w:color="auto" w:fill="FFFFFF"/>
            <w:vAlign w:val="center"/>
            <w:hideMark/>
          </w:tcPr>
          <w:p w:rsidR="00D27E48" w:rsidRDefault="00D27E48">
            <w:pPr>
              <w:jc w:val="right"/>
              <w:rPr>
                <w:rFonts w:eastAsia="Times New Roman"/>
              </w:rPr>
            </w:pPr>
          </w:p>
        </w:tc>
        <w:tc>
          <w:tcPr>
            <w:tcW w:w="0" w:type="auto"/>
            <w:shd w:val="clear" w:color="auto" w:fill="FFFFFF"/>
            <w:vAlign w:val="center"/>
            <w:hideMark/>
          </w:tcPr>
          <w:p w:rsidR="00D27E48" w:rsidRDefault="00D27E48">
            <w:pPr>
              <w:jc w:val="right"/>
              <w:rPr>
                <w:rFonts w:eastAsia="Times New Roman"/>
              </w:rPr>
            </w:pPr>
            <w:r>
              <w:rPr>
                <w:rFonts w:eastAsia="Times New Roman"/>
                <w:sz w:val="20"/>
                <w:szCs w:val="20"/>
              </w:rPr>
              <w:t>18</w:t>
            </w:r>
          </w:p>
        </w:tc>
      </w:tr>
      <w:tr w:rsidR="00D27E48">
        <w:trPr>
          <w:tblCellSpacing w:w="0" w:type="dxa"/>
          <w:jc w:val="center"/>
        </w:trPr>
        <w:tc>
          <w:tcPr>
            <w:tcW w:w="0" w:type="auto"/>
            <w:shd w:val="clear" w:color="auto" w:fill="CCFFCC"/>
            <w:vAlign w:val="center"/>
            <w:hideMark/>
          </w:tcPr>
          <w:p w:rsidR="00D27E48" w:rsidRDefault="00D27E48">
            <w:pPr>
              <w:rPr>
                <w:rFonts w:eastAsia="Times New Roman"/>
              </w:rPr>
            </w:pPr>
          </w:p>
        </w:tc>
        <w:tc>
          <w:tcPr>
            <w:tcW w:w="0" w:type="auto"/>
            <w:gridSpan w:val="2"/>
            <w:shd w:val="clear" w:color="auto" w:fill="CCFFCC"/>
            <w:vAlign w:val="center"/>
            <w:hideMark/>
          </w:tcPr>
          <w:p w:rsidR="00D27E48" w:rsidRDefault="00D27E48">
            <w:pPr>
              <w:rPr>
                <w:rFonts w:eastAsia="Times New Roman"/>
              </w:rPr>
            </w:pPr>
            <w:r>
              <w:rPr>
                <w:rFonts w:eastAsia="Times New Roman"/>
                <w:sz w:val="20"/>
                <w:szCs w:val="20"/>
              </w:rPr>
              <w:t>Item 3: Defaults Upon Senior Securities</w:t>
            </w:r>
          </w:p>
        </w:tc>
        <w:tc>
          <w:tcPr>
            <w:tcW w:w="0" w:type="auto"/>
            <w:shd w:val="clear" w:color="auto" w:fill="CCFFCC"/>
            <w:vAlign w:val="center"/>
            <w:hideMark/>
          </w:tcPr>
          <w:p w:rsidR="00D27E48" w:rsidRDefault="00D27E48">
            <w:pPr>
              <w:jc w:val="right"/>
              <w:rPr>
                <w:rFonts w:eastAsia="Times New Roman"/>
              </w:rPr>
            </w:pPr>
          </w:p>
        </w:tc>
        <w:tc>
          <w:tcPr>
            <w:tcW w:w="0" w:type="auto"/>
            <w:shd w:val="clear" w:color="auto" w:fill="CCFFCC"/>
            <w:vAlign w:val="center"/>
            <w:hideMark/>
          </w:tcPr>
          <w:p w:rsidR="00D27E48" w:rsidRDefault="00D27E48">
            <w:pPr>
              <w:jc w:val="right"/>
              <w:rPr>
                <w:rFonts w:eastAsia="Times New Roman"/>
              </w:rPr>
            </w:pPr>
            <w:r>
              <w:rPr>
                <w:rFonts w:eastAsia="Times New Roman"/>
                <w:sz w:val="20"/>
                <w:szCs w:val="20"/>
              </w:rPr>
              <w:t>18</w:t>
            </w:r>
          </w:p>
        </w:tc>
      </w:tr>
      <w:tr w:rsidR="00D27E48">
        <w:trPr>
          <w:tblCellSpacing w:w="0" w:type="dxa"/>
          <w:jc w:val="center"/>
        </w:trPr>
        <w:tc>
          <w:tcPr>
            <w:tcW w:w="0" w:type="auto"/>
            <w:shd w:val="clear" w:color="auto" w:fill="FFFFFF"/>
            <w:vAlign w:val="center"/>
            <w:hideMark/>
          </w:tcPr>
          <w:p w:rsidR="00D27E48" w:rsidRDefault="00D27E48">
            <w:pPr>
              <w:rPr>
                <w:rFonts w:eastAsia="Times New Roman"/>
              </w:rPr>
            </w:pPr>
          </w:p>
        </w:tc>
        <w:tc>
          <w:tcPr>
            <w:tcW w:w="0" w:type="auto"/>
            <w:gridSpan w:val="2"/>
            <w:shd w:val="clear" w:color="auto" w:fill="FFFFFF"/>
            <w:vAlign w:val="center"/>
            <w:hideMark/>
          </w:tcPr>
          <w:p w:rsidR="00D27E48" w:rsidRDefault="00D27E48">
            <w:pPr>
              <w:rPr>
                <w:rFonts w:eastAsia="Times New Roman"/>
              </w:rPr>
            </w:pPr>
            <w:r>
              <w:rPr>
                <w:rFonts w:eastAsia="Times New Roman"/>
                <w:sz w:val="20"/>
                <w:szCs w:val="20"/>
              </w:rPr>
              <w:t>Item 4: Submission of Matters To a Vote of Security Holders</w:t>
            </w:r>
          </w:p>
        </w:tc>
        <w:tc>
          <w:tcPr>
            <w:tcW w:w="0" w:type="auto"/>
            <w:shd w:val="clear" w:color="auto" w:fill="FFFFFF"/>
            <w:vAlign w:val="center"/>
            <w:hideMark/>
          </w:tcPr>
          <w:p w:rsidR="00D27E48" w:rsidRDefault="00D27E48">
            <w:pPr>
              <w:jc w:val="right"/>
              <w:rPr>
                <w:rFonts w:eastAsia="Times New Roman"/>
              </w:rPr>
            </w:pPr>
          </w:p>
        </w:tc>
        <w:tc>
          <w:tcPr>
            <w:tcW w:w="0" w:type="auto"/>
            <w:shd w:val="clear" w:color="auto" w:fill="FFFFFF"/>
            <w:vAlign w:val="center"/>
            <w:hideMark/>
          </w:tcPr>
          <w:p w:rsidR="00D27E48" w:rsidRDefault="00D27E48">
            <w:pPr>
              <w:jc w:val="right"/>
              <w:rPr>
                <w:rFonts w:eastAsia="Times New Roman"/>
              </w:rPr>
            </w:pPr>
            <w:r>
              <w:rPr>
                <w:rFonts w:eastAsia="Times New Roman"/>
                <w:sz w:val="20"/>
                <w:szCs w:val="20"/>
              </w:rPr>
              <w:t>18</w:t>
            </w:r>
          </w:p>
        </w:tc>
      </w:tr>
      <w:tr w:rsidR="00D27E48">
        <w:trPr>
          <w:tblCellSpacing w:w="0" w:type="dxa"/>
          <w:jc w:val="center"/>
        </w:trPr>
        <w:tc>
          <w:tcPr>
            <w:tcW w:w="0" w:type="auto"/>
            <w:shd w:val="clear" w:color="auto" w:fill="CCFFCC"/>
            <w:vAlign w:val="center"/>
            <w:hideMark/>
          </w:tcPr>
          <w:p w:rsidR="00D27E48" w:rsidRDefault="00D27E48">
            <w:pPr>
              <w:rPr>
                <w:rFonts w:eastAsia="Times New Roman"/>
              </w:rPr>
            </w:pPr>
          </w:p>
        </w:tc>
        <w:tc>
          <w:tcPr>
            <w:tcW w:w="0" w:type="auto"/>
            <w:gridSpan w:val="2"/>
            <w:shd w:val="clear" w:color="auto" w:fill="CCFFCC"/>
            <w:vAlign w:val="center"/>
            <w:hideMark/>
          </w:tcPr>
          <w:p w:rsidR="00D27E48" w:rsidRDefault="00D27E48">
            <w:pPr>
              <w:rPr>
                <w:rFonts w:eastAsia="Times New Roman"/>
              </w:rPr>
            </w:pPr>
            <w:r>
              <w:rPr>
                <w:rFonts w:eastAsia="Times New Roman"/>
                <w:sz w:val="20"/>
                <w:szCs w:val="20"/>
              </w:rPr>
              <w:t xml:space="preserve">Item 5: Other Information </w:t>
            </w:r>
          </w:p>
        </w:tc>
        <w:tc>
          <w:tcPr>
            <w:tcW w:w="0" w:type="auto"/>
            <w:shd w:val="clear" w:color="auto" w:fill="CCFFCC"/>
            <w:vAlign w:val="center"/>
            <w:hideMark/>
          </w:tcPr>
          <w:p w:rsidR="00D27E48" w:rsidRDefault="00D27E48">
            <w:pPr>
              <w:jc w:val="right"/>
              <w:rPr>
                <w:rFonts w:eastAsia="Times New Roman"/>
              </w:rPr>
            </w:pPr>
          </w:p>
        </w:tc>
        <w:tc>
          <w:tcPr>
            <w:tcW w:w="0" w:type="auto"/>
            <w:shd w:val="clear" w:color="auto" w:fill="CCFFCC"/>
            <w:vAlign w:val="center"/>
            <w:hideMark/>
          </w:tcPr>
          <w:p w:rsidR="00D27E48" w:rsidRDefault="00D27E48">
            <w:pPr>
              <w:jc w:val="right"/>
              <w:rPr>
                <w:rFonts w:eastAsia="Times New Roman"/>
              </w:rPr>
            </w:pPr>
            <w:r>
              <w:rPr>
                <w:rFonts w:eastAsia="Times New Roman"/>
                <w:sz w:val="20"/>
                <w:szCs w:val="20"/>
              </w:rPr>
              <w:t>18</w:t>
            </w:r>
          </w:p>
        </w:tc>
      </w:tr>
      <w:tr w:rsidR="00D27E48">
        <w:trPr>
          <w:tblCellSpacing w:w="0" w:type="dxa"/>
          <w:jc w:val="center"/>
        </w:trPr>
        <w:tc>
          <w:tcPr>
            <w:tcW w:w="0" w:type="auto"/>
            <w:shd w:val="clear" w:color="auto" w:fill="FFFFFF"/>
            <w:vAlign w:val="center"/>
            <w:hideMark/>
          </w:tcPr>
          <w:p w:rsidR="00D27E48" w:rsidRDefault="00D27E48">
            <w:pPr>
              <w:rPr>
                <w:rFonts w:eastAsia="Times New Roman"/>
              </w:rPr>
            </w:pPr>
          </w:p>
        </w:tc>
        <w:tc>
          <w:tcPr>
            <w:tcW w:w="0" w:type="auto"/>
            <w:gridSpan w:val="2"/>
            <w:shd w:val="clear" w:color="auto" w:fill="FFFFFF"/>
            <w:vAlign w:val="center"/>
            <w:hideMark/>
          </w:tcPr>
          <w:p w:rsidR="00D27E48" w:rsidRDefault="00D27E48">
            <w:pPr>
              <w:rPr>
                <w:rFonts w:eastAsia="Times New Roman"/>
              </w:rPr>
            </w:pPr>
            <w:r>
              <w:rPr>
                <w:rFonts w:eastAsia="Times New Roman"/>
                <w:sz w:val="20"/>
                <w:szCs w:val="20"/>
              </w:rPr>
              <w:t xml:space="preserve">Item 6. Exhibits and Reports on Form 8-K </w:t>
            </w:r>
          </w:p>
        </w:tc>
        <w:tc>
          <w:tcPr>
            <w:tcW w:w="0" w:type="auto"/>
            <w:shd w:val="clear" w:color="auto" w:fill="FFFFFF"/>
            <w:vAlign w:val="center"/>
            <w:hideMark/>
          </w:tcPr>
          <w:p w:rsidR="00D27E48" w:rsidRDefault="00D27E48">
            <w:pPr>
              <w:jc w:val="right"/>
              <w:rPr>
                <w:rFonts w:eastAsia="Times New Roman"/>
              </w:rPr>
            </w:pPr>
          </w:p>
        </w:tc>
        <w:tc>
          <w:tcPr>
            <w:tcW w:w="0" w:type="auto"/>
            <w:shd w:val="clear" w:color="auto" w:fill="FFFFFF"/>
            <w:vAlign w:val="center"/>
            <w:hideMark/>
          </w:tcPr>
          <w:p w:rsidR="00D27E48" w:rsidRDefault="00D27E48">
            <w:pPr>
              <w:jc w:val="right"/>
              <w:rPr>
                <w:rFonts w:eastAsia="Times New Roman"/>
              </w:rPr>
            </w:pPr>
            <w:r>
              <w:rPr>
                <w:rFonts w:eastAsia="Times New Roman"/>
                <w:sz w:val="20"/>
                <w:szCs w:val="20"/>
              </w:rPr>
              <w:t>18</w:t>
            </w:r>
          </w:p>
        </w:tc>
      </w:tr>
      <w:tr w:rsidR="00D27E48">
        <w:trPr>
          <w:tblCellSpacing w:w="0" w:type="dxa"/>
          <w:jc w:val="center"/>
        </w:trPr>
        <w:tc>
          <w:tcPr>
            <w:tcW w:w="0" w:type="auto"/>
            <w:gridSpan w:val="3"/>
            <w:shd w:val="clear" w:color="auto" w:fill="CCFFCC"/>
            <w:vAlign w:val="center"/>
            <w:hideMark/>
          </w:tcPr>
          <w:p w:rsidR="00D27E48" w:rsidRDefault="00D27E48">
            <w:pPr>
              <w:rPr>
                <w:rFonts w:eastAsia="Times New Roman"/>
              </w:rPr>
            </w:pPr>
            <w:r>
              <w:rPr>
                <w:rFonts w:eastAsia="Times New Roman"/>
                <w:sz w:val="20"/>
                <w:szCs w:val="20"/>
              </w:rPr>
              <w:t>Signature</w:t>
            </w:r>
          </w:p>
        </w:tc>
        <w:tc>
          <w:tcPr>
            <w:tcW w:w="0" w:type="auto"/>
            <w:shd w:val="clear" w:color="auto" w:fill="CCFFCC"/>
            <w:vAlign w:val="center"/>
            <w:hideMark/>
          </w:tcPr>
          <w:p w:rsidR="00D27E48" w:rsidRDefault="00D27E48">
            <w:pPr>
              <w:jc w:val="right"/>
              <w:rPr>
                <w:rFonts w:eastAsia="Times New Roman"/>
              </w:rPr>
            </w:pPr>
          </w:p>
        </w:tc>
        <w:tc>
          <w:tcPr>
            <w:tcW w:w="0" w:type="auto"/>
            <w:shd w:val="clear" w:color="auto" w:fill="CCFFCC"/>
            <w:vAlign w:val="center"/>
            <w:hideMark/>
          </w:tcPr>
          <w:p w:rsidR="00D27E48" w:rsidRDefault="00D27E48">
            <w:pPr>
              <w:jc w:val="right"/>
              <w:rPr>
                <w:rFonts w:eastAsia="Times New Roman"/>
              </w:rPr>
            </w:pPr>
            <w:r>
              <w:rPr>
                <w:rFonts w:eastAsia="Times New Roman"/>
                <w:sz w:val="20"/>
                <w:szCs w:val="20"/>
              </w:rPr>
              <w:t>19</w:t>
            </w:r>
          </w:p>
        </w:tc>
      </w:tr>
      <w:tr w:rsidR="00D27E48">
        <w:trPr>
          <w:tblCellSpacing w:w="0" w:type="dxa"/>
          <w:jc w:val="center"/>
        </w:trPr>
        <w:tc>
          <w:tcPr>
            <w:tcW w:w="0" w:type="auto"/>
            <w:gridSpan w:val="3"/>
            <w:shd w:val="clear" w:color="auto" w:fill="FFFFFF"/>
            <w:vAlign w:val="center"/>
            <w:hideMark/>
          </w:tcPr>
          <w:p w:rsidR="00D27E48" w:rsidRDefault="00D27E48">
            <w:pPr>
              <w:rPr>
                <w:rFonts w:eastAsia="Times New Roman"/>
              </w:rPr>
            </w:pPr>
            <w:r>
              <w:rPr>
                <w:rFonts w:eastAsia="Times New Roman"/>
                <w:sz w:val="20"/>
                <w:szCs w:val="20"/>
              </w:rPr>
              <w:t>EXHIBIT 99.1 (A), 99.1(B) Certifications of Officers</w:t>
            </w:r>
          </w:p>
        </w:tc>
        <w:tc>
          <w:tcPr>
            <w:tcW w:w="0" w:type="auto"/>
            <w:shd w:val="clear" w:color="auto" w:fill="FFFFFF"/>
            <w:vAlign w:val="center"/>
            <w:hideMark/>
          </w:tcPr>
          <w:p w:rsidR="00D27E48" w:rsidRDefault="00D27E48">
            <w:pPr>
              <w:jc w:val="right"/>
              <w:rPr>
                <w:rFonts w:eastAsia="Times New Roman"/>
              </w:rPr>
            </w:pPr>
          </w:p>
        </w:tc>
        <w:tc>
          <w:tcPr>
            <w:tcW w:w="0" w:type="auto"/>
            <w:shd w:val="clear" w:color="auto" w:fill="FFFFFF"/>
            <w:vAlign w:val="center"/>
            <w:hideMark/>
          </w:tcPr>
          <w:p w:rsidR="00D27E48" w:rsidRDefault="00D27E48">
            <w:pPr>
              <w:jc w:val="right"/>
              <w:rPr>
                <w:rFonts w:eastAsia="Times New Roman"/>
              </w:rPr>
            </w:pPr>
            <w:r>
              <w:rPr>
                <w:rFonts w:eastAsia="Times New Roman"/>
                <w:sz w:val="20"/>
                <w:szCs w:val="20"/>
              </w:rPr>
              <w:t>EX 31</w:t>
            </w:r>
          </w:p>
        </w:tc>
      </w:tr>
      <w:tr w:rsidR="00D27E48">
        <w:trPr>
          <w:tblCellSpacing w:w="0" w:type="dxa"/>
          <w:jc w:val="center"/>
        </w:trPr>
        <w:tc>
          <w:tcPr>
            <w:tcW w:w="0" w:type="auto"/>
            <w:gridSpan w:val="3"/>
            <w:shd w:val="clear" w:color="auto" w:fill="CCFFCC"/>
            <w:vAlign w:val="center"/>
            <w:hideMark/>
          </w:tcPr>
          <w:p w:rsidR="00D27E48" w:rsidRDefault="00D27E48">
            <w:pPr>
              <w:rPr>
                <w:rFonts w:eastAsia="Times New Roman"/>
              </w:rPr>
            </w:pPr>
            <w:r>
              <w:rPr>
                <w:rFonts w:eastAsia="Times New Roman"/>
                <w:sz w:val="20"/>
                <w:szCs w:val="20"/>
              </w:rPr>
              <w:t>EXHIBIT 99.1 (C), 99.1(D) Certifications of Officers</w:t>
            </w:r>
          </w:p>
        </w:tc>
        <w:tc>
          <w:tcPr>
            <w:tcW w:w="0" w:type="auto"/>
            <w:shd w:val="clear" w:color="auto" w:fill="CCFFCC"/>
            <w:vAlign w:val="center"/>
            <w:hideMark/>
          </w:tcPr>
          <w:p w:rsidR="00D27E48" w:rsidRDefault="00D27E48">
            <w:pPr>
              <w:jc w:val="right"/>
              <w:rPr>
                <w:rFonts w:eastAsia="Times New Roman"/>
              </w:rPr>
            </w:pPr>
          </w:p>
        </w:tc>
        <w:tc>
          <w:tcPr>
            <w:tcW w:w="0" w:type="auto"/>
            <w:shd w:val="clear" w:color="auto" w:fill="CCFFCC"/>
            <w:vAlign w:val="center"/>
            <w:hideMark/>
          </w:tcPr>
          <w:p w:rsidR="00D27E48" w:rsidRDefault="00D27E48">
            <w:pPr>
              <w:jc w:val="right"/>
              <w:rPr>
                <w:rFonts w:eastAsia="Times New Roman"/>
              </w:rPr>
            </w:pPr>
            <w:r>
              <w:rPr>
                <w:rFonts w:eastAsia="Times New Roman"/>
                <w:sz w:val="20"/>
                <w:szCs w:val="20"/>
              </w:rPr>
              <w:t>EX 32</w:t>
            </w:r>
          </w:p>
        </w:tc>
      </w:tr>
      <w:tr w:rsidR="00D27E48">
        <w:trPr>
          <w:tblCellSpacing w:w="0" w:type="dxa"/>
          <w:jc w:val="center"/>
        </w:trPr>
        <w:tc>
          <w:tcPr>
            <w:tcW w:w="0" w:type="auto"/>
            <w:shd w:val="clear" w:color="auto" w:fill="FFFFFF"/>
            <w:vAlign w:val="center"/>
            <w:hideMark/>
          </w:tcPr>
          <w:p w:rsidR="00D27E48" w:rsidRDefault="00D27E48">
            <w:pPr>
              <w:rPr>
                <w:rFonts w:eastAsia="Times New Roman"/>
              </w:rPr>
            </w:pPr>
          </w:p>
        </w:tc>
        <w:tc>
          <w:tcPr>
            <w:tcW w:w="0" w:type="auto"/>
            <w:shd w:val="clear" w:color="auto" w:fill="FFFFFF"/>
            <w:vAlign w:val="center"/>
            <w:hideMark/>
          </w:tcPr>
          <w:p w:rsidR="00D27E48" w:rsidRDefault="00D27E48">
            <w:pPr>
              <w:jc w:val="right"/>
              <w:rPr>
                <w:rFonts w:eastAsia="Times New Roman"/>
              </w:rPr>
            </w:pPr>
          </w:p>
        </w:tc>
        <w:tc>
          <w:tcPr>
            <w:tcW w:w="0" w:type="auto"/>
            <w:shd w:val="clear" w:color="auto" w:fill="FFFFFF"/>
            <w:vAlign w:val="center"/>
            <w:hideMark/>
          </w:tcPr>
          <w:p w:rsidR="00D27E48" w:rsidRDefault="00D27E48">
            <w:pPr>
              <w:rPr>
                <w:rFonts w:eastAsia="Times New Roman"/>
              </w:rPr>
            </w:pPr>
            <w:r>
              <w:rPr>
                <w:rFonts w:eastAsia="Times New Roman"/>
                <w:sz w:val="20"/>
                <w:szCs w:val="20"/>
              </w:rPr>
              <w:t> </w:t>
            </w:r>
          </w:p>
        </w:tc>
        <w:tc>
          <w:tcPr>
            <w:tcW w:w="0" w:type="auto"/>
            <w:shd w:val="clear" w:color="auto" w:fill="FFFFFF"/>
            <w:vAlign w:val="center"/>
            <w:hideMark/>
          </w:tcPr>
          <w:p w:rsidR="00D27E48" w:rsidRDefault="00D27E48">
            <w:pPr>
              <w:jc w:val="right"/>
              <w:rPr>
                <w:rFonts w:eastAsia="Times New Roman"/>
              </w:rPr>
            </w:pPr>
          </w:p>
        </w:tc>
        <w:tc>
          <w:tcPr>
            <w:tcW w:w="0" w:type="auto"/>
            <w:shd w:val="clear" w:color="auto" w:fill="FFFFFF"/>
            <w:vAlign w:val="center"/>
            <w:hideMark/>
          </w:tcPr>
          <w:p w:rsidR="00D27E48" w:rsidRDefault="00D27E48">
            <w:pPr>
              <w:rPr>
                <w:rFonts w:eastAsia="Times New Roman"/>
              </w:rPr>
            </w:pPr>
            <w:r>
              <w:rPr>
                <w:rFonts w:eastAsia="Times New Roman"/>
                <w:sz w:val="20"/>
                <w:szCs w:val="20"/>
              </w:rPr>
              <w:t> </w:t>
            </w:r>
          </w:p>
        </w:tc>
      </w:tr>
    </w:tbl>
    <w:p w:rsidR="0047090F" w:rsidRDefault="007E7BD4">
      <w:pPr>
        <w:rPr>
          <w:rFonts w:eastAsia="Times New Roman"/>
        </w:rPr>
      </w:pPr>
      <w:r w:rsidRPr="007E7BD4">
        <w:rPr>
          <w:rFonts w:eastAsia="Times New Roman"/>
        </w:rPr>
        <w:pict>
          <v:rect id="_x0000_i1029" style="width:0;height:3pt" o:hralign="center" o:hrstd="t" o:hrnoshade="t" o:hr="t" fillcolor="black" stroked="f"/>
        </w:pict>
      </w:r>
    </w:p>
    <w:p w:rsidR="0047090F" w:rsidRDefault="0047090F">
      <w:pPr>
        <w:rPr>
          <w:rFonts w:eastAsia="Times New Roman"/>
        </w:rPr>
      </w:pPr>
      <w:r>
        <w:rPr>
          <w:rFonts w:eastAsia="Times New Roman"/>
        </w:rPr>
        <w:br w:type="page"/>
      </w:r>
    </w:p>
    <w:p w:rsidR="00D27E48" w:rsidRDefault="00D27E48" w:rsidP="0047090F">
      <w:pPr>
        <w:pStyle w:val="NormalWeb"/>
        <w:spacing w:before="0" w:beforeAutospacing="0" w:after="0" w:afterAutospacing="0"/>
      </w:pPr>
      <w:r>
        <w:rPr>
          <w:b/>
          <w:bCs/>
          <w:sz w:val="20"/>
          <w:szCs w:val="20"/>
        </w:rPr>
        <w:lastRenderedPageBreak/>
        <w:t xml:space="preserve">PART 1: FINANCIAL INFORMATION </w:t>
      </w:r>
    </w:p>
    <w:p w:rsidR="00D27E48" w:rsidRDefault="00D27E48">
      <w:pPr>
        <w:divId w:val="2111854192"/>
        <w:rPr>
          <w:rFonts w:eastAsia="Times New Roman"/>
        </w:rPr>
      </w:pPr>
      <w:r>
        <w:rPr>
          <w:rFonts w:eastAsia="Times New Roman"/>
          <w:sz w:val="20"/>
          <w:szCs w:val="20"/>
        </w:rPr>
        <w:t>   </w:t>
      </w:r>
      <w:r>
        <w:rPr>
          <w:rFonts w:eastAsia="Times New Roman"/>
          <w:b/>
          <w:bCs/>
          <w:sz w:val="20"/>
          <w:szCs w:val="20"/>
        </w:rPr>
        <w:t>Item I</w:t>
      </w:r>
      <w:r>
        <w:rPr>
          <w:rFonts w:eastAsia="Times New Roman"/>
          <w:sz w:val="20"/>
          <w:szCs w:val="20"/>
        </w:rPr>
        <w:t xml:space="preserve">: Consolidated Financial Statements for the three months ending December 31, 2011 (unaudited). </w:t>
      </w:r>
    </w:p>
    <w:tbl>
      <w:tblPr>
        <w:tblW w:w="4500" w:type="pct"/>
        <w:tblCellSpacing w:w="0" w:type="dxa"/>
        <w:tblCellMar>
          <w:left w:w="0" w:type="dxa"/>
          <w:right w:w="0" w:type="dxa"/>
        </w:tblCellMar>
        <w:tblLook w:val="04A0"/>
      </w:tblPr>
      <w:tblGrid>
        <w:gridCol w:w="5656"/>
        <w:gridCol w:w="1355"/>
        <w:gridCol w:w="1355"/>
        <w:gridCol w:w="1354"/>
      </w:tblGrid>
      <w:tr w:rsidR="00D27E48">
        <w:trPr>
          <w:divId w:val="2111854192"/>
          <w:tblCellSpacing w:w="0" w:type="dxa"/>
        </w:trPr>
        <w:tc>
          <w:tcPr>
            <w:tcW w:w="0" w:type="auto"/>
            <w:gridSpan w:val="4"/>
            <w:shd w:val="clear" w:color="auto" w:fill="CCFFCC"/>
            <w:vAlign w:val="bottom"/>
            <w:hideMark/>
          </w:tcPr>
          <w:p w:rsidR="00D27E48" w:rsidRDefault="00D27E48" w:rsidP="0047090F">
            <w:pPr>
              <w:jc w:val="center"/>
              <w:rPr>
                <w:rFonts w:eastAsia="Times New Roman"/>
              </w:rPr>
            </w:pPr>
            <w:r>
              <w:rPr>
                <w:rFonts w:eastAsia="Times New Roman"/>
                <w:b/>
                <w:bCs/>
                <w:sz w:val="20"/>
                <w:szCs w:val="20"/>
              </w:rPr>
              <w:t> ADVANCED OXYGEN TECHNOLOGIES, INC.</w:t>
            </w:r>
            <w:r>
              <w:rPr>
                <w:rFonts w:eastAsia="Times New Roman"/>
              </w:rPr>
              <w:t xml:space="preserve"> </w:t>
            </w:r>
          </w:p>
          <w:p w:rsidR="00D27E48" w:rsidRDefault="00D27E48" w:rsidP="0047090F">
            <w:pPr>
              <w:pStyle w:val="NormalWeb"/>
              <w:spacing w:before="0" w:beforeAutospacing="0" w:after="0" w:afterAutospacing="0"/>
              <w:jc w:val="center"/>
            </w:pPr>
            <w:r>
              <w:rPr>
                <w:b/>
                <w:bCs/>
                <w:sz w:val="20"/>
                <w:szCs w:val="20"/>
              </w:rPr>
              <w:t>AND SUBSIDIARY</w:t>
            </w:r>
          </w:p>
          <w:p w:rsidR="00D27E48" w:rsidRDefault="00D27E48" w:rsidP="0047090F">
            <w:pPr>
              <w:pStyle w:val="NormalWeb"/>
              <w:spacing w:before="0" w:beforeAutospacing="0" w:after="0" w:afterAutospacing="0"/>
              <w:jc w:val="center"/>
            </w:pPr>
            <w:r>
              <w:rPr>
                <w:b/>
                <w:bCs/>
                <w:sz w:val="20"/>
                <w:szCs w:val="20"/>
              </w:rPr>
              <w:t>CONSOLATED BALANCE SHEETS</w:t>
            </w:r>
          </w:p>
        </w:tc>
      </w:tr>
      <w:tr w:rsidR="00D27E48" w:rsidTr="0047090F">
        <w:trPr>
          <w:divId w:val="2111854192"/>
          <w:tblCellSpacing w:w="0" w:type="dxa"/>
        </w:trPr>
        <w:tc>
          <w:tcPr>
            <w:tcW w:w="2910" w:type="pct"/>
            <w:shd w:val="clear" w:color="auto" w:fill="FFFFFF"/>
            <w:vAlign w:val="bottom"/>
            <w:hideMark/>
          </w:tcPr>
          <w:p w:rsidR="00D27E48" w:rsidRDefault="00D27E48">
            <w:pPr>
              <w:rPr>
                <w:rFonts w:eastAsia="Times New Roman"/>
              </w:rPr>
            </w:pPr>
          </w:p>
        </w:tc>
        <w:tc>
          <w:tcPr>
            <w:tcW w:w="697" w:type="pct"/>
            <w:shd w:val="clear" w:color="auto" w:fill="FFFFFF"/>
            <w:vAlign w:val="bottom"/>
            <w:hideMark/>
          </w:tcPr>
          <w:p w:rsidR="00D27E48" w:rsidRDefault="00D27E48">
            <w:pPr>
              <w:jc w:val="center"/>
              <w:rPr>
                <w:rFonts w:eastAsia="Times New Roman"/>
              </w:rPr>
            </w:pPr>
            <w:r>
              <w:rPr>
                <w:rFonts w:eastAsia="Times New Roman"/>
                <w:b/>
                <w:bCs/>
                <w:sz w:val="20"/>
                <w:szCs w:val="20"/>
              </w:rPr>
              <w:t xml:space="preserve">Unaudited </w:t>
            </w:r>
          </w:p>
          <w:p w:rsidR="00D27E48" w:rsidRDefault="00D27E48">
            <w:pPr>
              <w:pStyle w:val="NormalWeb"/>
              <w:jc w:val="center"/>
            </w:pPr>
            <w:r>
              <w:rPr>
                <w:b/>
                <w:bCs/>
                <w:sz w:val="20"/>
                <w:szCs w:val="20"/>
              </w:rPr>
              <w:t>as of December 31,</w:t>
            </w:r>
          </w:p>
        </w:tc>
        <w:tc>
          <w:tcPr>
            <w:tcW w:w="0" w:type="auto"/>
            <w:gridSpan w:val="2"/>
            <w:shd w:val="clear" w:color="auto" w:fill="FFFFFF"/>
            <w:vAlign w:val="bottom"/>
            <w:hideMark/>
          </w:tcPr>
          <w:p w:rsidR="00D27E48" w:rsidRDefault="00D27E48">
            <w:pPr>
              <w:jc w:val="center"/>
              <w:rPr>
                <w:rFonts w:eastAsia="Times New Roman"/>
              </w:rPr>
            </w:pPr>
            <w:r>
              <w:rPr>
                <w:rFonts w:eastAsia="Times New Roman"/>
                <w:b/>
                <w:bCs/>
                <w:sz w:val="20"/>
                <w:szCs w:val="20"/>
              </w:rPr>
              <w:t>Audited</w:t>
            </w:r>
            <w:r>
              <w:rPr>
                <w:rFonts w:eastAsia="Times New Roman"/>
              </w:rPr>
              <w:t xml:space="preserve"> </w:t>
            </w:r>
          </w:p>
          <w:p w:rsidR="00D27E48" w:rsidRDefault="00D27E48">
            <w:pPr>
              <w:pStyle w:val="NormalWeb"/>
              <w:jc w:val="center"/>
            </w:pPr>
            <w:r>
              <w:rPr>
                <w:b/>
                <w:bCs/>
                <w:sz w:val="20"/>
                <w:szCs w:val="20"/>
              </w:rPr>
              <w:t>as of June 30,</w:t>
            </w:r>
          </w:p>
        </w:tc>
      </w:tr>
      <w:tr w:rsidR="00D27E48" w:rsidTr="0047090F">
        <w:trPr>
          <w:divId w:val="2111854192"/>
          <w:tblCellSpacing w:w="0" w:type="dxa"/>
        </w:trPr>
        <w:tc>
          <w:tcPr>
            <w:tcW w:w="0" w:type="auto"/>
            <w:shd w:val="clear" w:color="auto" w:fill="CCFFCC"/>
            <w:vAlign w:val="bottom"/>
            <w:hideMark/>
          </w:tcPr>
          <w:p w:rsidR="00D27E48" w:rsidRDefault="00D27E48">
            <w:pPr>
              <w:rPr>
                <w:rFonts w:eastAsia="Times New Roman"/>
              </w:rPr>
            </w:pPr>
            <w:r>
              <w:rPr>
                <w:rFonts w:eastAsia="Times New Roman"/>
                <w:b/>
                <w:bCs/>
                <w:sz w:val="20"/>
                <w:szCs w:val="20"/>
              </w:rPr>
              <w:t>ASSETS</w:t>
            </w:r>
          </w:p>
        </w:tc>
        <w:tc>
          <w:tcPr>
            <w:tcW w:w="697" w:type="pct"/>
            <w:shd w:val="clear" w:color="auto" w:fill="CCFFCC"/>
            <w:vAlign w:val="bottom"/>
            <w:hideMark/>
          </w:tcPr>
          <w:p w:rsidR="00D27E48" w:rsidRDefault="00D27E48">
            <w:pPr>
              <w:jc w:val="center"/>
              <w:rPr>
                <w:rFonts w:eastAsia="Times New Roman"/>
              </w:rPr>
            </w:pPr>
            <w:r>
              <w:rPr>
                <w:rFonts w:eastAsia="Times New Roman"/>
                <w:b/>
                <w:bCs/>
                <w:sz w:val="20"/>
                <w:szCs w:val="20"/>
              </w:rPr>
              <w:t>2011  </w:t>
            </w:r>
          </w:p>
          <w:p w:rsidR="00D27E48" w:rsidRDefault="007E7BD4">
            <w:pPr>
              <w:jc w:val="center"/>
              <w:rPr>
                <w:rFonts w:eastAsia="Times New Roman"/>
              </w:rPr>
            </w:pPr>
            <w:r w:rsidRPr="007E7BD4">
              <w:rPr>
                <w:rFonts w:eastAsia="Times New Roman"/>
              </w:rPr>
              <w:pict>
                <v:rect id="_x0000_i1030" style="width:0;height:1.5pt" o:hralign="center" o:hrstd="t" o:hr="t" fillcolor="#aca899" stroked="f"/>
              </w:pict>
            </w:r>
          </w:p>
        </w:tc>
        <w:tc>
          <w:tcPr>
            <w:tcW w:w="697" w:type="pct"/>
            <w:shd w:val="clear" w:color="auto" w:fill="CCFFCC"/>
            <w:vAlign w:val="bottom"/>
            <w:hideMark/>
          </w:tcPr>
          <w:p w:rsidR="00D27E48" w:rsidRDefault="00D27E48">
            <w:pPr>
              <w:jc w:val="center"/>
              <w:rPr>
                <w:rFonts w:eastAsia="Times New Roman"/>
              </w:rPr>
            </w:pPr>
            <w:r>
              <w:rPr>
                <w:rFonts w:eastAsia="Times New Roman"/>
                <w:b/>
                <w:bCs/>
                <w:sz w:val="20"/>
                <w:szCs w:val="20"/>
              </w:rPr>
              <w:t>2011  </w:t>
            </w:r>
          </w:p>
          <w:p w:rsidR="00D27E48" w:rsidRDefault="007E7BD4">
            <w:pPr>
              <w:jc w:val="center"/>
              <w:rPr>
                <w:rFonts w:eastAsia="Times New Roman"/>
              </w:rPr>
            </w:pPr>
            <w:r w:rsidRPr="007E7BD4">
              <w:rPr>
                <w:rFonts w:eastAsia="Times New Roman"/>
              </w:rPr>
              <w:pict>
                <v:rect id="_x0000_i1031" style="width:0;height:1.5pt" o:hralign="center" o:hrstd="t" o:hr="t" fillcolor="#aca899" stroked="f"/>
              </w:pict>
            </w:r>
          </w:p>
        </w:tc>
        <w:tc>
          <w:tcPr>
            <w:tcW w:w="697" w:type="pct"/>
            <w:shd w:val="clear" w:color="auto" w:fill="CCFFCC"/>
            <w:vAlign w:val="bottom"/>
            <w:hideMark/>
          </w:tcPr>
          <w:p w:rsidR="00D27E48" w:rsidRDefault="00D27E48">
            <w:pPr>
              <w:jc w:val="center"/>
              <w:rPr>
                <w:rFonts w:eastAsia="Times New Roman"/>
              </w:rPr>
            </w:pPr>
            <w:r>
              <w:rPr>
                <w:rFonts w:eastAsia="Times New Roman"/>
                <w:b/>
                <w:bCs/>
                <w:sz w:val="20"/>
                <w:szCs w:val="20"/>
              </w:rPr>
              <w:t>2010  </w:t>
            </w:r>
          </w:p>
          <w:p w:rsidR="00D27E48" w:rsidRDefault="007E7BD4">
            <w:pPr>
              <w:jc w:val="center"/>
              <w:rPr>
                <w:rFonts w:eastAsia="Times New Roman"/>
              </w:rPr>
            </w:pPr>
            <w:r w:rsidRPr="007E7BD4">
              <w:rPr>
                <w:rFonts w:eastAsia="Times New Roman"/>
              </w:rPr>
              <w:pict>
                <v:rect id="_x0000_i1032" style="width:0;height:1.5pt" o:hralign="center" o:hrstd="t" o:hr="t" fillcolor="#aca899" stroked="f"/>
              </w:pict>
            </w:r>
          </w:p>
        </w:tc>
      </w:tr>
      <w:tr w:rsidR="00D27E48">
        <w:trPr>
          <w:divId w:val="2111854192"/>
          <w:tblCellSpacing w:w="0" w:type="dxa"/>
        </w:trPr>
        <w:tc>
          <w:tcPr>
            <w:tcW w:w="0" w:type="auto"/>
            <w:shd w:val="clear" w:color="auto" w:fill="FFFFFF"/>
            <w:vAlign w:val="bottom"/>
            <w:hideMark/>
          </w:tcPr>
          <w:p w:rsidR="00D27E48" w:rsidRDefault="00D27E48">
            <w:pPr>
              <w:rPr>
                <w:rFonts w:eastAsia="Times New Roman"/>
              </w:rPr>
            </w:pPr>
            <w:r>
              <w:rPr>
                <w:rFonts w:eastAsia="Times New Roman"/>
                <w:sz w:val="20"/>
                <w:szCs w:val="20"/>
              </w:rPr>
              <w:t> </w:t>
            </w:r>
          </w:p>
        </w:tc>
        <w:tc>
          <w:tcPr>
            <w:tcW w:w="0" w:type="auto"/>
            <w:shd w:val="clear" w:color="auto" w:fill="FFFFFF"/>
            <w:vAlign w:val="bottom"/>
            <w:hideMark/>
          </w:tcPr>
          <w:p w:rsidR="00D27E48" w:rsidRDefault="00D27E48">
            <w:pPr>
              <w:jc w:val="right"/>
              <w:rPr>
                <w:rFonts w:eastAsia="Times New Roman"/>
              </w:rPr>
            </w:pPr>
          </w:p>
        </w:tc>
        <w:tc>
          <w:tcPr>
            <w:tcW w:w="0" w:type="auto"/>
            <w:shd w:val="clear" w:color="auto" w:fill="FFFFFF"/>
            <w:vAlign w:val="bottom"/>
            <w:hideMark/>
          </w:tcPr>
          <w:p w:rsidR="00D27E48" w:rsidRDefault="00D27E48">
            <w:pPr>
              <w:jc w:val="right"/>
              <w:rPr>
                <w:rFonts w:eastAsia="Times New Roman"/>
              </w:rPr>
            </w:pPr>
          </w:p>
        </w:tc>
        <w:tc>
          <w:tcPr>
            <w:tcW w:w="0" w:type="auto"/>
            <w:shd w:val="clear" w:color="auto" w:fill="FFFFFF"/>
            <w:vAlign w:val="bottom"/>
            <w:hideMark/>
          </w:tcPr>
          <w:p w:rsidR="00D27E48" w:rsidRDefault="00D27E48">
            <w:pPr>
              <w:jc w:val="right"/>
              <w:rPr>
                <w:rFonts w:eastAsia="Times New Roman"/>
              </w:rPr>
            </w:pPr>
          </w:p>
        </w:tc>
      </w:tr>
      <w:tr w:rsidR="00D27E48">
        <w:trPr>
          <w:divId w:val="2111854192"/>
          <w:tblCellSpacing w:w="0" w:type="dxa"/>
        </w:trPr>
        <w:tc>
          <w:tcPr>
            <w:tcW w:w="0" w:type="auto"/>
            <w:shd w:val="clear" w:color="auto" w:fill="CCFFCC"/>
            <w:vAlign w:val="bottom"/>
            <w:hideMark/>
          </w:tcPr>
          <w:p w:rsidR="00D27E48" w:rsidRDefault="00D27E48">
            <w:pPr>
              <w:rPr>
                <w:rFonts w:eastAsia="Times New Roman"/>
              </w:rPr>
            </w:pPr>
            <w:r>
              <w:rPr>
                <w:rFonts w:eastAsia="Times New Roman"/>
                <w:sz w:val="20"/>
                <w:szCs w:val="20"/>
              </w:rPr>
              <w:t>CURRENT ASSETS</w:t>
            </w:r>
          </w:p>
        </w:tc>
        <w:tc>
          <w:tcPr>
            <w:tcW w:w="0" w:type="auto"/>
            <w:shd w:val="clear" w:color="auto" w:fill="CCFFCC"/>
            <w:vAlign w:val="bottom"/>
            <w:hideMark/>
          </w:tcPr>
          <w:p w:rsidR="00D27E48" w:rsidRDefault="00D27E48">
            <w:pPr>
              <w:jc w:val="center"/>
              <w:rPr>
                <w:rFonts w:eastAsia="Times New Roman"/>
              </w:rPr>
            </w:pPr>
          </w:p>
        </w:tc>
        <w:tc>
          <w:tcPr>
            <w:tcW w:w="0" w:type="auto"/>
            <w:shd w:val="clear" w:color="auto" w:fill="CCFFCC"/>
            <w:vAlign w:val="bottom"/>
            <w:hideMark/>
          </w:tcPr>
          <w:p w:rsidR="00D27E48" w:rsidRDefault="00D27E48">
            <w:pPr>
              <w:jc w:val="center"/>
              <w:rPr>
                <w:rFonts w:eastAsia="Times New Roman"/>
              </w:rPr>
            </w:pPr>
          </w:p>
        </w:tc>
        <w:tc>
          <w:tcPr>
            <w:tcW w:w="0" w:type="auto"/>
            <w:shd w:val="clear" w:color="auto" w:fill="CCFFCC"/>
            <w:vAlign w:val="bottom"/>
            <w:hideMark/>
          </w:tcPr>
          <w:p w:rsidR="00D27E48" w:rsidRDefault="00D27E48">
            <w:pPr>
              <w:jc w:val="center"/>
              <w:rPr>
                <w:rFonts w:eastAsia="Times New Roman"/>
              </w:rPr>
            </w:pPr>
          </w:p>
        </w:tc>
      </w:tr>
      <w:tr w:rsidR="00D27E48">
        <w:trPr>
          <w:divId w:val="2111854192"/>
          <w:tblCellSpacing w:w="0" w:type="dxa"/>
        </w:trPr>
        <w:tc>
          <w:tcPr>
            <w:tcW w:w="0" w:type="auto"/>
            <w:shd w:val="clear" w:color="auto" w:fill="FFFFFF"/>
            <w:vAlign w:val="bottom"/>
            <w:hideMark/>
          </w:tcPr>
          <w:p w:rsidR="00D27E48" w:rsidRDefault="00D27E48">
            <w:pPr>
              <w:rPr>
                <w:rFonts w:eastAsia="Times New Roman"/>
              </w:rPr>
            </w:pPr>
            <w:r>
              <w:rPr>
                <w:rFonts w:eastAsia="Times New Roman"/>
                <w:sz w:val="20"/>
                <w:szCs w:val="20"/>
              </w:rPr>
              <w:t>   Cash</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       4,820</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       24,410</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       21,120</w:t>
            </w:r>
          </w:p>
        </w:tc>
      </w:tr>
      <w:tr w:rsidR="00D27E48">
        <w:trPr>
          <w:divId w:val="2111854192"/>
          <w:tblCellSpacing w:w="0" w:type="dxa"/>
        </w:trPr>
        <w:tc>
          <w:tcPr>
            <w:tcW w:w="0" w:type="auto"/>
            <w:shd w:val="clear" w:color="auto" w:fill="FFFFFF"/>
            <w:vAlign w:val="bottom"/>
            <w:hideMark/>
          </w:tcPr>
          <w:p w:rsidR="00D27E48" w:rsidRDefault="00D27E48">
            <w:pPr>
              <w:rPr>
                <w:rFonts w:eastAsia="Times New Roman"/>
              </w:rPr>
            </w:pPr>
            <w:r>
              <w:rPr>
                <w:rFonts w:eastAsia="Times New Roman"/>
                <w:sz w:val="20"/>
                <w:szCs w:val="20"/>
              </w:rPr>
              <w:t>   Accounts Receivable, Related Party</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7,547</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w:t>
            </w:r>
          </w:p>
        </w:tc>
      </w:tr>
      <w:tr w:rsidR="00D27E48">
        <w:trPr>
          <w:divId w:val="2111854192"/>
          <w:tblCellSpacing w:w="0" w:type="dxa"/>
        </w:trPr>
        <w:tc>
          <w:tcPr>
            <w:tcW w:w="0" w:type="auto"/>
            <w:shd w:val="clear" w:color="auto" w:fill="FFFFFF"/>
            <w:vAlign w:val="bottom"/>
            <w:hideMark/>
          </w:tcPr>
          <w:p w:rsidR="00D27E48" w:rsidRDefault="00D27E48">
            <w:pPr>
              <w:rPr>
                <w:rFonts w:eastAsia="Times New Roman"/>
              </w:rPr>
            </w:pPr>
            <w:r>
              <w:rPr>
                <w:rFonts w:eastAsia="Times New Roman"/>
                <w:sz w:val="20"/>
                <w:szCs w:val="20"/>
              </w:rPr>
              <w:t> </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w:t>
            </w:r>
          </w:p>
        </w:tc>
      </w:tr>
      <w:tr w:rsidR="00D27E48">
        <w:trPr>
          <w:divId w:val="2111854192"/>
          <w:tblCellSpacing w:w="0" w:type="dxa"/>
        </w:trPr>
        <w:tc>
          <w:tcPr>
            <w:tcW w:w="0" w:type="auto"/>
            <w:shd w:val="clear" w:color="auto" w:fill="CCFFCC"/>
            <w:vAlign w:val="bottom"/>
            <w:hideMark/>
          </w:tcPr>
          <w:p w:rsidR="00D27E48" w:rsidRDefault="00D27E48">
            <w:pPr>
              <w:rPr>
                <w:rFonts w:eastAsia="Times New Roman"/>
              </w:rPr>
            </w:pPr>
            <w:r>
              <w:rPr>
                <w:rFonts w:eastAsia="Times New Roman"/>
                <w:sz w:val="20"/>
                <w:szCs w:val="20"/>
              </w:rPr>
              <w:t>   Total Current Assets</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4,820</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 31,957</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 21,120</w:t>
            </w:r>
          </w:p>
        </w:tc>
      </w:tr>
      <w:tr w:rsidR="00D27E48">
        <w:trPr>
          <w:divId w:val="2111854192"/>
          <w:tblCellSpacing w:w="0" w:type="dxa"/>
        </w:trPr>
        <w:tc>
          <w:tcPr>
            <w:tcW w:w="0" w:type="auto"/>
            <w:shd w:val="clear" w:color="auto" w:fill="FFFFFF"/>
            <w:vAlign w:val="bottom"/>
            <w:hideMark/>
          </w:tcPr>
          <w:p w:rsidR="00D27E48" w:rsidRDefault="00D27E48">
            <w:pPr>
              <w:rPr>
                <w:rFonts w:eastAsia="Times New Roman"/>
              </w:rPr>
            </w:pPr>
            <w:r>
              <w:rPr>
                <w:rFonts w:eastAsia="Times New Roman"/>
                <w:sz w:val="20"/>
                <w:szCs w:val="20"/>
              </w:rPr>
              <w:t> </w:t>
            </w:r>
          </w:p>
        </w:tc>
        <w:tc>
          <w:tcPr>
            <w:tcW w:w="0" w:type="auto"/>
            <w:shd w:val="clear" w:color="auto" w:fill="FFFFFF"/>
            <w:vAlign w:val="bottom"/>
            <w:hideMark/>
          </w:tcPr>
          <w:p w:rsidR="00D27E48" w:rsidRDefault="00D27E48">
            <w:pPr>
              <w:jc w:val="right"/>
              <w:rPr>
                <w:rFonts w:eastAsia="Times New Roman"/>
              </w:rPr>
            </w:pPr>
          </w:p>
        </w:tc>
        <w:tc>
          <w:tcPr>
            <w:tcW w:w="0" w:type="auto"/>
            <w:shd w:val="clear" w:color="auto" w:fill="FFFFFF"/>
            <w:vAlign w:val="bottom"/>
            <w:hideMark/>
          </w:tcPr>
          <w:p w:rsidR="00D27E48" w:rsidRDefault="00D27E48">
            <w:pPr>
              <w:jc w:val="right"/>
              <w:rPr>
                <w:rFonts w:eastAsia="Times New Roman"/>
              </w:rPr>
            </w:pPr>
          </w:p>
        </w:tc>
        <w:tc>
          <w:tcPr>
            <w:tcW w:w="0" w:type="auto"/>
            <w:shd w:val="clear" w:color="auto" w:fill="FFFFFF"/>
            <w:vAlign w:val="bottom"/>
            <w:hideMark/>
          </w:tcPr>
          <w:p w:rsidR="00D27E48" w:rsidRDefault="00D27E48">
            <w:pPr>
              <w:jc w:val="right"/>
              <w:rPr>
                <w:rFonts w:eastAsia="Times New Roman"/>
              </w:rPr>
            </w:pPr>
          </w:p>
        </w:tc>
      </w:tr>
      <w:tr w:rsidR="00D27E48">
        <w:trPr>
          <w:divId w:val="2111854192"/>
          <w:tblCellSpacing w:w="0" w:type="dxa"/>
        </w:trPr>
        <w:tc>
          <w:tcPr>
            <w:tcW w:w="0" w:type="auto"/>
            <w:shd w:val="clear" w:color="auto" w:fill="CCFFCC"/>
            <w:vAlign w:val="bottom"/>
            <w:hideMark/>
          </w:tcPr>
          <w:p w:rsidR="00D27E48" w:rsidRDefault="00D27E48">
            <w:pPr>
              <w:rPr>
                <w:rFonts w:eastAsia="Times New Roman"/>
              </w:rPr>
            </w:pPr>
            <w:r>
              <w:rPr>
                <w:rFonts w:eastAsia="Times New Roman"/>
                <w:sz w:val="20"/>
                <w:szCs w:val="20"/>
              </w:rPr>
              <w:t>FIXED ASSETS</w:t>
            </w:r>
          </w:p>
        </w:tc>
        <w:tc>
          <w:tcPr>
            <w:tcW w:w="0" w:type="auto"/>
            <w:shd w:val="clear" w:color="auto" w:fill="CCFFCC"/>
            <w:vAlign w:val="bottom"/>
            <w:hideMark/>
          </w:tcPr>
          <w:p w:rsidR="00D27E48" w:rsidRDefault="00D27E48">
            <w:pPr>
              <w:jc w:val="right"/>
              <w:rPr>
                <w:rFonts w:eastAsia="Times New Roman"/>
              </w:rPr>
            </w:pPr>
          </w:p>
        </w:tc>
        <w:tc>
          <w:tcPr>
            <w:tcW w:w="0" w:type="auto"/>
            <w:shd w:val="clear" w:color="auto" w:fill="CCFFCC"/>
            <w:vAlign w:val="bottom"/>
            <w:hideMark/>
          </w:tcPr>
          <w:p w:rsidR="00D27E48" w:rsidRDefault="00D27E48">
            <w:pPr>
              <w:jc w:val="right"/>
              <w:rPr>
                <w:rFonts w:eastAsia="Times New Roman"/>
              </w:rPr>
            </w:pPr>
          </w:p>
        </w:tc>
        <w:tc>
          <w:tcPr>
            <w:tcW w:w="0" w:type="auto"/>
            <w:shd w:val="clear" w:color="auto" w:fill="CCFFCC"/>
            <w:vAlign w:val="bottom"/>
            <w:hideMark/>
          </w:tcPr>
          <w:p w:rsidR="00D27E48" w:rsidRDefault="00D27E48">
            <w:pPr>
              <w:jc w:val="right"/>
              <w:rPr>
                <w:rFonts w:eastAsia="Times New Roman"/>
              </w:rPr>
            </w:pPr>
          </w:p>
        </w:tc>
      </w:tr>
      <w:tr w:rsidR="00D27E48">
        <w:trPr>
          <w:divId w:val="2111854192"/>
          <w:tblCellSpacing w:w="0" w:type="dxa"/>
        </w:trPr>
        <w:tc>
          <w:tcPr>
            <w:tcW w:w="0" w:type="auto"/>
            <w:shd w:val="clear" w:color="auto" w:fill="FFFFFF"/>
            <w:vAlign w:val="bottom"/>
            <w:hideMark/>
          </w:tcPr>
          <w:p w:rsidR="00D27E48" w:rsidRDefault="00D27E48">
            <w:pPr>
              <w:rPr>
                <w:rFonts w:eastAsia="Times New Roman"/>
              </w:rPr>
            </w:pPr>
            <w:r>
              <w:rPr>
                <w:rFonts w:eastAsia="Times New Roman"/>
                <w:sz w:val="20"/>
                <w:szCs w:val="20"/>
              </w:rPr>
              <w:t>Land and buildings</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622,642</w:t>
            </w:r>
          </w:p>
        </w:tc>
        <w:tc>
          <w:tcPr>
            <w:tcW w:w="0" w:type="auto"/>
            <w:shd w:val="clear" w:color="auto" w:fill="FFFFFF"/>
            <w:vAlign w:val="bottom"/>
            <w:hideMark/>
          </w:tcPr>
          <w:p w:rsidR="00D27E48" w:rsidRDefault="00D27E48" w:rsidP="00F044C8">
            <w:pPr>
              <w:jc w:val="right"/>
              <w:rPr>
                <w:rFonts w:eastAsia="Times New Roman"/>
              </w:rPr>
            </w:pPr>
            <w:r>
              <w:rPr>
                <w:rFonts w:eastAsia="Times New Roman"/>
                <w:sz w:val="20"/>
                <w:szCs w:val="20"/>
              </w:rPr>
              <w:t>622,64</w:t>
            </w:r>
            <w:r w:rsidR="00F044C8">
              <w:rPr>
                <w:rFonts w:eastAsia="Times New Roman"/>
                <w:sz w:val="20"/>
                <w:szCs w:val="20"/>
              </w:rPr>
              <w:t>1</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 525,000</w:t>
            </w:r>
          </w:p>
        </w:tc>
      </w:tr>
      <w:tr w:rsidR="00D27E48">
        <w:trPr>
          <w:divId w:val="2111854192"/>
          <w:tblCellSpacing w:w="0" w:type="dxa"/>
        </w:trPr>
        <w:tc>
          <w:tcPr>
            <w:tcW w:w="0" w:type="auto"/>
            <w:shd w:val="clear" w:color="auto" w:fill="CCFFCC"/>
            <w:vAlign w:val="bottom"/>
            <w:hideMark/>
          </w:tcPr>
          <w:p w:rsidR="00D27E48" w:rsidRDefault="00D27E48">
            <w:pPr>
              <w:rPr>
                <w:rFonts w:eastAsia="Times New Roman"/>
              </w:rPr>
            </w:pPr>
            <w:r>
              <w:rPr>
                <w:rFonts w:eastAsia="Times New Roman"/>
                <w:sz w:val="20"/>
                <w:szCs w:val="20"/>
              </w:rPr>
              <w:t> </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w:t>
            </w:r>
          </w:p>
        </w:tc>
      </w:tr>
      <w:tr w:rsidR="00D27E48">
        <w:trPr>
          <w:divId w:val="2111854192"/>
          <w:tblCellSpacing w:w="0" w:type="dxa"/>
        </w:trPr>
        <w:tc>
          <w:tcPr>
            <w:tcW w:w="0" w:type="auto"/>
            <w:shd w:val="clear" w:color="auto" w:fill="FFFFFF"/>
            <w:vAlign w:val="bottom"/>
            <w:hideMark/>
          </w:tcPr>
          <w:p w:rsidR="00D27E48" w:rsidRDefault="00D27E48">
            <w:pPr>
              <w:rPr>
                <w:rFonts w:eastAsia="Times New Roman"/>
              </w:rPr>
            </w:pPr>
            <w:r>
              <w:rPr>
                <w:rFonts w:eastAsia="Times New Roman"/>
                <w:b/>
                <w:bCs/>
                <w:sz w:val="20"/>
                <w:szCs w:val="20"/>
              </w:rPr>
              <w:t>TOTAL ASSETS</w:t>
            </w:r>
          </w:p>
        </w:tc>
        <w:tc>
          <w:tcPr>
            <w:tcW w:w="0" w:type="auto"/>
            <w:shd w:val="clear" w:color="auto" w:fill="FFFFFF"/>
            <w:vAlign w:val="bottom"/>
            <w:hideMark/>
          </w:tcPr>
          <w:p w:rsidR="00D27E48" w:rsidRDefault="00D27E48">
            <w:pPr>
              <w:jc w:val="right"/>
              <w:rPr>
                <w:rFonts w:eastAsia="Times New Roman"/>
              </w:rPr>
            </w:pPr>
            <w:r>
              <w:rPr>
                <w:rFonts w:eastAsia="Times New Roman"/>
                <w:b/>
                <w:bCs/>
                <w:sz w:val="20"/>
                <w:szCs w:val="20"/>
              </w:rPr>
              <w:t>$    627,462</w:t>
            </w:r>
          </w:p>
        </w:tc>
        <w:tc>
          <w:tcPr>
            <w:tcW w:w="0" w:type="auto"/>
            <w:shd w:val="clear" w:color="auto" w:fill="FFFFFF"/>
            <w:vAlign w:val="bottom"/>
            <w:hideMark/>
          </w:tcPr>
          <w:p w:rsidR="00D27E48" w:rsidRDefault="00D27E48" w:rsidP="00F044C8">
            <w:pPr>
              <w:jc w:val="right"/>
              <w:rPr>
                <w:rFonts w:eastAsia="Times New Roman"/>
              </w:rPr>
            </w:pPr>
            <w:r>
              <w:rPr>
                <w:rFonts w:eastAsia="Times New Roman"/>
                <w:b/>
                <w:bCs/>
                <w:sz w:val="20"/>
                <w:szCs w:val="20"/>
              </w:rPr>
              <w:t>$    654,59</w:t>
            </w:r>
            <w:r w:rsidR="00F044C8">
              <w:rPr>
                <w:rFonts w:eastAsia="Times New Roman"/>
                <w:b/>
                <w:bCs/>
                <w:sz w:val="20"/>
                <w:szCs w:val="20"/>
              </w:rPr>
              <w:t>8</w:t>
            </w:r>
          </w:p>
        </w:tc>
        <w:tc>
          <w:tcPr>
            <w:tcW w:w="0" w:type="auto"/>
            <w:shd w:val="clear" w:color="auto" w:fill="FFFFFF"/>
            <w:vAlign w:val="bottom"/>
            <w:hideMark/>
          </w:tcPr>
          <w:p w:rsidR="00D27E48" w:rsidRDefault="00D27E48">
            <w:pPr>
              <w:jc w:val="right"/>
              <w:rPr>
                <w:rFonts w:eastAsia="Times New Roman"/>
              </w:rPr>
            </w:pPr>
            <w:r>
              <w:rPr>
                <w:rFonts w:eastAsia="Times New Roman"/>
                <w:b/>
                <w:bCs/>
                <w:sz w:val="20"/>
                <w:szCs w:val="20"/>
              </w:rPr>
              <w:t>$    546,120</w:t>
            </w:r>
          </w:p>
        </w:tc>
      </w:tr>
      <w:tr w:rsidR="00D27E48">
        <w:trPr>
          <w:divId w:val="2111854192"/>
          <w:tblCellSpacing w:w="0" w:type="dxa"/>
        </w:trPr>
        <w:tc>
          <w:tcPr>
            <w:tcW w:w="0" w:type="auto"/>
            <w:shd w:val="clear" w:color="auto" w:fill="CCFFCC"/>
            <w:vAlign w:val="bottom"/>
            <w:hideMark/>
          </w:tcPr>
          <w:p w:rsidR="00D27E48" w:rsidRDefault="00D27E48">
            <w:pPr>
              <w:jc w:val="center"/>
              <w:rPr>
                <w:rFonts w:eastAsia="Times New Roman"/>
              </w:rPr>
            </w:pPr>
            <w:r>
              <w:rPr>
                <w:rFonts w:eastAsia="Times New Roman"/>
                <w:sz w:val="20"/>
                <w:szCs w:val="20"/>
              </w:rPr>
              <w:t> </w:t>
            </w:r>
            <w:r>
              <w:rPr>
                <w:rFonts w:eastAsia="Times New Roman"/>
                <w:b/>
                <w:bCs/>
                <w:sz w:val="20"/>
                <w:szCs w:val="20"/>
              </w:rPr>
              <w:t>See accompanying notes to financial statements.</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w:t>
            </w:r>
          </w:p>
        </w:tc>
      </w:tr>
    </w:tbl>
    <w:p w:rsidR="0047090F" w:rsidRDefault="0047090F">
      <w:pPr>
        <w:divId w:val="2111854192"/>
      </w:pPr>
      <w:r>
        <w:br w:type="page"/>
      </w:r>
    </w:p>
    <w:tbl>
      <w:tblPr>
        <w:tblW w:w="4500" w:type="pct"/>
        <w:tblCellSpacing w:w="0" w:type="dxa"/>
        <w:tblCellMar>
          <w:left w:w="0" w:type="dxa"/>
          <w:right w:w="0" w:type="dxa"/>
        </w:tblCellMar>
        <w:tblLook w:val="04A0"/>
      </w:tblPr>
      <w:tblGrid>
        <w:gridCol w:w="5658"/>
        <w:gridCol w:w="1354"/>
        <w:gridCol w:w="1354"/>
        <w:gridCol w:w="1354"/>
      </w:tblGrid>
      <w:tr w:rsidR="00D27E48">
        <w:trPr>
          <w:divId w:val="2111854192"/>
          <w:tblCellSpacing w:w="0" w:type="dxa"/>
        </w:trPr>
        <w:tc>
          <w:tcPr>
            <w:tcW w:w="0" w:type="auto"/>
            <w:shd w:val="clear" w:color="auto" w:fill="FFFFFF"/>
            <w:vAlign w:val="bottom"/>
            <w:hideMark/>
          </w:tcPr>
          <w:p w:rsidR="00D27E48" w:rsidRDefault="00D27E48">
            <w:pPr>
              <w:rPr>
                <w:rFonts w:eastAsia="Times New Roman"/>
              </w:rPr>
            </w:pPr>
            <w:r>
              <w:rPr>
                <w:rFonts w:eastAsia="Times New Roman"/>
                <w:b/>
                <w:bCs/>
                <w:sz w:val="20"/>
                <w:szCs w:val="20"/>
              </w:rPr>
              <w:lastRenderedPageBreak/>
              <w:t>            LIABILITIES AND STOCKHOLDERS' DEFICIENCY              </w:t>
            </w:r>
            <w:r>
              <w:rPr>
                <w:rFonts w:eastAsia="Times New Roman"/>
                <w:sz w:val="20"/>
                <w:szCs w:val="20"/>
              </w:rPr>
              <w:t>         </w:t>
            </w:r>
          </w:p>
        </w:tc>
        <w:tc>
          <w:tcPr>
            <w:tcW w:w="0" w:type="auto"/>
            <w:shd w:val="clear" w:color="auto" w:fill="FFFFFF"/>
            <w:vAlign w:val="bottom"/>
            <w:hideMark/>
          </w:tcPr>
          <w:p w:rsidR="00D27E48" w:rsidRDefault="00D27E48">
            <w:pPr>
              <w:jc w:val="right"/>
              <w:rPr>
                <w:rFonts w:eastAsia="Times New Roman"/>
              </w:rPr>
            </w:pPr>
          </w:p>
        </w:tc>
        <w:tc>
          <w:tcPr>
            <w:tcW w:w="0" w:type="auto"/>
            <w:shd w:val="clear" w:color="auto" w:fill="FFFFFF"/>
            <w:vAlign w:val="bottom"/>
            <w:hideMark/>
          </w:tcPr>
          <w:p w:rsidR="00D27E48" w:rsidRDefault="00D27E48">
            <w:pPr>
              <w:jc w:val="right"/>
              <w:rPr>
                <w:rFonts w:eastAsia="Times New Roman"/>
              </w:rPr>
            </w:pPr>
          </w:p>
        </w:tc>
        <w:tc>
          <w:tcPr>
            <w:tcW w:w="0" w:type="auto"/>
            <w:shd w:val="clear" w:color="auto" w:fill="FFFFFF"/>
            <w:vAlign w:val="bottom"/>
            <w:hideMark/>
          </w:tcPr>
          <w:p w:rsidR="00D27E48" w:rsidRDefault="00D27E48">
            <w:pPr>
              <w:jc w:val="right"/>
              <w:rPr>
                <w:rFonts w:eastAsia="Times New Roman"/>
              </w:rPr>
            </w:pPr>
          </w:p>
        </w:tc>
      </w:tr>
      <w:tr w:rsidR="00D27E48">
        <w:trPr>
          <w:divId w:val="2111854192"/>
          <w:tblCellSpacing w:w="0" w:type="dxa"/>
        </w:trPr>
        <w:tc>
          <w:tcPr>
            <w:tcW w:w="0" w:type="auto"/>
            <w:shd w:val="clear" w:color="auto" w:fill="CCFFCC"/>
            <w:vAlign w:val="bottom"/>
            <w:hideMark/>
          </w:tcPr>
          <w:p w:rsidR="00D27E48" w:rsidRDefault="00D27E48">
            <w:pPr>
              <w:rPr>
                <w:rFonts w:eastAsia="Times New Roman"/>
              </w:rPr>
            </w:pPr>
            <w:r>
              <w:rPr>
                <w:rFonts w:eastAsia="Times New Roman"/>
                <w:sz w:val="20"/>
                <w:szCs w:val="20"/>
              </w:rPr>
              <w:t> </w:t>
            </w:r>
          </w:p>
        </w:tc>
        <w:tc>
          <w:tcPr>
            <w:tcW w:w="0" w:type="auto"/>
            <w:shd w:val="clear" w:color="auto" w:fill="CCFFCC"/>
            <w:vAlign w:val="bottom"/>
            <w:hideMark/>
          </w:tcPr>
          <w:p w:rsidR="00D27E48" w:rsidRDefault="00D27E48">
            <w:pPr>
              <w:jc w:val="right"/>
              <w:rPr>
                <w:rFonts w:eastAsia="Times New Roman"/>
              </w:rPr>
            </w:pPr>
          </w:p>
        </w:tc>
        <w:tc>
          <w:tcPr>
            <w:tcW w:w="0" w:type="auto"/>
            <w:shd w:val="clear" w:color="auto" w:fill="CCFFCC"/>
            <w:vAlign w:val="bottom"/>
            <w:hideMark/>
          </w:tcPr>
          <w:p w:rsidR="00D27E48" w:rsidRDefault="00D27E48">
            <w:pPr>
              <w:jc w:val="right"/>
              <w:rPr>
                <w:rFonts w:eastAsia="Times New Roman"/>
              </w:rPr>
            </w:pPr>
          </w:p>
        </w:tc>
        <w:tc>
          <w:tcPr>
            <w:tcW w:w="0" w:type="auto"/>
            <w:shd w:val="clear" w:color="auto" w:fill="CCFFCC"/>
            <w:vAlign w:val="bottom"/>
            <w:hideMark/>
          </w:tcPr>
          <w:p w:rsidR="00D27E48" w:rsidRDefault="00D27E48">
            <w:pPr>
              <w:jc w:val="right"/>
              <w:rPr>
                <w:rFonts w:eastAsia="Times New Roman"/>
              </w:rPr>
            </w:pPr>
          </w:p>
        </w:tc>
      </w:tr>
      <w:tr w:rsidR="00D27E48">
        <w:trPr>
          <w:divId w:val="2111854192"/>
          <w:tblCellSpacing w:w="0" w:type="dxa"/>
        </w:trPr>
        <w:tc>
          <w:tcPr>
            <w:tcW w:w="0" w:type="auto"/>
            <w:shd w:val="clear" w:color="auto" w:fill="FFFFFF"/>
            <w:vAlign w:val="bottom"/>
            <w:hideMark/>
          </w:tcPr>
          <w:p w:rsidR="00D27E48" w:rsidRDefault="00D27E48">
            <w:pPr>
              <w:rPr>
                <w:rFonts w:eastAsia="Times New Roman"/>
              </w:rPr>
            </w:pPr>
            <w:r>
              <w:rPr>
                <w:rFonts w:eastAsia="Times New Roman"/>
                <w:sz w:val="20"/>
                <w:szCs w:val="20"/>
              </w:rPr>
              <w:t>CURRENT LIABILITIES</w:t>
            </w:r>
          </w:p>
        </w:tc>
        <w:tc>
          <w:tcPr>
            <w:tcW w:w="0" w:type="auto"/>
            <w:shd w:val="clear" w:color="auto" w:fill="FFFFFF"/>
            <w:vAlign w:val="bottom"/>
            <w:hideMark/>
          </w:tcPr>
          <w:p w:rsidR="00D27E48" w:rsidRDefault="00D27E48">
            <w:pPr>
              <w:jc w:val="right"/>
              <w:rPr>
                <w:rFonts w:eastAsia="Times New Roman"/>
              </w:rPr>
            </w:pPr>
          </w:p>
        </w:tc>
        <w:tc>
          <w:tcPr>
            <w:tcW w:w="0" w:type="auto"/>
            <w:shd w:val="clear" w:color="auto" w:fill="FFFFFF"/>
            <w:vAlign w:val="bottom"/>
            <w:hideMark/>
          </w:tcPr>
          <w:p w:rsidR="00D27E48" w:rsidRDefault="00D27E48">
            <w:pPr>
              <w:jc w:val="right"/>
              <w:rPr>
                <w:rFonts w:eastAsia="Times New Roman"/>
              </w:rPr>
            </w:pPr>
          </w:p>
        </w:tc>
        <w:tc>
          <w:tcPr>
            <w:tcW w:w="0" w:type="auto"/>
            <w:shd w:val="clear" w:color="auto" w:fill="FFFFFF"/>
            <w:vAlign w:val="bottom"/>
            <w:hideMark/>
          </w:tcPr>
          <w:p w:rsidR="00D27E48" w:rsidRDefault="00D27E48">
            <w:pPr>
              <w:jc w:val="right"/>
              <w:rPr>
                <w:rFonts w:eastAsia="Times New Roman"/>
              </w:rPr>
            </w:pPr>
          </w:p>
        </w:tc>
      </w:tr>
      <w:tr w:rsidR="00D27E48">
        <w:trPr>
          <w:divId w:val="2111854192"/>
          <w:tblCellSpacing w:w="0" w:type="dxa"/>
        </w:trPr>
        <w:tc>
          <w:tcPr>
            <w:tcW w:w="0" w:type="auto"/>
            <w:shd w:val="clear" w:color="auto" w:fill="CCFFCC"/>
            <w:vAlign w:val="bottom"/>
            <w:hideMark/>
          </w:tcPr>
          <w:p w:rsidR="00D27E48" w:rsidRDefault="00D27E48">
            <w:pPr>
              <w:rPr>
                <w:rFonts w:eastAsia="Times New Roman"/>
              </w:rPr>
            </w:pPr>
            <w:r>
              <w:rPr>
                <w:rFonts w:eastAsia="Times New Roman"/>
                <w:sz w:val="20"/>
                <w:szCs w:val="20"/>
              </w:rPr>
              <w:t>  Accounts payable</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    16,972</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    9,425</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    23,880</w:t>
            </w:r>
          </w:p>
        </w:tc>
      </w:tr>
      <w:tr w:rsidR="00D27E48">
        <w:trPr>
          <w:divId w:val="2111854192"/>
          <w:tblCellSpacing w:w="0" w:type="dxa"/>
        </w:trPr>
        <w:tc>
          <w:tcPr>
            <w:tcW w:w="0" w:type="auto"/>
            <w:shd w:val="clear" w:color="auto" w:fill="CCFFCC"/>
            <w:vAlign w:val="bottom"/>
            <w:hideMark/>
          </w:tcPr>
          <w:p w:rsidR="00D27E48" w:rsidRDefault="00D27E48">
            <w:pPr>
              <w:rPr>
                <w:rFonts w:eastAsia="Times New Roman"/>
              </w:rPr>
            </w:pPr>
            <w:r>
              <w:rPr>
                <w:rFonts w:eastAsia="Times New Roman"/>
                <w:sz w:val="20"/>
                <w:szCs w:val="20"/>
              </w:rPr>
              <w:t>  Current Portion of Long Term Debt</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7,925</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7,925</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6,246</w:t>
            </w:r>
          </w:p>
        </w:tc>
      </w:tr>
      <w:tr w:rsidR="00D27E48">
        <w:trPr>
          <w:divId w:val="2111854192"/>
          <w:tblCellSpacing w:w="0" w:type="dxa"/>
        </w:trPr>
        <w:tc>
          <w:tcPr>
            <w:tcW w:w="0" w:type="auto"/>
            <w:shd w:val="clear" w:color="auto" w:fill="FFFFFF"/>
            <w:vAlign w:val="bottom"/>
            <w:hideMark/>
          </w:tcPr>
          <w:p w:rsidR="00D27E48" w:rsidRDefault="00D27E48">
            <w:pPr>
              <w:rPr>
                <w:rFonts w:eastAsia="Times New Roman"/>
              </w:rPr>
            </w:pPr>
            <w:r>
              <w:rPr>
                <w:rFonts w:eastAsia="Times New Roman"/>
                <w:sz w:val="20"/>
                <w:szCs w:val="20"/>
              </w:rPr>
              <w:t>  Note Payable</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138,173</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165,976</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169,084</w:t>
            </w:r>
          </w:p>
        </w:tc>
      </w:tr>
      <w:tr w:rsidR="00D27E48">
        <w:trPr>
          <w:divId w:val="2111854192"/>
          <w:tblCellSpacing w:w="0" w:type="dxa"/>
        </w:trPr>
        <w:tc>
          <w:tcPr>
            <w:tcW w:w="0" w:type="auto"/>
            <w:shd w:val="clear" w:color="auto" w:fill="CCFFCC"/>
            <w:vAlign w:val="bottom"/>
            <w:hideMark/>
          </w:tcPr>
          <w:p w:rsidR="00D27E48" w:rsidRDefault="00D27E48">
            <w:pPr>
              <w:rPr>
                <w:rFonts w:eastAsia="Times New Roman"/>
              </w:rPr>
            </w:pPr>
            <w:r>
              <w:rPr>
                <w:rFonts w:eastAsia="Times New Roman"/>
                <w:sz w:val="20"/>
                <w:szCs w:val="20"/>
              </w:rPr>
              <w:t>  Payroll and sales taxes payable</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87,725</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93,105</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42,949</w:t>
            </w:r>
          </w:p>
        </w:tc>
      </w:tr>
      <w:tr w:rsidR="00D27E48">
        <w:trPr>
          <w:divId w:val="2111854192"/>
          <w:tblCellSpacing w:w="0" w:type="dxa"/>
        </w:trPr>
        <w:tc>
          <w:tcPr>
            <w:tcW w:w="0" w:type="auto"/>
            <w:shd w:val="clear" w:color="auto" w:fill="FFFFFF"/>
            <w:vAlign w:val="bottom"/>
            <w:hideMark/>
          </w:tcPr>
          <w:p w:rsidR="00D27E48" w:rsidRDefault="00D27E48">
            <w:pPr>
              <w:rPr>
                <w:rFonts w:eastAsia="Times New Roman"/>
              </w:rPr>
            </w:pPr>
            <w:r>
              <w:rPr>
                <w:rFonts w:eastAsia="Times New Roman"/>
                <w:sz w:val="20"/>
                <w:szCs w:val="20"/>
              </w:rPr>
              <w:t>  Prepaid Rental Revenues</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10,874</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10,874</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9,448</w:t>
            </w:r>
          </w:p>
        </w:tc>
      </w:tr>
      <w:tr w:rsidR="00D27E48">
        <w:trPr>
          <w:divId w:val="2111854192"/>
          <w:tblCellSpacing w:w="0" w:type="dxa"/>
        </w:trPr>
        <w:tc>
          <w:tcPr>
            <w:tcW w:w="0" w:type="auto"/>
            <w:shd w:val="clear" w:color="auto" w:fill="CCFFCC"/>
            <w:vAlign w:val="bottom"/>
            <w:hideMark/>
          </w:tcPr>
          <w:p w:rsidR="00D27E48" w:rsidRDefault="00D27E48">
            <w:pPr>
              <w:rPr>
                <w:rFonts w:eastAsia="Times New Roman"/>
              </w:rPr>
            </w:pPr>
            <w:r>
              <w:rPr>
                <w:rFonts w:eastAsia="Times New Roman"/>
                <w:sz w:val="20"/>
                <w:szCs w:val="20"/>
              </w:rPr>
              <w:t> </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w:t>
            </w:r>
          </w:p>
        </w:tc>
      </w:tr>
      <w:tr w:rsidR="00D27E48">
        <w:trPr>
          <w:divId w:val="2111854192"/>
          <w:tblCellSpacing w:w="0" w:type="dxa"/>
        </w:trPr>
        <w:tc>
          <w:tcPr>
            <w:tcW w:w="0" w:type="auto"/>
            <w:shd w:val="clear" w:color="auto" w:fill="FFFFFF"/>
            <w:vAlign w:val="bottom"/>
            <w:hideMark/>
          </w:tcPr>
          <w:p w:rsidR="00D27E48" w:rsidRDefault="00D27E48">
            <w:pPr>
              <w:rPr>
                <w:rFonts w:eastAsia="Times New Roman"/>
              </w:rPr>
            </w:pPr>
            <w:r>
              <w:rPr>
                <w:rFonts w:eastAsia="Times New Roman"/>
                <w:sz w:val="20"/>
                <w:szCs w:val="20"/>
              </w:rPr>
              <w:t>Total current liabilities</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261,669</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287,305</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251,607</w:t>
            </w:r>
          </w:p>
        </w:tc>
      </w:tr>
      <w:tr w:rsidR="00D27E48">
        <w:trPr>
          <w:divId w:val="2111854192"/>
          <w:tblCellSpacing w:w="0" w:type="dxa"/>
        </w:trPr>
        <w:tc>
          <w:tcPr>
            <w:tcW w:w="0" w:type="auto"/>
            <w:shd w:val="clear" w:color="auto" w:fill="CCFFCC"/>
            <w:vAlign w:val="bottom"/>
            <w:hideMark/>
          </w:tcPr>
          <w:p w:rsidR="00D27E48" w:rsidRDefault="00D27E48">
            <w:pPr>
              <w:rPr>
                <w:rFonts w:eastAsia="Times New Roman"/>
              </w:rPr>
            </w:pPr>
            <w:r>
              <w:rPr>
                <w:rFonts w:eastAsia="Times New Roman"/>
                <w:sz w:val="20"/>
                <w:szCs w:val="20"/>
              </w:rPr>
              <w:t> </w:t>
            </w:r>
          </w:p>
        </w:tc>
        <w:tc>
          <w:tcPr>
            <w:tcW w:w="0" w:type="auto"/>
            <w:shd w:val="clear" w:color="auto" w:fill="CCFFCC"/>
            <w:vAlign w:val="bottom"/>
            <w:hideMark/>
          </w:tcPr>
          <w:p w:rsidR="00D27E48" w:rsidRDefault="00D27E48">
            <w:pPr>
              <w:jc w:val="right"/>
              <w:rPr>
                <w:rFonts w:eastAsia="Times New Roman"/>
              </w:rPr>
            </w:pPr>
          </w:p>
        </w:tc>
        <w:tc>
          <w:tcPr>
            <w:tcW w:w="0" w:type="auto"/>
            <w:shd w:val="clear" w:color="auto" w:fill="CCFFCC"/>
            <w:vAlign w:val="bottom"/>
            <w:hideMark/>
          </w:tcPr>
          <w:p w:rsidR="00D27E48" w:rsidRDefault="00D27E48">
            <w:pPr>
              <w:jc w:val="right"/>
              <w:rPr>
                <w:rFonts w:eastAsia="Times New Roman"/>
              </w:rPr>
            </w:pPr>
          </w:p>
        </w:tc>
        <w:tc>
          <w:tcPr>
            <w:tcW w:w="0" w:type="auto"/>
            <w:shd w:val="clear" w:color="auto" w:fill="CCFFCC"/>
            <w:vAlign w:val="bottom"/>
            <w:hideMark/>
          </w:tcPr>
          <w:p w:rsidR="00D27E48" w:rsidRDefault="00D27E48">
            <w:pPr>
              <w:jc w:val="right"/>
              <w:rPr>
                <w:rFonts w:eastAsia="Times New Roman"/>
              </w:rPr>
            </w:pPr>
          </w:p>
        </w:tc>
      </w:tr>
      <w:tr w:rsidR="00D27E48">
        <w:trPr>
          <w:divId w:val="2111854192"/>
          <w:tblCellSpacing w:w="0" w:type="dxa"/>
        </w:trPr>
        <w:tc>
          <w:tcPr>
            <w:tcW w:w="0" w:type="auto"/>
            <w:shd w:val="clear" w:color="auto" w:fill="FFFFFF"/>
            <w:vAlign w:val="bottom"/>
            <w:hideMark/>
          </w:tcPr>
          <w:p w:rsidR="00D27E48" w:rsidRDefault="00D27E48">
            <w:pPr>
              <w:rPr>
                <w:rFonts w:eastAsia="Times New Roman"/>
              </w:rPr>
            </w:pPr>
            <w:r>
              <w:rPr>
                <w:rFonts w:eastAsia="Times New Roman"/>
                <w:sz w:val="20"/>
                <w:szCs w:val="20"/>
              </w:rPr>
              <w:t>   Long Term Debt, subsidiary</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65,585</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69,820</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68,576</w:t>
            </w:r>
          </w:p>
        </w:tc>
      </w:tr>
      <w:tr w:rsidR="00D27E48">
        <w:trPr>
          <w:divId w:val="2111854192"/>
          <w:tblCellSpacing w:w="0" w:type="dxa"/>
        </w:trPr>
        <w:tc>
          <w:tcPr>
            <w:tcW w:w="0" w:type="auto"/>
            <w:shd w:val="clear" w:color="auto" w:fill="CCFFCC"/>
            <w:vAlign w:val="bottom"/>
            <w:hideMark/>
          </w:tcPr>
          <w:p w:rsidR="00D27E48" w:rsidRDefault="00D27E48">
            <w:pPr>
              <w:rPr>
                <w:rFonts w:eastAsia="Times New Roman"/>
              </w:rPr>
            </w:pPr>
            <w:r>
              <w:rPr>
                <w:rFonts w:eastAsia="Times New Roman"/>
                <w:sz w:val="20"/>
                <w:szCs w:val="20"/>
              </w:rPr>
              <w:t>   Due to affiliate</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38,793</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38,793</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36,458</w:t>
            </w:r>
          </w:p>
        </w:tc>
      </w:tr>
      <w:tr w:rsidR="00D27E48">
        <w:trPr>
          <w:divId w:val="2111854192"/>
          <w:tblCellSpacing w:w="0" w:type="dxa"/>
        </w:trPr>
        <w:tc>
          <w:tcPr>
            <w:tcW w:w="0" w:type="auto"/>
            <w:shd w:val="clear" w:color="auto" w:fill="FFFFFF"/>
            <w:vAlign w:val="bottom"/>
            <w:hideMark/>
          </w:tcPr>
          <w:p w:rsidR="00D27E48" w:rsidRDefault="00D27E48">
            <w:pPr>
              <w:rPr>
                <w:rFonts w:eastAsia="Times New Roman"/>
              </w:rPr>
            </w:pPr>
            <w:r>
              <w:rPr>
                <w:rFonts w:eastAsia="Times New Roman"/>
                <w:sz w:val="20"/>
                <w:szCs w:val="20"/>
              </w:rPr>
              <w:t> </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w:t>
            </w:r>
          </w:p>
        </w:tc>
      </w:tr>
      <w:tr w:rsidR="00D27E48">
        <w:trPr>
          <w:divId w:val="2111854192"/>
          <w:tblCellSpacing w:w="0" w:type="dxa"/>
        </w:trPr>
        <w:tc>
          <w:tcPr>
            <w:tcW w:w="0" w:type="auto"/>
            <w:shd w:val="clear" w:color="auto" w:fill="CCFFCC"/>
            <w:vAlign w:val="bottom"/>
            <w:hideMark/>
          </w:tcPr>
          <w:p w:rsidR="00D27E48" w:rsidRDefault="00D27E48">
            <w:pPr>
              <w:rPr>
                <w:rFonts w:eastAsia="Times New Roman"/>
              </w:rPr>
            </w:pPr>
            <w:r>
              <w:rPr>
                <w:rFonts w:eastAsia="Times New Roman"/>
                <w:sz w:val="20"/>
                <w:szCs w:val="20"/>
              </w:rPr>
              <w:t>Total Long Term Debt</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104,378</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108,613</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105,034</w:t>
            </w:r>
          </w:p>
        </w:tc>
      </w:tr>
      <w:tr w:rsidR="00D27E48">
        <w:trPr>
          <w:divId w:val="2111854192"/>
          <w:tblCellSpacing w:w="0" w:type="dxa"/>
        </w:trPr>
        <w:tc>
          <w:tcPr>
            <w:tcW w:w="0" w:type="auto"/>
            <w:shd w:val="clear" w:color="auto" w:fill="FFFFFF"/>
            <w:vAlign w:val="bottom"/>
            <w:hideMark/>
          </w:tcPr>
          <w:p w:rsidR="00D27E48" w:rsidRDefault="00D27E48">
            <w:pPr>
              <w:rPr>
                <w:rFonts w:eastAsia="Times New Roman"/>
              </w:rPr>
            </w:pPr>
            <w:r>
              <w:rPr>
                <w:rFonts w:eastAsia="Times New Roman"/>
                <w:sz w:val="20"/>
                <w:szCs w:val="20"/>
              </w:rPr>
              <w:t> </w:t>
            </w:r>
          </w:p>
        </w:tc>
        <w:tc>
          <w:tcPr>
            <w:tcW w:w="0" w:type="auto"/>
            <w:shd w:val="clear" w:color="auto" w:fill="FFFFFF"/>
            <w:vAlign w:val="bottom"/>
            <w:hideMark/>
          </w:tcPr>
          <w:p w:rsidR="00D27E48" w:rsidRDefault="00D27E48">
            <w:pPr>
              <w:jc w:val="right"/>
              <w:rPr>
                <w:rFonts w:eastAsia="Times New Roman"/>
              </w:rPr>
            </w:pPr>
          </w:p>
        </w:tc>
        <w:tc>
          <w:tcPr>
            <w:tcW w:w="0" w:type="auto"/>
            <w:shd w:val="clear" w:color="auto" w:fill="FFFFFF"/>
            <w:vAlign w:val="bottom"/>
            <w:hideMark/>
          </w:tcPr>
          <w:p w:rsidR="00D27E48" w:rsidRDefault="00D27E48">
            <w:pPr>
              <w:jc w:val="right"/>
              <w:rPr>
                <w:rFonts w:eastAsia="Times New Roman"/>
              </w:rPr>
            </w:pPr>
          </w:p>
        </w:tc>
        <w:tc>
          <w:tcPr>
            <w:tcW w:w="0" w:type="auto"/>
            <w:shd w:val="clear" w:color="auto" w:fill="FFFFFF"/>
            <w:vAlign w:val="bottom"/>
            <w:hideMark/>
          </w:tcPr>
          <w:p w:rsidR="00D27E48" w:rsidRDefault="00D27E48">
            <w:pPr>
              <w:jc w:val="right"/>
              <w:rPr>
                <w:rFonts w:eastAsia="Times New Roman"/>
              </w:rPr>
            </w:pPr>
          </w:p>
        </w:tc>
      </w:tr>
      <w:tr w:rsidR="00D27E48">
        <w:trPr>
          <w:divId w:val="2111854192"/>
          <w:tblCellSpacing w:w="0" w:type="dxa"/>
        </w:trPr>
        <w:tc>
          <w:tcPr>
            <w:tcW w:w="0" w:type="auto"/>
            <w:shd w:val="clear" w:color="auto" w:fill="CCFFCC"/>
            <w:vAlign w:val="bottom"/>
            <w:hideMark/>
          </w:tcPr>
          <w:p w:rsidR="00D27E48" w:rsidRDefault="00D27E48">
            <w:pPr>
              <w:rPr>
                <w:rFonts w:eastAsia="Times New Roman"/>
              </w:rPr>
            </w:pPr>
            <w:r>
              <w:rPr>
                <w:rFonts w:eastAsia="Times New Roman"/>
                <w:sz w:val="20"/>
                <w:szCs w:val="20"/>
              </w:rPr>
              <w:t>Total Liabilities</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366,047</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395,919</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356,641</w:t>
            </w:r>
          </w:p>
        </w:tc>
      </w:tr>
      <w:tr w:rsidR="00D27E48">
        <w:trPr>
          <w:divId w:val="2111854192"/>
          <w:tblCellSpacing w:w="0" w:type="dxa"/>
        </w:trPr>
        <w:tc>
          <w:tcPr>
            <w:tcW w:w="0" w:type="auto"/>
            <w:shd w:val="clear" w:color="auto" w:fill="FFFFFF"/>
            <w:vAlign w:val="bottom"/>
            <w:hideMark/>
          </w:tcPr>
          <w:p w:rsidR="00D27E48" w:rsidRDefault="00D27E48">
            <w:pPr>
              <w:rPr>
                <w:rFonts w:eastAsia="Times New Roman"/>
              </w:rPr>
            </w:pPr>
            <w:r>
              <w:rPr>
                <w:rFonts w:eastAsia="Times New Roman"/>
                <w:sz w:val="20"/>
                <w:szCs w:val="20"/>
              </w:rPr>
              <w:t> </w:t>
            </w:r>
          </w:p>
        </w:tc>
        <w:tc>
          <w:tcPr>
            <w:tcW w:w="0" w:type="auto"/>
            <w:shd w:val="clear" w:color="auto" w:fill="FFFFFF"/>
            <w:vAlign w:val="bottom"/>
            <w:hideMark/>
          </w:tcPr>
          <w:p w:rsidR="00D27E48" w:rsidRDefault="00D27E48">
            <w:pPr>
              <w:jc w:val="right"/>
              <w:rPr>
                <w:rFonts w:eastAsia="Times New Roman"/>
              </w:rPr>
            </w:pPr>
          </w:p>
        </w:tc>
        <w:tc>
          <w:tcPr>
            <w:tcW w:w="0" w:type="auto"/>
            <w:shd w:val="clear" w:color="auto" w:fill="FFFFFF"/>
            <w:vAlign w:val="bottom"/>
            <w:hideMark/>
          </w:tcPr>
          <w:p w:rsidR="00D27E48" w:rsidRDefault="00D27E48">
            <w:pPr>
              <w:jc w:val="right"/>
              <w:rPr>
                <w:rFonts w:eastAsia="Times New Roman"/>
              </w:rPr>
            </w:pPr>
          </w:p>
        </w:tc>
        <w:tc>
          <w:tcPr>
            <w:tcW w:w="0" w:type="auto"/>
            <w:shd w:val="clear" w:color="auto" w:fill="FFFFFF"/>
            <w:vAlign w:val="bottom"/>
            <w:hideMark/>
          </w:tcPr>
          <w:p w:rsidR="00D27E48" w:rsidRDefault="00D27E48">
            <w:pPr>
              <w:jc w:val="right"/>
              <w:rPr>
                <w:rFonts w:eastAsia="Times New Roman"/>
              </w:rPr>
            </w:pPr>
          </w:p>
        </w:tc>
      </w:tr>
      <w:tr w:rsidR="00D27E48">
        <w:trPr>
          <w:divId w:val="2111854192"/>
          <w:tblCellSpacing w:w="0" w:type="dxa"/>
        </w:trPr>
        <w:tc>
          <w:tcPr>
            <w:tcW w:w="0" w:type="auto"/>
            <w:shd w:val="clear" w:color="auto" w:fill="CCFFCC"/>
            <w:vAlign w:val="bottom"/>
            <w:hideMark/>
          </w:tcPr>
          <w:p w:rsidR="00D27E48" w:rsidRDefault="00D27E48">
            <w:pPr>
              <w:rPr>
                <w:rFonts w:eastAsia="Times New Roman"/>
              </w:rPr>
            </w:pPr>
            <w:r>
              <w:rPr>
                <w:rFonts w:eastAsia="Times New Roman"/>
                <w:sz w:val="20"/>
                <w:szCs w:val="20"/>
              </w:rPr>
              <w:t>STOCKHOLDERS' DEFICIENCY -</w:t>
            </w:r>
          </w:p>
        </w:tc>
        <w:tc>
          <w:tcPr>
            <w:tcW w:w="0" w:type="auto"/>
            <w:shd w:val="clear" w:color="auto" w:fill="CCFFCC"/>
            <w:vAlign w:val="bottom"/>
            <w:hideMark/>
          </w:tcPr>
          <w:p w:rsidR="00D27E48" w:rsidRDefault="00D27E48">
            <w:pPr>
              <w:jc w:val="right"/>
              <w:rPr>
                <w:rFonts w:eastAsia="Times New Roman"/>
              </w:rPr>
            </w:pPr>
          </w:p>
        </w:tc>
        <w:tc>
          <w:tcPr>
            <w:tcW w:w="0" w:type="auto"/>
            <w:shd w:val="clear" w:color="auto" w:fill="CCFFCC"/>
            <w:vAlign w:val="bottom"/>
            <w:hideMark/>
          </w:tcPr>
          <w:p w:rsidR="00D27E48" w:rsidRDefault="00D27E48">
            <w:pPr>
              <w:jc w:val="right"/>
              <w:rPr>
                <w:rFonts w:eastAsia="Times New Roman"/>
              </w:rPr>
            </w:pPr>
          </w:p>
        </w:tc>
        <w:tc>
          <w:tcPr>
            <w:tcW w:w="0" w:type="auto"/>
            <w:shd w:val="clear" w:color="auto" w:fill="CCFFCC"/>
            <w:vAlign w:val="bottom"/>
            <w:hideMark/>
          </w:tcPr>
          <w:p w:rsidR="00D27E48" w:rsidRDefault="00D27E48">
            <w:pPr>
              <w:jc w:val="right"/>
              <w:rPr>
                <w:rFonts w:eastAsia="Times New Roman"/>
              </w:rPr>
            </w:pPr>
          </w:p>
        </w:tc>
      </w:tr>
      <w:tr w:rsidR="00D27E48">
        <w:trPr>
          <w:divId w:val="2111854192"/>
          <w:trHeight w:val="300"/>
          <w:tblCellSpacing w:w="0" w:type="dxa"/>
        </w:trPr>
        <w:tc>
          <w:tcPr>
            <w:tcW w:w="0" w:type="auto"/>
            <w:shd w:val="clear" w:color="auto" w:fill="FFFFFF"/>
            <w:vAlign w:val="bottom"/>
            <w:hideMark/>
          </w:tcPr>
          <w:p w:rsidR="00D27E48" w:rsidRDefault="00D27E48">
            <w:pPr>
              <w:rPr>
                <w:rFonts w:eastAsia="Times New Roman"/>
              </w:rPr>
            </w:pPr>
            <w:r>
              <w:rPr>
                <w:rFonts w:eastAsia="Times New Roman"/>
                <w:sz w:val="20"/>
                <w:szCs w:val="20"/>
              </w:rPr>
              <w:t>   Convertible preferred stock, Series 2, par value $0.01; authorized  10,000,000 shares; issued and outstanding 5,000 shares liquidating preference $25,000  </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50</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50</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50</w:t>
            </w:r>
          </w:p>
        </w:tc>
      </w:tr>
      <w:tr w:rsidR="00D27E48">
        <w:trPr>
          <w:divId w:val="2111854192"/>
          <w:tblCellSpacing w:w="0" w:type="dxa"/>
        </w:trPr>
        <w:tc>
          <w:tcPr>
            <w:tcW w:w="0" w:type="auto"/>
            <w:shd w:val="clear" w:color="auto" w:fill="CCFFCC"/>
            <w:vAlign w:val="bottom"/>
            <w:hideMark/>
          </w:tcPr>
          <w:p w:rsidR="00D27E48" w:rsidRDefault="00D27E48">
            <w:pPr>
              <w:rPr>
                <w:rFonts w:eastAsia="Times New Roman"/>
              </w:rPr>
            </w:pPr>
            <w:r>
              <w:rPr>
                <w:rFonts w:eastAsia="Times New Roman"/>
                <w:sz w:val="20"/>
                <w:szCs w:val="20"/>
              </w:rPr>
              <w:t> </w:t>
            </w:r>
          </w:p>
        </w:tc>
        <w:tc>
          <w:tcPr>
            <w:tcW w:w="0" w:type="auto"/>
            <w:shd w:val="clear" w:color="auto" w:fill="CCFFCC"/>
            <w:vAlign w:val="bottom"/>
            <w:hideMark/>
          </w:tcPr>
          <w:p w:rsidR="00D27E48" w:rsidRDefault="00D27E48">
            <w:pPr>
              <w:jc w:val="right"/>
              <w:rPr>
                <w:rFonts w:eastAsia="Times New Roman"/>
              </w:rPr>
            </w:pPr>
          </w:p>
        </w:tc>
        <w:tc>
          <w:tcPr>
            <w:tcW w:w="0" w:type="auto"/>
            <w:shd w:val="clear" w:color="auto" w:fill="CCFFCC"/>
            <w:vAlign w:val="bottom"/>
            <w:hideMark/>
          </w:tcPr>
          <w:p w:rsidR="00D27E48" w:rsidRDefault="00D27E48">
            <w:pPr>
              <w:jc w:val="right"/>
              <w:rPr>
                <w:rFonts w:eastAsia="Times New Roman"/>
              </w:rPr>
            </w:pPr>
          </w:p>
        </w:tc>
        <w:tc>
          <w:tcPr>
            <w:tcW w:w="0" w:type="auto"/>
            <w:shd w:val="clear" w:color="auto" w:fill="CCFFCC"/>
            <w:vAlign w:val="bottom"/>
            <w:hideMark/>
          </w:tcPr>
          <w:p w:rsidR="00D27E48" w:rsidRDefault="00D27E48">
            <w:pPr>
              <w:jc w:val="right"/>
              <w:rPr>
                <w:rFonts w:eastAsia="Times New Roman"/>
              </w:rPr>
            </w:pPr>
          </w:p>
        </w:tc>
      </w:tr>
      <w:tr w:rsidR="00D27E48">
        <w:trPr>
          <w:divId w:val="2111854192"/>
          <w:tblCellSpacing w:w="0" w:type="dxa"/>
        </w:trPr>
        <w:tc>
          <w:tcPr>
            <w:tcW w:w="0" w:type="auto"/>
            <w:shd w:val="clear" w:color="auto" w:fill="FFFFFF"/>
            <w:vAlign w:val="bottom"/>
            <w:hideMark/>
          </w:tcPr>
          <w:p w:rsidR="00D27E48" w:rsidRDefault="00D27E48">
            <w:pPr>
              <w:rPr>
                <w:rFonts w:eastAsia="Times New Roman"/>
              </w:rPr>
            </w:pPr>
            <w:r>
              <w:rPr>
                <w:rFonts w:eastAsia="Times New Roman"/>
                <w:sz w:val="20"/>
                <w:szCs w:val="20"/>
              </w:rPr>
              <w:t>   Convertible preferred stock, Series 3, par value $0.01; authorized and issued, 1,670,000 shares</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16,700</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16,700</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16,700</w:t>
            </w:r>
          </w:p>
        </w:tc>
      </w:tr>
      <w:tr w:rsidR="00D27E48">
        <w:trPr>
          <w:divId w:val="2111854192"/>
          <w:tblCellSpacing w:w="0" w:type="dxa"/>
        </w:trPr>
        <w:tc>
          <w:tcPr>
            <w:tcW w:w="0" w:type="auto"/>
            <w:shd w:val="clear" w:color="auto" w:fill="CCFFCC"/>
            <w:vAlign w:val="bottom"/>
            <w:hideMark/>
          </w:tcPr>
          <w:p w:rsidR="00D27E48" w:rsidRDefault="00D27E48">
            <w:pPr>
              <w:rPr>
                <w:rFonts w:eastAsia="Times New Roman"/>
              </w:rPr>
            </w:pPr>
            <w:r>
              <w:rPr>
                <w:rFonts w:eastAsia="Times New Roman"/>
                <w:sz w:val="20"/>
                <w:szCs w:val="20"/>
              </w:rPr>
              <w:t> </w:t>
            </w:r>
          </w:p>
        </w:tc>
        <w:tc>
          <w:tcPr>
            <w:tcW w:w="0" w:type="auto"/>
            <w:shd w:val="clear" w:color="auto" w:fill="CCFFCC"/>
            <w:vAlign w:val="bottom"/>
            <w:hideMark/>
          </w:tcPr>
          <w:p w:rsidR="00D27E48" w:rsidRDefault="00D27E48">
            <w:pPr>
              <w:jc w:val="right"/>
              <w:rPr>
                <w:rFonts w:eastAsia="Times New Roman"/>
              </w:rPr>
            </w:pPr>
          </w:p>
        </w:tc>
        <w:tc>
          <w:tcPr>
            <w:tcW w:w="0" w:type="auto"/>
            <w:shd w:val="clear" w:color="auto" w:fill="CCFFCC"/>
            <w:vAlign w:val="bottom"/>
            <w:hideMark/>
          </w:tcPr>
          <w:p w:rsidR="00D27E48" w:rsidRDefault="00D27E48">
            <w:pPr>
              <w:jc w:val="right"/>
              <w:rPr>
                <w:rFonts w:eastAsia="Times New Roman"/>
              </w:rPr>
            </w:pPr>
          </w:p>
        </w:tc>
        <w:tc>
          <w:tcPr>
            <w:tcW w:w="0" w:type="auto"/>
            <w:shd w:val="clear" w:color="auto" w:fill="CCFFCC"/>
            <w:vAlign w:val="bottom"/>
            <w:hideMark/>
          </w:tcPr>
          <w:p w:rsidR="00D27E48" w:rsidRDefault="00D27E48">
            <w:pPr>
              <w:jc w:val="right"/>
              <w:rPr>
                <w:rFonts w:eastAsia="Times New Roman"/>
              </w:rPr>
            </w:pPr>
          </w:p>
        </w:tc>
      </w:tr>
      <w:tr w:rsidR="00D27E48">
        <w:trPr>
          <w:divId w:val="2111854192"/>
          <w:tblCellSpacing w:w="0" w:type="dxa"/>
        </w:trPr>
        <w:tc>
          <w:tcPr>
            <w:tcW w:w="0" w:type="auto"/>
            <w:shd w:val="clear" w:color="auto" w:fill="FFFFFF"/>
            <w:vAlign w:val="bottom"/>
            <w:hideMark/>
          </w:tcPr>
          <w:p w:rsidR="00D27E48" w:rsidRDefault="00D27E48">
            <w:pPr>
              <w:rPr>
                <w:rFonts w:eastAsia="Times New Roman"/>
              </w:rPr>
            </w:pPr>
            <w:r>
              <w:rPr>
                <w:rFonts w:eastAsia="Times New Roman"/>
                <w:sz w:val="20"/>
                <w:szCs w:val="20"/>
              </w:rPr>
              <w:t>   Convertible preferred stock, Series 4; issued and outstanding,</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w:t>
            </w:r>
          </w:p>
        </w:tc>
      </w:tr>
      <w:tr w:rsidR="00D27E48">
        <w:trPr>
          <w:divId w:val="2111854192"/>
          <w:tblCellSpacing w:w="0" w:type="dxa"/>
        </w:trPr>
        <w:tc>
          <w:tcPr>
            <w:tcW w:w="0" w:type="auto"/>
            <w:shd w:val="clear" w:color="auto" w:fill="CCFFCC"/>
            <w:vAlign w:val="bottom"/>
            <w:hideMark/>
          </w:tcPr>
          <w:p w:rsidR="00D27E48" w:rsidRDefault="00D27E48">
            <w:pPr>
              <w:rPr>
                <w:rFonts w:eastAsia="Times New Roman"/>
              </w:rPr>
            </w:pPr>
            <w:r>
              <w:rPr>
                <w:rFonts w:eastAsia="Times New Roman"/>
                <w:sz w:val="20"/>
                <w:szCs w:val="20"/>
              </w:rPr>
              <w:t> </w:t>
            </w:r>
          </w:p>
        </w:tc>
        <w:tc>
          <w:tcPr>
            <w:tcW w:w="0" w:type="auto"/>
            <w:shd w:val="clear" w:color="auto" w:fill="CCFFCC"/>
            <w:vAlign w:val="bottom"/>
            <w:hideMark/>
          </w:tcPr>
          <w:p w:rsidR="00D27E48" w:rsidRDefault="00D27E48">
            <w:pPr>
              <w:jc w:val="right"/>
              <w:rPr>
                <w:rFonts w:eastAsia="Times New Roman"/>
              </w:rPr>
            </w:pPr>
          </w:p>
        </w:tc>
        <w:tc>
          <w:tcPr>
            <w:tcW w:w="0" w:type="auto"/>
            <w:shd w:val="clear" w:color="auto" w:fill="CCFFCC"/>
            <w:vAlign w:val="bottom"/>
            <w:hideMark/>
          </w:tcPr>
          <w:p w:rsidR="00D27E48" w:rsidRDefault="00D27E48">
            <w:pPr>
              <w:jc w:val="right"/>
              <w:rPr>
                <w:rFonts w:eastAsia="Times New Roman"/>
              </w:rPr>
            </w:pPr>
          </w:p>
        </w:tc>
        <w:tc>
          <w:tcPr>
            <w:tcW w:w="0" w:type="auto"/>
            <w:shd w:val="clear" w:color="auto" w:fill="CCFFCC"/>
            <w:vAlign w:val="bottom"/>
            <w:hideMark/>
          </w:tcPr>
          <w:p w:rsidR="00D27E48" w:rsidRDefault="00D27E48">
            <w:pPr>
              <w:jc w:val="right"/>
              <w:rPr>
                <w:rFonts w:eastAsia="Times New Roman"/>
              </w:rPr>
            </w:pPr>
          </w:p>
        </w:tc>
      </w:tr>
      <w:tr w:rsidR="00D27E48">
        <w:trPr>
          <w:divId w:val="2111854192"/>
          <w:tblCellSpacing w:w="0" w:type="dxa"/>
        </w:trPr>
        <w:tc>
          <w:tcPr>
            <w:tcW w:w="0" w:type="auto"/>
            <w:shd w:val="clear" w:color="auto" w:fill="FFFFFF"/>
            <w:vAlign w:val="bottom"/>
            <w:hideMark/>
          </w:tcPr>
          <w:p w:rsidR="00D27E48" w:rsidRDefault="00D27E48">
            <w:pPr>
              <w:rPr>
                <w:rFonts w:eastAsia="Times New Roman"/>
              </w:rPr>
            </w:pPr>
            <w:r>
              <w:rPr>
                <w:rFonts w:eastAsia="Times New Roman"/>
                <w:sz w:val="20"/>
                <w:szCs w:val="20"/>
              </w:rPr>
              <w:t>   Convertible preferred stock, Series 5; issued, 1 share</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w:t>
            </w:r>
          </w:p>
        </w:tc>
      </w:tr>
      <w:tr w:rsidR="00D27E48">
        <w:trPr>
          <w:divId w:val="2111854192"/>
          <w:tblCellSpacing w:w="0" w:type="dxa"/>
        </w:trPr>
        <w:tc>
          <w:tcPr>
            <w:tcW w:w="0" w:type="auto"/>
            <w:shd w:val="clear" w:color="auto" w:fill="CCFFCC"/>
            <w:vAlign w:val="bottom"/>
            <w:hideMark/>
          </w:tcPr>
          <w:p w:rsidR="00D27E48" w:rsidRDefault="00D27E48">
            <w:pPr>
              <w:rPr>
                <w:rFonts w:eastAsia="Times New Roman"/>
              </w:rPr>
            </w:pPr>
            <w:r>
              <w:rPr>
                <w:rFonts w:eastAsia="Times New Roman"/>
                <w:sz w:val="20"/>
                <w:szCs w:val="20"/>
              </w:rPr>
              <w:t> </w:t>
            </w:r>
          </w:p>
        </w:tc>
        <w:tc>
          <w:tcPr>
            <w:tcW w:w="0" w:type="auto"/>
            <w:shd w:val="clear" w:color="auto" w:fill="CCFFCC"/>
            <w:vAlign w:val="bottom"/>
            <w:hideMark/>
          </w:tcPr>
          <w:p w:rsidR="00D27E48" w:rsidRDefault="00D27E48">
            <w:pPr>
              <w:jc w:val="right"/>
              <w:rPr>
                <w:rFonts w:eastAsia="Times New Roman"/>
              </w:rPr>
            </w:pPr>
          </w:p>
        </w:tc>
        <w:tc>
          <w:tcPr>
            <w:tcW w:w="0" w:type="auto"/>
            <w:shd w:val="clear" w:color="auto" w:fill="CCFFCC"/>
            <w:vAlign w:val="bottom"/>
            <w:hideMark/>
          </w:tcPr>
          <w:p w:rsidR="00D27E48" w:rsidRDefault="00D27E48">
            <w:pPr>
              <w:jc w:val="right"/>
              <w:rPr>
                <w:rFonts w:eastAsia="Times New Roman"/>
              </w:rPr>
            </w:pPr>
          </w:p>
        </w:tc>
        <w:tc>
          <w:tcPr>
            <w:tcW w:w="0" w:type="auto"/>
            <w:shd w:val="clear" w:color="auto" w:fill="CCFFCC"/>
            <w:vAlign w:val="bottom"/>
            <w:hideMark/>
          </w:tcPr>
          <w:p w:rsidR="00D27E48" w:rsidRDefault="00D27E48">
            <w:pPr>
              <w:jc w:val="right"/>
              <w:rPr>
                <w:rFonts w:eastAsia="Times New Roman"/>
              </w:rPr>
            </w:pPr>
          </w:p>
        </w:tc>
      </w:tr>
      <w:tr w:rsidR="00D27E48">
        <w:trPr>
          <w:divId w:val="2111854192"/>
          <w:tblCellSpacing w:w="0" w:type="dxa"/>
        </w:trPr>
        <w:tc>
          <w:tcPr>
            <w:tcW w:w="0" w:type="auto"/>
            <w:shd w:val="clear" w:color="auto" w:fill="FFFFFF"/>
            <w:vAlign w:val="bottom"/>
            <w:hideMark/>
          </w:tcPr>
          <w:p w:rsidR="00D27E48" w:rsidRDefault="00D27E48">
            <w:pPr>
              <w:rPr>
                <w:rFonts w:eastAsia="Times New Roman"/>
              </w:rPr>
            </w:pPr>
            <w:r>
              <w:rPr>
                <w:rFonts w:eastAsia="Times New Roman"/>
                <w:sz w:val="20"/>
                <w:szCs w:val="20"/>
              </w:rPr>
              <w:t>   Common stock, par value $0.01; authorized, 90,000,000 shares; issued 46,973,585 shares</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469,736</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469,736</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469,736</w:t>
            </w:r>
          </w:p>
        </w:tc>
      </w:tr>
      <w:tr w:rsidR="00D27E48">
        <w:trPr>
          <w:divId w:val="2111854192"/>
          <w:tblCellSpacing w:w="0" w:type="dxa"/>
        </w:trPr>
        <w:tc>
          <w:tcPr>
            <w:tcW w:w="0" w:type="auto"/>
            <w:shd w:val="clear" w:color="auto" w:fill="CCFFCC"/>
            <w:vAlign w:val="bottom"/>
            <w:hideMark/>
          </w:tcPr>
          <w:p w:rsidR="00D27E48" w:rsidRDefault="00D27E48">
            <w:pPr>
              <w:rPr>
                <w:rFonts w:eastAsia="Times New Roman"/>
              </w:rPr>
            </w:pPr>
            <w:r>
              <w:rPr>
                <w:rFonts w:eastAsia="Times New Roman"/>
                <w:sz w:val="20"/>
                <w:szCs w:val="20"/>
              </w:rPr>
              <w:t> </w:t>
            </w:r>
          </w:p>
        </w:tc>
        <w:tc>
          <w:tcPr>
            <w:tcW w:w="0" w:type="auto"/>
            <w:shd w:val="clear" w:color="auto" w:fill="CCFFCC"/>
            <w:vAlign w:val="bottom"/>
            <w:hideMark/>
          </w:tcPr>
          <w:p w:rsidR="00D27E48" w:rsidRDefault="00D27E48">
            <w:pPr>
              <w:jc w:val="right"/>
              <w:rPr>
                <w:rFonts w:eastAsia="Times New Roman"/>
              </w:rPr>
            </w:pPr>
          </w:p>
        </w:tc>
        <w:tc>
          <w:tcPr>
            <w:tcW w:w="0" w:type="auto"/>
            <w:shd w:val="clear" w:color="auto" w:fill="CCFFCC"/>
            <w:vAlign w:val="bottom"/>
            <w:hideMark/>
          </w:tcPr>
          <w:p w:rsidR="00D27E48" w:rsidRDefault="00D27E48">
            <w:pPr>
              <w:jc w:val="right"/>
              <w:rPr>
                <w:rFonts w:eastAsia="Times New Roman"/>
              </w:rPr>
            </w:pPr>
          </w:p>
        </w:tc>
        <w:tc>
          <w:tcPr>
            <w:tcW w:w="0" w:type="auto"/>
            <w:shd w:val="clear" w:color="auto" w:fill="CCFFCC"/>
            <w:vAlign w:val="bottom"/>
            <w:hideMark/>
          </w:tcPr>
          <w:p w:rsidR="00D27E48" w:rsidRDefault="00D27E48">
            <w:pPr>
              <w:jc w:val="right"/>
              <w:rPr>
                <w:rFonts w:eastAsia="Times New Roman"/>
              </w:rPr>
            </w:pPr>
          </w:p>
        </w:tc>
      </w:tr>
      <w:tr w:rsidR="00D27E48">
        <w:trPr>
          <w:divId w:val="2111854192"/>
          <w:tblCellSpacing w:w="0" w:type="dxa"/>
        </w:trPr>
        <w:tc>
          <w:tcPr>
            <w:tcW w:w="0" w:type="auto"/>
            <w:shd w:val="clear" w:color="auto" w:fill="FFFFFF"/>
            <w:vAlign w:val="bottom"/>
            <w:hideMark/>
          </w:tcPr>
          <w:p w:rsidR="00D27E48" w:rsidRDefault="00D27E48">
            <w:pPr>
              <w:rPr>
                <w:rFonts w:eastAsia="Times New Roman"/>
              </w:rPr>
            </w:pPr>
            <w:r>
              <w:rPr>
                <w:rFonts w:eastAsia="Times New Roman"/>
                <w:sz w:val="20"/>
                <w:szCs w:val="20"/>
              </w:rPr>
              <w:t>   Additional paid-in capital</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20,497,769</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20,497,769</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20,497,769</w:t>
            </w:r>
          </w:p>
        </w:tc>
      </w:tr>
      <w:tr w:rsidR="00D27E48">
        <w:trPr>
          <w:divId w:val="2111854192"/>
          <w:tblCellSpacing w:w="0" w:type="dxa"/>
        </w:trPr>
        <w:tc>
          <w:tcPr>
            <w:tcW w:w="0" w:type="auto"/>
            <w:shd w:val="clear" w:color="auto" w:fill="CCFFCC"/>
            <w:vAlign w:val="bottom"/>
            <w:hideMark/>
          </w:tcPr>
          <w:p w:rsidR="00D27E48" w:rsidRDefault="00D27E48">
            <w:pPr>
              <w:rPr>
                <w:rFonts w:eastAsia="Times New Roman"/>
              </w:rPr>
            </w:pPr>
            <w:r>
              <w:rPr>
                <w:rFonts w:eastAsia="Times New Roman"/>
                <w:sz w:val="20"/>
                <w:szCs w:val="20"/>
              </w:rPr>
              <w:t> </w:t>
            </w:r>
          </w:p>
        </w:tc>
        <w:tc>
          <w:tcPr>
            <w:tcW w:w="0" w:type="auto"/>
            <w:shd w:val="clear" w:color="auto" w:fill="CCFFCC"/>
            <w:vAlign w:val="bottom"/>
            <w:hideMark/>
          </w:tcPr>
          <w:p w:rsidR="00D27E48" w:rsidRDefault="00D27E48">
            <w:pPr>
              <w:jc w:val="right"/>
              <w:rPr>
                <w:rFonts w:eastAsia="Times New Roman"/>
              </w:rPr>
            </w:pPr>
          </w:p>
        </w:tc>
        <w:tc>
          <w:tcPr>
            <w:tcW w:w="0" w:type="auto"/>
            <w:shd w:val="clear" w:color="auto" w:fill="CCFFCC"/>
            <w:vAlign w:val="bottom"/>
            <w:hideMark/>
          </w:tcPr>
          <w:p w:rsidR="00D27E48" w:rsidRDefault="00D27E48">
            <w:pPr>
              <w:jc w:val="right"/>
              <w:rPr>
                <w:rFonts w:eastAsia="Times New Roman"/>
              </w:rPr>
            </w:pPr>
          </w:p>
        </w:tc>
        <w:tc>
          <w:tcPr>
            <w:tcW w:w="0" w:type="auto"/>
            <w:shd w:val="clear" w:color="auto" w:fill="CCFFCC"/>
            <w:vAlign w:val="bottom"/>
            <w:hideMark/>
          </w:tcPr>
          <w:p w:rsidR="00D27E48" w:rsidRDefault="00D27E48">
            <w:pPr>
              <w:jc w:val="right"/>
              <w:rPr>
                <w:rFonts w:eastAsia="Times New Roman"/>
              </w:rPr>
            </w:pPr>
          </w:p>
        </w:tc>
      </w:tr>
      <w:tr w:rsidR="00D27E48">
        <w:trPr>
          <w:divId w:val="2111854192"/>
          <w:tblCellSpacing w:w="0" w:type="dxa"/>
        </w:trPr>
        <w:tc>
          <w:tcPr>
            <w:tcW w:w="0" w:type="auto"/>
            <w:shd w:val="clear" w:color="auto" w:fill="FFFFFF"/>
            <w:vAlign w:val="bottom"/>
            <w:hideMark/>
          </w:tcPr>
          <w:p w:rsidR="00D27E48" w:rsidRDefault="00D27E48">
            <w:pPr>
              <w:rPr>
                <w:rFonts w:eastAsia="Times New Roman"/>
              </w:rPr>
            </w:pPr>
            <w:r>
              <w:rPr>
                <w:rFonts w:eastAsia="Times New Roman"/>
                <w:sz w:val="20"/>
                <w:szCs w:val="20"/>
              </w:rPr>
              <w:t>   Accumulated deficit</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(20,715,556)</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(20,718,292)</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(20,787,492)</w:t>
            </w:r>
          </w:p>
        </w:tc>
      </w:tr>
      <w:tr w:rsidR="00D27E48">
        <w:trPr>
          <w:divId w:val="2111854192"/>
          <w:tblCellSpacing w:w="0" w:type="dxa"/>
        </w:trPr>
        <w:tc>
          <w:tcPr>
            <w:tcW w:w="0" w:type="auto"/>
            <w:shd w:val="clear" w:color="auto" w:fill="CCFFCC"/>
            <w:vAlign w:val="bottom"/>
            <w:hideMark/>
          </w:tcPr>
          <w:p w:rsidR="00D27E48" w:rsidRDefault="00D27E48">
            <w:pPr>
              <w:rPr>
                <w:rFonts w:eastAsia="Times New Roman"/>
              </w:rPr>
            </w:pPr>
            <w:r>
              <w:rPr>
                <w:rFonts w:eastAsia="Times New Roman"/>
                <w:sz w:val="20"/>
                <w:szCs w:val="20"/>
              </w:rPr>
              <w:t> </w:t>
            </w:r>
          </w:p>
        </w:tc>
        <w:tc>
          <w:tcPr>
            <w:tcW w:w="0" w:type="auto"/>
            <w:shd w:val="clear" w:color="auto" w:fill="CCFFCC"/>
            <w:vAlign w:val="bottom"/>
            <w:hideMark/>
          </w:tcPr>
          <w:p w:rsidR="00D27E48" w:rsidRDefault="00D27E48">
            <w:pPr>
              <w:jc w:val="right"/>
              <w:rPr>
                <w:rFonts w:eastAsia="Times New Roman"/>
              </w:rPr>
            </w:pPr>
          </w:p>
        </w:tc>
        <w:tc>
          <w:tcPr>
            <w:tcW w:w="0" w:type="auto"/>
            <w:shd w:val="clear" w:color="auto" w:fill="CCFFCC"/>
            <w:vAlign w:val="bottom"/>
            <w:hideMark/>
          </w:tcPr>
          <w:p w:rsidR="00D27E48" w:rsidRDefault="00D27E48">
            <w:pPr>
              <w:jc w:val="right"/>
              <w:rPr>
                <w:rFonts w:eastAsia="Times New Roman"/>
              </w:rPr>
            </w:pPr>
          </w:p>
        </w:tc>
        <w:tc>
          <w:tcPr>
            <w:tcW w:w="0" w:type="auto"/>
            <w:shd w:val="clear" w:color="auto" w:fill="CCFFCC"/>
            <w:vAlign w:val="bottom"/>
            <w:hideMark/>
          </w:tcPr>
          <w:p w:rsidR="00D27E48" w:rsidRDefault="00D27E48">
            <w:pPr>
              <w:jc w:val="right"/>
              <w:rPr>
                <w:rFonts w:eastAsia="Times New Roman"/>
              </w:rPr>
            </w:pPr>
          </w:p>
        </w:tc>
      </w:tr>
      <w:tr w:rsidR="00D27E48">
        <w:trPr>
          <w:divId w:val="2111854192"/>
          <w:tblCellSpacing w:w="0" w:type="dxa"/>
        </w:trPr>
        <w:tc>
          <w:tcPr>
            <w:tcW w:w="0" w:type="auto"/>
            <w:shd w:val="clear" w:color="auto" w:fill="FFFFFF"/>
            <w:vAlign w:val="bottom"/>
            <w:hideMark/>
          </w:tcPr>
          <w:p w:rsidR="00D27E48" w:rsidRDefault="00D27E48">
            <w:pPr>
              <w:rPr>
                <w:rFonts w:eastAsia="Times New Roman"/>
              </w:rPr>
            </w:pPr>
            <w:r>
              <w:rPr>
                <w:rFonts w:eastAsia="Times New Roman"/>
                <w:sz w:val="20"/>
                <w:szCs w:val="20"/>
              </w:rPr>
              <w:t>   Less treasury stock, at cost</w:t>
            </w:r>
          </w:p>
        </w:tc>
        <w:tc>
          <w:tcPr>
            <w:tcW w:w="0" w:type="auto"/>
            <w:shd w:val="clear" w:color="auto" w:fill="FFFFFF"/>
            <w:vAlign w:val="bottom"/>
            <w:hideMark/>
          </w:tcPr>
          <w:p w:rsidR="00D27E48" w:rsidRDefault="00D27E48">
            <w:pPr>
              <w:jc w:val="right"/>
              <w:rPr>
                <w:rFonts w:eastAsia="Times New Roman"/>
              </w:rPr>
            </w:pPr>
          </w:p>
        </w:tc>
        <w:tc>
          <w:tcPr>
            <w:tcW w:w="0" w:type="auto"/>
            <w:shd w:val="clear" w:color="auto" w:fill="FFFFFF"/>
            <w:vAlign w:val="bottom"/>
            <w:hideMark/>
          </w:tcPr>
          <w:p w:rsidR="00D27E48" w:rsidRDefault="00D27E48">
            <w:pPr>
              <w:jc w:val="right"/>
              <w:rPr>
                <w:rFonts w:eastAsia="Times New Roman"/>
              </w:rPr>
            </w:pPr>
          </w:p>
        </w:tc>
        <w:tc>
          <w:tcPr>
            <w:tcW w:w="0" w:type="auto"/>
            <w:shd w:val="clear" w:color="auto" w:fill="FFFFFF"/>
            <w:vAlign w:val="bottom"/>
            <w:hideMark/>
          </w:tcPr>
          <w:p w:rsidR="00D27E48" w:rsidRDefault="00D27E48">
            <w:pPr>
              <w:jc w:val="right"/>
              <w:rPr>
                <w:rFonts w:eastAsia="Times New Roman"/>
              </w:rPr>
            </w:pPr>
          </w:p>
        </w:tc>
      </w:tr>
      <w:tr w:rsidR="00D27E48">
        <w:trPr>
          <w:divId w:val="2111854192"/>
          <w:tblCellSpacing w:w="0" w:type="dxa"/>
        </w:trPr>
        <w:tc>
          <w:tcPr>
            <w:tcW w:w="0" w:type="auto"/>
            <w:shd w:val="clear" w:color="auto" w:fill="CCFFCC"/>
            <w:vAlign w:val="bottom"/>
            <w:hideMark/>
          </w:tcPr>
          <w:p w:rsidR="00D27E48" w:rsidRDefault="00D27E48">
            <w:pPr>
              <w:rPr>
                <w:rFonts w:eastAsia="Times New Roman"/>
              </w:rPr>
            </w:pPr>
            <w:r>
              <w:rPr>
                <w:rFonts w:eastAsia="Times New Roman"/>
                <w:sz w:val="20"/>
                <w:szCs w:val="20"/>
              </w:rPr>
              <w:t>      1,670,000 shares of convertible preferred   stock, Series 3</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(7,284)</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(7,284)</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(7,284)</w:t>
            </w:r>
          </w:p>
        </w:tc>
      </w:tr>
      <w:tr w:rsidR="00D27E48">
        <w:trPr>
          <w:divId w:val="2111854192"/>
          <w:tblCellSpacing w:w="0" w:type="dxa"/>
        </w:trPr>
        <w:tc>
          <w:tcPr>
            <w:tcW w:w="0" w:type="auto"/>
            <w:shd w:val="clear" w:color="auto" w:fill="FFFFFF"/>
            <w:vAlign w:val="bottom"/>
            <w:hideMark/>
          </w:tcPr>
          <w:p w:rsidR="00D27E48" w:rsidRDefault="00D27E48">
            <w:pPr>
              <w:rPr>
                <w:rFonts w:eastAsia="Times New Roman"/>
              </w:rPr>
            </w:pPr>
            <w:r>
              <w:rPr>
                <w:rFonts w:eastAsia="Times New Roman"/>
                <w:sz w:val="20"/>
                <w:szCs w:val="20"/>
              </w:rPr>
              <w:t>      1,120,000 shares of common stock</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w:t>
            </w:r>
          </w:p>
        </w:tc>
      </w:tr>
      <w:tr w:rsidR="00D27E48">
        <w:trPr>
          <w:divId w:val="2111854192"/>
          <w:tblCellSpacing w:w="0" w:type="dxa"/>
        </w:trPr>
        <w:tc>
          <w:tcPr>
            <w:tcW w:w="0" w:type="auto"/>
            <w:shd w:val="clear" w:color="auto" w:fill="CCFFCC"/>
            <w:vAlign w:val="bottom"/>
            <w:hideMark/>
          </w:tcPr>
          <w:p w:rsidR="00D27E48" w:rsidRDefault="00D27E48">
            <w:pPr>
              <w:rPr>
                <w:rFonts w:eastAsia="Times New Roman"/>
              </w:rPr>
            </w:pPr>
            <w:r>
              <w:rPr>
                <w:rFonts w:eastAsia="Times New Roman"/>
                <w:sz w:val="20"/>
                <w:szCs w:val="20"/>
              </w:rPr>
              <w:t>     </w:t>
            </w:r>
          </w:p>
        </w:tc>
        <w:tc>
          <w:tcPr>
            <w:tcW w:w="0" w:type="auto"/>
            <w:shd w:val="clear" w:color="auto" w:fill="CCFFCC"/>
            <w:vAlign w:val="bottom"/>
            <w:hideMark/>
          </w:tcPr>
          <w:p w:rsidR="00D27E48" w:rsidRDefault="00D27E48">
            <w:pPr>
              <w:jc w:val="right"/>
              <w:rPr>
                <w:rFonts w:eastAsia="Times New Roman"/>
              </w:rPr>
            </w:pPr>
          </w:p>
        </w:tc>
        <w:tc>
          <w:tcPr>
            <w:tcW w:w="0" w:type="auto"/>
            <w:shd w:val="clear" w:color="auto" w:fill="CCFFCC"/>
            <w:vAlign w:val="bottom"/>
            <w:hideMark/>
          </w:tcPr>
          <w:p w:rsidR="00D27E48" w:rsidRDefault="00D27E48">
            <w:pPr>
              <w:jc w:val="right"/>
              <w:rPr>
                <w:rFonts w:eastAsia="Times New Roman"/>
              </w:rPr>
            </w:pPr>
          </w:p>
        </w:tc>
        <w:tc>
          <w:tcPr>
            <w:tcW w:w="0" w:type="auto"/>
            <w:shd w:val="clear" w:color="auto" w:fill="CCFFCC"/>
            <w:vAlign w:val="bottom"/>
            <w:hideMark/>
          </w:tcPr>
          <w:p w:rsidR="00D27E48" w:rsidRDefault="00D27E48">
            <w:pPr>
              <w:jc w:val="right"/>
              <w:rPr>
                <w:rFonts w:eastAsia="Times New Roman"/>
              </w:rPr>
            </w:pPr>
          </w:p>
        </w:tc>
      </w:tr>
      <w:tr w:rsidR="00D27E48">
        <w:trPr>
          <w:divId w:val="2111854192"/>
          <w:tblCellSpacing w:w="0" w:type="dxa"/>
        </w:trPr>
        <w:tc>
          <w:tcPr>
            <w:tcW w:w="0" w:type="auto"/>
            <w:shd w:val="clear" w:color="auto" w:fill="FFFFFF"/>
            <w:vAlign w:val="bottom"/>
            <w:hideMark/>
          </w:tcPr>
          <w:p w:rsidR="00D27E48" w:rsidRDefault="00D27E48">
            <w:pPr>
              <w:rPr>
                <w:rFonts w:eastAsia="Times New Roman"/>
              </w:rPr>
            </w:pPr>
            <w:r>
              <w:rPr>
                <w:rFonts w:eastAsia="Times New Roman"/>
                <w:b/>
                <w:bCs/>
                <w:sz w:val="20"/>
                <w:szCs w:val="20"/>
              </w:rPr>
              <w:t>  TOTAL SHAREHOLDERS EQUITY</w:t>
            </w:r>
          </w:p>
        </w:tc>
        <w:tc>
          <w:tcPr>
            <w:tcW w:w="0" w:type="auto"/>
            <w:shd w:val="clear" w:color="auto" w:fill="FFFFFF"/>
            <w:vAlign w:val="bottom"/>
            <w:hideMark/>
          </w:tcPr>
          <w:p w:rsidR="00D27E48" w:rsidRDefault="00D27E48">
            <w:pPr>
              <w:jc w:val="right"/>
              <w:rPr>
                <w:rFonts w:eastAsia="Times New Roman"/>
              </w:rPr>
            </w:pPr>
            <w:r>
              <w:rPr>
                <w:rFonts w:eastAsia="Times New Roman"/>
                <w:b/>
                <w:bCs/>
                <w:sz w:val="20"/>
                <w:szCs w:val="20"/>
              </w:rPr>
              <w:t>261,415</w:t>
            </w:r>
          </w:p>
        </w:tc>
        <w:tc>
          <w:tcPr>
            <w:tcW w:w="0" w:type="auto"/>
            <w:shd w:val="clear" w:color="auto" w:fill="FFFFFF"/>
            <w:vAlign w:val="bottom"/>
            <w:hideMark/>
          </w:tcPr>
          <w:p w:rsidR="00D27E48" w:rsidRDefault="00D27E48">
            <w:pPr>
              <w:jc w:val="right"/>
              <w:rPr>
                <w:rFonts w:eastAsia="Times New Roman"/>
              </w:rPr>
            </w:pPr>
            <w:r>
              <w:rPr>
                <w:rFonts w:eastAsia="Times New Roman"/>
                <w:b/>
                <w:bCs/>
                <w:sz w:val="20"/>
                <w:szCs w:val="20"/>
              </w:rPr>
              <w:t>258,679</w:t>
            </w:r>
          </w:p>
        </w:tc>
        <w:tc>
          <w:tcPr>
            <w:tcW w:w="0" w:type="auto"/>
            <w:shd w:val="clear" w:color="auto" w:fill="FFFFFF"/>
            <w:vAlign w:val="bottom"/>
            <w:hideMark/>
          </w:tcPr>
          <w:p w:rsidR="00D27E48" w:rsidRDefault="00D27E48">
            <w:pPr>
              <w:jc w:val="right"/>
              <w:rPr>
                <w:rFonts w:eastAsia="Times New Roman"/>
              </w:rPr>
            </w:pPr>
            <w:r>
              <w:rPr>
                <w:rFonts w:eastAsia="Times New Roman"/>
                <w:b/>
                <w:bCs/>
                <w:sz w:val="20"/>
                <w:szCs w:val="20"/>
              </w:rPr>
              <w:t>191,173</w:t>
            </w:r>
          </w:p>
        </w:tc>
      </w:tr>
      <w:tr w:rsidR="00D27E48">
        <w:trPr>
          <w:divId w:val="2111854192"/>
          <w:tblCellSpacing w:w="0" w:type="dxa"/>
        </w:trPr>
        <w:tc>
          <w:tcPr>
            <w:tcW w:w="0" w:type="auto"/>
            <w:shd w:val="clear" w:color="auto" w:fill="CCFFCC"/>
            <w:vAlign w:val="bottom"/>
            <w:hideMark/>
          </w:tcPr>
          <w:p w:rsidR="00D27E48" w:rsidRDefault="00D27E48">
            <w:pPr>
              <w:rPr>
                <w:rFonts w:eastAsia="Times New Roman"/>
              </w:rPr>
            </w:pP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w:t>
            </w:r>
          </w:p>
        </w:tc>
      </w:tr>
      <w:tr w:rsidR="00D27E48">
        <w:trPr>
          <w:divId w:val="2111854192"/>
          <w:tblCellSpacing w:w="0" w:type="dxa"/>
        </w:trPr>
        <w:tc>
          <w:tcPr>
            <w:tcW w:w="0" w:type="auto"/>
            <w:shd w:val="clear" w:color="auto" w:fill="FFFFFF"/>
            <w:vAlign w:val="bottom"/>
            <w:hideMark/>
          </w:tcPr>
          <w:p w:rsidR="00D27E48" w:rsidRDefault="00D27E48">
            <w:pPr>
              <w:rPr>
                <w:rFonts w:eastAsia="Times New Roman"/>
              </w:rPr>
            </w:pPr>
            <w:r>
              <w:rPr>
                <w:rFonts w:eastAsia="Times New Roman"/>
                <w:b/>
                <w:bCs/>
                <w:sz w:val="20"/>
                <w:szCs w:val="20"/>
              </w:rPr>
              <w:t>  TOTAL LIABILITIES AND SHAREHOLDERS EQUITY</w:t>
            </w:r>
          </w:p>
        </w:tc>
        <w:tc>
          <w:tcPr>
            <w:tcW w:w="0" w:type="auto"/>
            <w:shd w:val="clear" w:color="auto" w:fill="FFFFFF"/>
            <w:vAlign w:val="bottom"/>
            <w:hideMark/>
          </w:tcPr>
          <w:p w:rsidR="00D27E48" w:rsidRDefault="00D27E48">
            <w:pPr>
              <w:jc w:val="right"/>
              <w:rPr>
                <w:rFonts w:eastAsia="Times New Roman"/>
              </w:rPr>
            </w:pPr>
            <w:r>
              <w:rPr>
                <w:rFonts w:eastAsia="Times New Roman"/>
                <w:b/>
                <w:bCs/>
                <w:sz w:val="20"/>
                <w:szCs w:val="20"/>
              </w:rPr>
              <w:t>$  627,462</w:t>
            </w:r>
          </w:p>
        </w:tc>
        <w:tc>
          <w:tcPr>
            <w:tcW w:w="0" w:type="auto"/>
            <w:shd w:val="clear" w:color="auto" w:fill="FFFFFF"/>
            <w:vAlign w:val="bottom"/>
            <w:hideMark/>
          </w:tcPr>
          <w:p w:rsidR="00D27E48" w:rsidRDefault="00D27E48">
            <w:pPr>
              <w:jc w:val="right"/>
              <w:rPr>
                <w:rFonts w:eastAsia="Times New Roman"/>
              </w:rPr>
            </w:pPr>
            <w:r>
              <w:rPr>
                <w:rFonts w:eastAsia="Times New Roman"/>
                <w:b/>
                <w:bCs/>
                <w:sz w:val="20"/>
                <w:szCs w:val="20"/>
              </w:rPr>
              <w:t>$   654,598</w:t>
            </w:r>
          </w:p>
        </w:tc>
        <w:tc>
          <w:tcPr>
            <w:tcW w:w="0" w:type="auto"/>
            <w:shd w:val="clear" w:color="auto" w:fill="FFFFFF"/>
            <w:vAlign w:val="bottom"/>
            <w:hideMark/>
          </w:tcPr>
          <w:p w:rsidR="00D27E48" w:rsidRDefault="00D27E48">
            <w:pPr>
              <w:jc w:val="right"/>
              <w:rPr>
                <w:rFonts w:eastAsia="Times New Roman"/>
              </w:rPr>
            </w:pPr>
            <w:r>
              <w:rPr>
                <w:rFonts w:eastAsia="Times New Roman"/>
                <w:b/>
                <w:bCs/>
                <w:sz w:val="20"/>
                <w:szCs w:val="20"/>
              </w:rPr>
              <w:t>$   546,120</w:t>
            </w:r>
          </w:p>
        </w:tc>
      </w:tr>
      <w:tr w:rsidR="00D27E48">
        <w:trPr>
          <w:divId w:val="2111854192"/>
          <w:tblCellSpacing w:w="0" w:type="dxa"/>
        </w:trPr>
        <w:tc>
          <w:tcPr>
            <w:tcW w:w="0" w:type="auto"/>
            <w:shd w:val="clear" w:color="auto" w:fill="CCFFCC"/>
            <w:vAlign w:val="bottom"/>
            <w:hideMark/>
          </w:tcPr>
          <w:p w:rsidR="00D27E48" w:rsidRDefault="00D27E48">
            <w:pPr>
              <w:rPr>
                <w:rFonts w:eastAsia="Times New Roman"/>
              </w:rPr>
            </w:pP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w:t>
            </w:r>
          </w:p>
        </w:tc>
      </w:tr>
      <w:tr w:rsidR="00D27E48">
        <w:trPr>
          <w:divId w:val="2111854192"/>
          <w:tblCellSpacing w:w="0" w:type="dxa"/>
        </w:trPr>
        <w:tc>
          <w:tcPr>
            <w:tcW w:w="0" w:type="auto"/>
            <w:gridSpan w:val="4"/>
            <w:shd w:val="clear" w:color="auto" w:fill="FFFFFF"/>
            <w:vAlign w:val="bottom"/>
            <w:hideMark/>
          </w:tcPr>
          <w:p w:rsidR="00D27E48" w:rsidRDefault="00D27E48">
            <w:pPr>
              <w:jc w:val="center"/>
              <w:rPr>
                <w:rFonts w:eastAsia="Times New Roman"/>
              </w:rPr>
            </w:pPr>
            <w:r>
              <w:rPr>
                <w:rFonts w:eastAsia="Times New Roman"/>
                <w:b/>
                <w:bCs/>
                <w:sz w:val="20"/>
                <w:szCs w:val="20"/>
              </w:rPr>
              <w:t>See accompanying notes to financial statements.</w:t>
            </w:r>
          </w:p>
        </w:tc>
      </w:tr>
    </w:tbl>
    <w:p w:rsidR="00D27E48" w:rsidRDefault="007E7BD4">
      <w:pPr>
        <w:pStyle w:val="NormalWeb"/>
        <w:divId w:val="2111854192"/>
      </w:pPr>
      <w:hyperlink w:anchor="toc" w:history="1">
        <w:r w:rsidR="00D27E48">
          <w:rPr>
            <w:rStyle w:val="Hyperlink"/>
            <w:b/>
            <w:bCs/>
            <w:sz w:val="20"/>
            <w:szCs w:val="20"/>
          </w:rPr>
          <w:t>Return to Table of Contents</w:t>
        </w:r>
      </w:hyperlink>
    </w:p>
    <w:p w:rsidR="0047090F" w:rsidRDefault="007E7BD4">
      <w:pPr>
        <w:rPr>
          <w:rFonts w:eastAsia="Times New Roman"/>
        </w:rPr>
      </w:pPr>
      <w:r w:rsidRPr="007E7BD4">
        <w:rPr>
          <w:rFonts w:eastAsia="Times New Roman"/>
        </w:rPr>
        <w:pict>
          <v:rect id="_x0000_i1033" style="width:0;height:3pt" o:hralign="center" o:hrstd="t" o:hrnoshade="t" o:hr="t" fillcolor="black" stroked="f"/>
        </w:pict>
      </w:r>
    </w:p>
    <w:p w:rsidR="0047090F" w:rsidRDefault="0047090F">
      <w:pPr>
        <w:rPr>
          <w:rFonts w:eastAsia="Times New Roman"/>
        </w:rPr>
      </w:pPr>
      <w:r>
        <w:rPr>
          <w:rFonts w:eastAsia="Times New Roman"/>
        </w:rPr>
        <w:br w:type="page"/>
      </w:r>
    </w:p>
    <w:p w:rsidR="00D27E48" w:rsidRDefault="00D27E48">
      <w:pPr>
        <w:rPr>
          <w:rFonts w:eastAsia="Times New Roman"/>
        </w:rPr>
      </w:pPr>
      <w:r>
        <w:rPr>
          <w:rFonts w:eastAsia="Times New Roman"/>
        </w:rPr>
        <w:lastRenderedPageBreak/>
        <w:t xml:space="preserve"> </w:t>
      </w:r>
    </w:p>
    <w:tbl>
      <w:tblPr>
        <w:tblW w:w="4500" w:type="pct"/>
        <w:tblCellSpacing w:w="15" w:type="dxa"/>
        <w:tblCellMar>
          <w:left w:w="0" w:type="dxa"/>
          <w:right w:w="0" w:type="dxa"/>
        </w:tblCellMar>
        <w:tblLook w:val="04A0"/>
      </w:tblPr>
      <w:tblGrid>
        <w:gridCol w:w="4439"/>
        <w:gridCol w:w="1064"/>
        <w:gridCol w:w="1064"/>
        <w:gridCol w:w="1064"/>
        <w:gridCol w:w="1064"/>
        <w:gridCol w:w="1079"/>
      </w:tblGrid>
      <w:tr w:rsidR="00D27E48">
        <w:trPr>
          <w:tblCellSpacing w:w="15" w:type="dxa"/>
        </w:trPr>
        <w:tc>
          <w:tcPr>
            <w:tcW w:w="0" w:type="auto"/>
            <w:gridSpan w:val="5"/>
            <w:shd w:val="clear" w:color="auto" w:fill="CCFFCC"/>
            <w:hideMark/>
          </w:tcPr>
          <w:p w:rsidR="00D27E48" w:rsidRDefault="00D27E48">
            <w:pPr>
              <w:pStyle w:val="NormalWeb"/>
              <w:jc w:val="center"/>
            </w:pPr>
            <w:r>
              <w:rPr>
                <w:b/>
                <w:bCs/>
                <w:sz w:val="20"/>
                <w:szCs w:val="20"/>
              </w:rPr>
              <w:t>ADVANCED OXYGEN TECHNOLOGIES, INC.</w:t>
            </w:r>
          </w:p>
        </w:tc>
        <w:tc>
          <w:tcPr>
            <w:tcW w:w="0" w:type="auto"/>
            <w:shd w:val="clear" w:color="auto" w:fill="CCFFCC"/>
            <w:hideMark/>
          </w:tcPr>
          <w:p w:rsidR="00D27E48" w:rsidRDefault="00D27E48">
            <w:pPr>
              <w:rPr>
                <w:rFonts w:eastAsia="Times New Roman"/>
              </w:rPr>
            </w:pPr>
          </w:p>
        </w:tc>
      </w:tr>
      <w:tr w:rsidR="00D27E48">
        <w:trPr>
          <w:tblCellSpacing w:w="15" w:type="dxa"/>
        </w:trPr>
        <w:tc>
          <w:tcPr>
            <w:tcW w:w="0" w:type="auto"/>
            <w:gridSpan w:val="5"/>
            <w:shd w:val="clear" w:color="auto" w:fill="FFFFFF"/>
            <w:hideMark/>
          </w:tcPr>
          <w:p w:rsidR="00D27E48" w:rsidRDefault="00D27E48">
            <w:pPr>
              <w:jc w:val="center"/>
              <w:rPr>
                <w:rFonts w:eastAsia="Times New Roman"/>
              </w:rPr>
            </w:pPr>
            <w:r>
              <w:rPr>
                <w:rFonts w:eastAsia="Times New Roman"/>
                <w:b/>
                <w:bCs/>
                <w:sz w:val="20"/>
                <w:szCs w:val="20"/>
              </w:rPr>
              <w:t>Consolidated Statement of Operations and Changes in Accumulated Deficit</w:t>
            </w:r>
          </w:p>
        </w:tc>
        <w:tc>
          <w:tcPr>
            <w:tcW w:w="0" w:type="auto"/>
            <w:shd w:val="clear" w:color="auto" w:fill="FFFFFF"/>
            <w:hideMark/>
          </w:tcPr>
          <w:p w:rsidR="00D27E48" w:rsidRDefault="00D27E48">
            <w:pPr>
              <w:rPr>
                <w:rFonts w:eastAsia="Times New Roman"/>
              </w:rPr>
            </w:pPr>
          </w:p>
        </w:tc>
      </w:tr>
      <w:tr w:rsidR="00D27E48">
        <w:trPr>
          <w:tblCellSpacing w:w="15" w:type="dxa"/>
        </w:trPr>
        <w:tc>
          <w:tcPr>
            <w:tcW w:w="3000" w:type="pct"/>
            <w:shd w:val="clear" w:color="auto" w:fill="CCFFCC"/>
            <w:hideMark/>
          </w:tcPr>
          <w:p w:rsidR="00D27E48" w:rsidRDefault="00D27E48">
            <w:pPr>
              <w:rPr>
                <w:rFonts w:eastAsia="Times New Roman"/>
              </w:rPr>
            </w:pPr>
          </w:p>
        </w:tc>
        <w:tc>
          <w:tcPr>
            <w:tcW w:w="500" w:type="pct"/>
            <w:shd w:val="clear" w:color="auto" w:fill="CCFFCC"/>
            <w:hideMark/>
          </w:tcPr>
          <w:p w:rsidR="00D27E48" w:rsidRDefault="00D27E48">
            <w:pPr>
              <w:rPr>
                <w:rFonts w:eastAsia="Times New Roman"/>
              </w:rPr>
            </w:pPr>
          </w:p>
        </w:tc>
        <w:tc>
          <w:tcPr>
            <w:tcW w:w="500" w:type="pct"/>
            <w:shd w:val="clear" w:color="auto" w:fill="CCFFCC"/>
            <w:hideMark/>
          </w:tcPr>
          <w:p w:rsidR="00D27E48" w:rsidRDefault="00D27E48">
            <w:pPr>
              <w:rPr>
                <w:rFonts w:eastAsia="Times New Roman"/>
              </w:rPr>
            </w:pPr>
          </w:p>
        </w:tc>
        <w:tc>
          <w:tcPr>
            <w:tcW w:w="500" w:type="pct"/>
            <w:shd w:val="clear" w:color="auto" w:fill="CCFFCC"/>
            <w:hideMark/>
          </w:tcPr>
          <w:p w:rsidR="00D27E48" w:rsidRDefault="00D27E48">
            <w:pPr>
              <w:rPr>
                <w:rFonts w:eastAsia="Times New Roman"/>
              </w:rPr>
            </w:pPr>
          </w:p>
        </w:tc>
        <w:tc>
          <w:tcPr>
            <w:tcW w:w="500" w:type="pct"/>
            <w:shd w:val="clear" w:color="auto" w:fill="CCFFCC"/>
            <w:hideMark/>
          </w:tcPr>
          <w:p w:rsidR="00D27E48" w:rsidRDefault="00D27E48">
            <w:pPr>
              <w:rPr>
                <w:rFonts w:eastAsia="Times New Roman"/>
              </w:rPr>
            </w:pPr>
          </w:p>
        </w:tc>
        <w:tc>
          <w:tcPr>
            <w:tcW w:w="500" w:type="pct"/>
            <w:shd w:val="clear" w:color="auto" w:fill="CCFFCC"/>
            <w:hideMark/>
          </w:tcPr>
          <w:p w:rsidR="00D27E48" w:rsidRDefault="00D27E48">
            <w:pPr>
              <w:rPr>
                <w:rFonts w:eastAsia="Times New Roman"/>
              </w:rPr>
            </w:pPr>
          </w:p>
        </w:tc>
      </w:tr>
      <w:tr w:rsidR="00D27E48">
        <w:trPr>
          <w:tblCellSpacing w:w="15" w:type="dxa"/>
        </w:trPr>
        <w:tc>
          <w:tcPr>
            <w:tcW w:w="0" w:type="auto"/>
            <w:shd w:val="clear" w:color="auto" w:fill="FFFFFF"/>
            <w:hideMark/>
          </w:tcPr>
          <w:p w:rsidR="00D27E48" w:rsidRDefault="00D27E48">
            <w:pPr>
              <w:rPr>
                <w:rFonts w:eastAsia="Times New Roman"/>
              </w:rPr>
            </w:pPr>
          </w:p>
        </w:tc>
        <w:tc>
          <w:tcPr>
            <w:tcW w:w="0" w:type="auto"/>
            <w:gridSpan w:val="2"/>
            <w:shd w:val="clear" w:color="auto" w:fill="FFFFFF"/>
            <w:hideMark/>
          </w:tcPr>
          <w:p w:rsidR="00D27E48" w:rsidRDefault="00D27E48">
            <w:pPr>
              <w:pStyle w:val="NormalWeb"/>
              <w:jc w:val="center"/>
            </w:pPr>
            <w:r>
              <w:rPr>
                <w:sz w:val="20"/>
                <w:szCs w:val="20"/>
              </w:rPr>
              <w:t>3 Month Period Ending December, 31</w:t>
            </w:r>
          </w:p>
        </w:tc>
        <w:tc>
          <w:tcPr>
            <w:tcW w:w="0" w:type="auto"/>
            <w:gridSpan w:val="2"/>
            <w:shd w:val="clear" w:color="auto" w:fill="FFFFFF"/>
            <w:hideMark/>
          </w:tcPr>
          <w:p w:rsidR="00D27E48" w:rsidRDefault="00D27E48">
            <w:pPr>
              <w:pStyle w:val="NormalWeb"/>
              <w:jc w:val="center"/>
            </w:pPr>
            <w:r>
              <w:rPr>
                <w:sz w:val="20"/>
                <w:szCs w:val="20"/>
              </w:rPr>
              <w:t>6 Month Period Ending December 31,</w:t>
            </w:r>
          </w:p>
        </w:tc>
        <w:tc>
          <w:tcPr>
            <w:tcW w:w="0" w:type="auto"/>
            <w:shd w:val="clear" w:color="auto" w:fill="FFFFFF"/>
            <w:hideMark/>
          </w:tcPr>
          <w:p w:rsidR="00D27E48" w:rsidRDefault="00D27E48">
            <w:pPr>
              <w:pStyle w:val="NormalWeb"/>
              <w:jc w:val="center"/>
            </w:pPr>
            <w:r>
              <w:rPr>
                <w:sz w:val="20"/>
                <w:szCs w:val="20"/>
              </w:rPr>
              <w:t>12 Month Period Ending</w:t>
            </w:r>
            <w:r>
              <w:rPr>
                <w:sz w:val="20"/>
                <w:szCs w:val="20"/>
              </w:rPr>
              <w:br/>
              <w:t>June 30,</w:t>
            </w:r>
          </w:p>
        </w:tc>
      </w:tr>
      <w:tr w:rsidR="00D27E48">
        <w:trPr>
          <w:tblCellSpacing w:w="15" w:type="dxa"/>
        </w:trPr>
        <w:tc>
          <w:tcPr>
            <w:tcW w:w="0" w:type="auto"/>
            <w:shd w:val="clear" w:color="auto" w:fill="CCFFCC"/>
            <w:hideMark/>
          </w:tcPr>
          <w:p w:rsidR="00D27E48" w:rsidRDefault="00D27E48">
            <w:pPr>
              <w:rPr>
                <w:rFonts w:eastAsia="Times New Roman"/>
              </w:rPr>
            </w:pPr>
          </w:p>
        </w:tc>
        <w:tc>
          <w:tcPr>
            <w:tcW w:w="0" w:type="auto"/>
            <w:gridSpan w:val="2"/>
            <w:shd w:val="clear" w:color="auto" w:fill="CCFFCC"/>
            <w:hideMark/>
          </w:tcPr>
          <w:p w:rsidR="00D27E48" w:rsidRDefault="00D27E48">
            <w:pPr>
              <w:pStyle w:val="NormalWeb"/>
              <w:jc w:val="center"/>
            </w:pPr>
            <w:r>
              <w:rPr>
                <w:b/>
                <w:bCs/>
                <w:sz w:val="20"/>
                <w:szCs w:val="20"/>
              </w:rPr>
              <w:t>(Unaudited)</w:t>
            </w:r>
          </w:p>
        </w:tc>
        <w:tc>
          <w:tcPr>
            <w:tcW w:w="0" w:type="auto"/>
            <w:gridSpan w:val="2"/>
            <w:shd w:val="clear" w:color="auto" w:fill="CCFFCC"/>
            <w:hideMark/>
          </w:tcPr>
          <w:p w:rsidR="00D27E48" w:rsidRDefault="00D27E48">
            <w:pPr>
              <w:pStyle w:val="NormalWeb"/>
              <w:jc w:val="center"/>
            </w:pPr>
            <w:r>
              <w:rPr>
                <w:b/>
                <w:bCs/>
                <w:sz w:val="20"/>
                <w:szCs w:val="20"/>
              </w:rPr>
              <w:t>(Unaudited)</w:t>
            </w:r>
          </w:p>
        </w:tc>
        <w:tc>
          <w:tcPr>
            <w:tcW w:w="0" w:type="auto"/>
            <w:shd w:val="clear" w:color="auto" w:fill="CCFFCC"/>
            <w:hideMark/>
          </w:tcPr>
          <w:p w:rsidR="00D27E48" w:rsidRDefault="00D27E48">
            <w:pPr>
              <w:pStyle w:val="NormalWeb"/>
              <w:jc w:val="center"/>
            </w:pPr>
            <w:r>
              <w:rPr>
                <w:b/>
                <w:bCs/>
                <w:sz w:val="20"/>
                <w:szCs w:val="20"/>
              </w:rPr>
              <w:t>(Audited)</w:t>
            </w:r>
          </w:p>
        </w:tc>
      </w:tr>
      <w:tr w:rsidR="00D27E48">
        <w:trPr>
          <w:tblCellSpacing w:w="15" w:type="dxa"/>
        </w:trPr>
        <w:tc>
          <w:tcPr>
            <w:tcW w:w="0" w:type="auto"/>
            <w:shd w:val="clear" w:color="auto" w:fill="FFFFFF"/>
            <w:hideMark/>
          </w:tcPr>
          <w:p w:rsidR="00D27E48" w:rsidRDefault="00D27E48">
            <w:pPr>
              <w:rPr>
                <w:rFonts w:eastAsia="Times New Roman"/>
              </w:rPr>
            </w:pPr>
            <w:r>
              <w:rPr>
                <w:rFonts w:eastAsia="Times New Roman"/>
                <w:sz w:val="20"/>
                <w:szCs w:val="20"/>
              </w:rPr>
              <w:t> </w:t>
            </w:r>
          </w:p>
        </w:tc>
        <w:tc>
          <w:tcPr>
            <w:tcW w:w="0" w:type="auto"/>
            <w:shd w:val="clear" w:color="auto" w:fill="FFFFFF"/>
            <w:hideMark/>
          </w:tcPr>
          <w:p w:rsidR="00D27E48" w:rsidRDefault="00D27E48">
            <w:pPr>
              <w:pStyle w:val="NormalWeb"/>
              <w:jc w:val="right"/>
            </w:pPr>
            <w:r>
              <w:rPr>
                <w:b/>
                <w:bCs/>
                <w:sz w:val="20"/>
                <w:szCs w:val="20"/>
              </w:rPr>
              <w:t>2011</w:t>
            </w:r>
          </w:p>
        </w:tc>
        <w:tc>
          <w:tcPr>
            <w:tcW w:w="0" w:type="auto"/>
            <w:shd w:val="clear" w:color="auto" w:fill="FFFFFF"/>
            <w:hideMark/>
          </w:tcPr>
          <w:p w:rsidR="00D27E48" w:rsidRDefault="00D27E48">
            <w:pPr>
              <w:pStyle w:val="NormalWeb"/>
              <w:jc w:val="right"/>
            </w:pPr>
            <w:r>
              <w:rPr>
                <w:b/>
                <w:bCs/>
                <w:sz w:val="20"/>
                <w:szCs w:val="20"/>
              </w:rPr>
              <w:t>2010</w:t>
            </w:r>
          </w:p>
        </w:tc>
        <w:tc>
          <w:tcPr>
            <w:tcW w:w="0" w:type="auto"/>
            <w:shd w:val="clear" w:color="auto" w:fill="FFFFFF"/>
            <w:hideMark/>
          </w:tcPr>
          <w:p w:rsidR="00D27E48" w:rsidRDefault="00D27E48">
            <w:pPr>
              <w:pStyle w:val="NormalWeb"/>
              <w:jc w:val="right"/>
            </w:pPr>
            <w:r>
              <w:rPr>
                <w:b/>
                <w:bCs/>
                <w:sz w:val="20"/>
                <w:szCs w:val="20"/>
              </w:rPr>
              <w:t>2011</w:t>
            </w:r>
          </w:p>
        </w:tc>
        <w:tc>
          <w:tcPr>
            <w:tcW w:w="0" w:type="auto"/>
            <w:shd w:val="clear" w:color="auto" w:fill="FFFFFF"/>
            <w:hideMark/>
          </w:tcPr>
          <w:p w:rsidR="00D27E48" w:rsidRDefault="00D27E48">
            <w:pPr>
              <w:pStyle w:val="NormalWeb"/>
              <w:jc w:val="right"/>
            </w:pPr>
            <w:r>
              <w:rPr>
                <w:b/>
                <w:bCs/>
                <w:sz w:val="20"/>
                <w:szCs w:val="20"/>
              </w:rPr>
              <w:t>2010</w:t>
            </w:r>
          </w:p>
        </w:tc>
        <w:tc>
          <w:tcPr>
            <w:tcW w:w="0" w:type="auto"/>
            <w:shd w:val="clear" w:color="auto" w:fill="FFFFFF"/>
            <w:hideMark/>
          </w:tcPr>
          <w:p w:rsidR="00D27E48" w:rsidRDefault="00D27E48">
            <w:pPr>
              <w:pStyle w:val="NormalWeb"/>
              <w:jc w:val="right"/>
            </w:pPr>
            <w:r>
              <w:rPr>
                <w:b/>
                <w:bCs/>
                <w:sz w:val="20"/>
                <w:szCs w:val="20"/>
              </w:rPr>
              <w:t>2011</w:t>
            </w:r>
          </w:p>
        </w:tc>
      </w:tr>
      <w:tr w:rsidR="00D27E48">
        <w:trPr>
          <w:tblCellSpacing w:w="15" w:type="dxa"/>
        </w:trPr>
        <w:tc>
          <w:tcPr>
            <w:tcW w:w="0" w:type="auto"/>
            <w:shd w:val="clear" w:color="auto" w:fill="CCFFCC"/>
            <w:hideMark/>
          </w:tcPr>
          <w:p w:rsidR="00D27E48" w:rsidRDefault="00D27E48">
            <w:pPr>
              <w:rPr>
                <w:rFonts w:eastAsia="Times New Roman"/>
              </w:rPr>
            </w:pPr>
            <w:r>
              <w:rPr>
                <w:rFonts w:eastAsia="Times New Roman"/>
                <w:sz w:val="20"/>
                <w:szCs w:val="20"/>
              </w:rPr>
              <w:t>Revenues</w:t>
            </w: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r>
      <w:tr w:rsidR="00D27E48">
        <w:trPr>
          <w:tblCellSpacing w:w="15" w:type="dxa"/>
        </w:trPr>
        <w:tc>
          <w:tcPr>
            <w:tcW w:w="0" w:type="auto"/>
            <w:shd w:val="clear" w:color="auto" w:fill="FFFFFF"/>
            <w:hideMark/>
          </w:tcPr>
          <w:p w:rsidR="00D27E48" w:rsidRDefault="00D27E48">
            <w:pPr>
              <w:rPr>
                <w:rFonts w:eastAsia="Times New Roman"/>
              </w:rPr>
            </w:pPr>
            <w:r>
              <w:rPr>
                <w:rFonts w:eastAsia="Times New Roman"/>
                <w:sz w:val="20"/>
                <w:szCs w:val="20"/>
              </w:rPr>
              <w:t>Real Estate Rental Income, subsidiary</w:t>
            </w:r>
          </w:p>
        </w:tc>
        <w:tc>
          <w:tcPr>
            <w:tcW w:w="0" w:type="auto"/>
            <w:shd w:val="clear" w:color="auto" w:fill="FFFFFF"/>
            <w:hideMark/>
          </w:tcPr>
          <w:p w:rsidR="00D27E48" w:rsidRDefault="00D27E48">
            <w:pPr>
              <w:jc w:val="right"/>
              <w:rPr>
                <w:rFonts w:eastAsia="Times New Roman"/>
              </w:rPr>
            </w:pPr>
            <w:r>
              <w:rPr>
                <w:rFonts w:eastAsia="Times New Roman"/>
                <w:sz w:val="20"/>
                <w:szCs w:val="20"/>
              </w:rPr>
              <w:t>10,284</w:t>
            </w:r>
          </w:p>
        </w:tc>
        <w:tc>
          <w:tcPr>
            <w:tcW w:w="0" w:type="auto"/>
            <w:shd w:val="clear" w:color="auto" w:fill="FFFFFF"/>
            <w:hideMark/>
          </w:tcPr>
          <w:p w:rsidR="00D27E48" w:rsidRDefault="00D27E48">
            <w:pPr>
              <w:jc w:val="right"/>
              <w:rPr>
                <w:rFonts w:eastAsia="Times New Roman"/>
              </w:rPr>
            </w:pPr>
            <w:r>
              <w:rPr>
                <w:rFonts w:eastAsia="Times New Roman"/>
                <w:sz w:val="20"/>
                <w:szCs w:val="20"/>
              </w:rPr>
              <w:t>9,843</w:t>
            </w:r>
          </w:p>
        </w:tc>
        <w:tc>
          <w:tcPr>
            <w:tcW w:w="0" w:type="auto"/>
            <w:shd w:val="clear" w:color="auto" w:fill="FFFFFF"/>
            <w:hideMark/>
          </w:tcPr>
          <w:p w:rsidR="00D27E48" w:rsidRDefault="00D27E48">
            <w:pPr>
              <w:jc w:val="right"/>
              <w:rPr>
                <w:rFonts w:eastAsia="Times New Roman"/>
              </w:rPr>
            </w:pPr>
            <w:r>
              <w:rPr>
                <w:rFonts w:eastAsia="Times New Roman"/>
                <w:sz w:val="20"/>
                <w:szCs w:val="20"/>
              </w:rPr>
              <w:t>20,846</w:t>
            </w:r>
          </w:p>
        </w:tc>
        <w:tc>
          <w:tcPr>
            <w:tcW w:w="0" w:type="auto"/>
            <w:shd w:val="clear" w:color="auto" w:fill="FFFFFF"/>
            <w:hideMark/>
          </w:tcPr>
          <w:p w:rsidR="00D27E48" w:rsidRDefault="00D27E48">
            <w:pPr>
              <w:jc w:val="right"/>
              <w:rPr>
                <w:rFonts w:eastAsia="Times New Roman"/>
              </w:rPr>
            </w:pPr>
            <w:r>
              <w:rPr>
                <w:rFonts w:eastAsia="Times New Roman"/>
                <w:sz w:val="20"/>
                <w:szCs w:val="20"/>
              </w:rPr>
              <w:t>19,957</w:t>
            </w:r>
          </w:p>
        </w:tc>
        <w:tc>
          <w:tcPr>
            <w:tcW w:w="0" w:type="auto"/>
            <w:shd w:val="clear" w:color="auto" w:fill="FFFFFF"/>
            <w:hideMark/>
          </w:tcPr>
          <w:p w:rsidR="00D27E48" w:rsidRDefault="00D27E48">
            <w:pPr>
              <w:jc w:val="right"/>
              <w:rPr>
                <w:rFonts w:eastAsia="Times New Roman"/>
              </w:rPr>
            </w:pPr>
            <w:r>
              <w:rPr>
                <w:rFonts w:eastAsia="Times New Roman"/>
                <w:sz w:val="20"/>
                <w:szCs w:val="20"/>
              </w:rPr>
              <w:t>41,923</w:t>
            </w:r>
          </w:p>
        </w:tc>
      </w:tr>
      <w:tr w:rsidR="00D27E48">
        <w:trPr>
          <w:tblCellSpacing w:w="15" w:type="dxa"/>
        </w:trPr>
        <w:tc>
          <w:tcPr>
            <w:tcW w:w="0" w:type="auto"/>
            <w:shd w:val="clear" w:color="auto" w:fill="CCFFCC"/>
            <w:hideMark/>
          </w:tcPr>
          <w:p w:rsidR="00D27E48" w:rsidRDefault="00D27E48">
            <w:pPr>
              <w:rPr>
                <w:rFonts w:eastAsia="Times New Roman"/>
              </w:rPr>
            </w:pPr>
            <w:r>
              <w:rPr>
                <w:rFonts w:eastAsia="Times New Roman"/>
                <w:sz w:val="20"/>
                <w:szCs w:val="20"/>
              </w:rPr>
              <w:t>Total Revenues</w:t>
            </w:r>
          </w:p>
        </w:tc>
        <w:tc>
          <w:tcPr>
            <w:tcW w:w="0" w:type="auto"/>
            <w:shd w:val="clear" w:color="auto" w:fill="CCFFCC"/>
            <w:hideMark/>
          </w:tcPr>
          <w:p w:rsidR="00D27E48" w:rsidRDefault="00D27E48">
            <w:pPr>
              <w:jc w:val="right"/>
              <w:rPr>
                <w:rFonts w:eastAsia="Times New Roman"/>
              </w:rPr>
            </w:pPr>
            <w:r>
              <w:rPr>
                <w:rFonts w:eastAsia="Times New Roman"/>
                <w:sz w:val="20"/>
                <w:szCs w:val="20"/>
              </w:rPr>
              <w:t>10,284</w:t>
            </w:r>
          </w:p>
        </w:tc>
        <w:tc>
          <w:tcPr>
            <w:tcW w:w="0" w:type="auto"/>
            <w:shd w:val="clear" w:color="auto" w:fill="CCFFCC"/>
            <w:hideMark/>
          </w:tcPr>
          <w:p w:rsidR="00D27E48" w:rsidRDefault="00D27E48">
            <w:pPr>
              <w:jc w:val="right"/>
              <w:rPr>
                <w:rFonts w:eastAsia="Times New Roman"/>
              </w:rPr>
            </w:pPr>
            <w:r>
              <w:rPr>
                <w:rFonts w:eastAsia="Times New Roman"/>
                <w:sz w:val="20"/>
                <w:szCs w:val="20"/>
              </w:rPr>
              <w:t>9,843</w:t>
            </w:r>
          </w:p>
        </w:tc>
        <w:tc>
          <w:tcPr>
            <w:tcW w:w="0" w:type="auto"/>
            <w:shd w:val="clear" w:color="auto" w:fill="CCFFCC"/>
            <w:hideMark/>
          </w:tcPr>
          <w:p w:rsidR="00D27E48" w:rsidRDefault="00D27E48">
            <w:pPr>
              <w:jc w:val="right"/>
              <w:rPr>
                <w:rFonts w:eastAsia="Times New Roman"/>
              </w:rPr>
            </w:pPr>
            <w:r>
              <w:rPr>
                <w:rFonts w:eastAsia="Times New Roman"/>
                <w:sz w:val="20"/>
                <w:szCs w:val="20"/>
              </w:rPr>
              <w:t>20,846</w:t>
            </w:r>
          </w:p>
        </w:tc>
        <w:tc>
          <w:tcPr>
            <w:tcW w:w="0" w:type="auto"/>
            <w:shd w:val="clear" w:color="auto" w:fill="CCFFCC"/>
            <w:hideMark/>
          </w:tcPr>
          <w:p w:rsidR="00D27E48" w:rsidRDefault="00D27E48">
            <w:pPr>
              <w:jc w:val="right"/>
              <w:rPr>
                <w:rFonts w:eastAsia="Times New Roman"/>
              </w:rPr>
            </w:pPr>
            <w:r>
              <w:rPr>
                <w:rFonts w:eastAsia="Times New Roman"/>
                <w:sz w:val="20"/>
                <w:szCs w:val="20"/>
              </w:rPr>
              <w:t>19,957</w:t>
            </w:r>
          </w:p>
        </w:tc>
        <w:tc>
          <w:tcPr>
            <w:tcW w:w="0" w:type="auto"/>
            <w:shd w:val="clear" w:color="auto" w:fill="CCFFCC"/>
            <w:hideMark/>
          </w:tcPr>
          <w:p w:rsidR="00D27E48" w:rsidRDefault="00D27E48">
            <w:pPr>
              <w:jc w:val="right"/>
              <w:rPr>
                <w:rFonts w:eastAsia="Times New Roman"/>
              </w:rPr>
            </w:pPr>
            <w:r>
              <w:rPr>
                <w:rFonts w:eastAsia="Times New Roman"/>
                <w:sz w:val="20"/>
                <w:szCs w:val="20"/>
              </w:rPr>
              <w:t>41,923</w:t>
            </w:r>
          </w:p>
        </w:tc>
      </w:tr>
      <w:tr w:rsidR="00D27E48">
        <w:trPr>
          <w:tblCellSpacing w:w="15" w:type="dxa"/>
        </w:trPr>
        <w:tc>
          <w:tcPr>
            <w:tcW w:w="0" w:type="auto"/>
            <w:shd w:val="clear" w:color="auto" w:fill="FFFFFF"/>
            <w:hideMark/>
          </w:tcPr>
          <w:p w:rsidR="00D27E48" w:rsidRDefault="00D27E48">
            <w:pPr>
              <w:rPr>
                <w:rFonts w:eastAsia="Times New Roman"/>
              </w:rPr>
            </w:pPr>
            <w:r>
              <w:rPr>
                <w:rFonts w:eastAsia="Times New Roman"/>
                <w:sz w:val="20"/>
                <w:szCs w:val="20"/>
              </w:rPr>
              <w:t> </w:t>
            </w:r>
          </w:p>
        </w:tc>
        <w:tc>
          <w:tcPr>
            <w:tcW w:w="0" w:type="auto"/>
            <w:shd w:val="clear" w:color="auto" w:fill="FFFFFF"/>
            <w:hideMark/>
          </w:tcPr>
          <w:p w:rsidR="00D27E48" w:rsidRDefault="00D27E48">
            <w:pPr>
              <w:jc w:val="right"/>
              <w:rPr>
                <w:rFonts w:eastAsia="Times New Roman"/>
              </w:rPr>
            </w:pPr>
          </w:p>
        </w:tc>
        <w:tc>
          <w:tcPr>
            <w:tcW w:w="0" w:type="auto"/>
            <w:shd w:val="clear" w:color="auto" w:fill="FFFFFF"/>
            <w:hideMark/>
          </w:tcPr>
          <w:p w:rsidR="00D27E48" w:rsidRDefault="00D27E48">
            <w:pPr>
              <w:jc w:val="right"/>
              <w:rPr>
                <w:rFonts w:eastAsia="Times New Roman"/>
              </w:rPr>
            </w:pPr>
          </w:p>
        </w:tc>
        <w:tc>
          <w:tcPr>
            <w:tcW w:w="0" w:type="auto"/>
            <w:shd w:val="clear" w:color="auto" w:fill="FFFFFF"/>
            <w:hideMark/>
          </w:tcPr>
          <w:p w:rsidR="00D27E48" w:rsidRDefault="00D27E48">
            <w:pPr>
              <w:jc w:val="right"/>
              <w:rPr>
                <w:rFonts w:eastAsia="Times New Roman"/>
              </w:rPr>
            </w:pPr>
          </w:p>
        </w:tc>
        <w:tc>
          <w:tcPr>
            <w:tcW w:w="0" w:type="auto"/>
            <w:shd w:val="clear" w:color="auto" w:fill="FFFFFF"/>
            <w:hideMark/>
          </w:tcPr>
          <w:p w:rsidR="00D27E48" w:rsidRDefault="00D27E48">
            <w:pPr>
              <w:jc w:val="right"/>
              <w:rPr>
                <w:rFonts w:eastAsia="Times New Roman"/>
              </w:rPr>
            </w:pPr>
          </w:p>
        </w:tc>
        <w:tc>
          <w:tcPr>
            <w:tcW w:w="0" w:type="auto"/>
            <w:shd w:val="clear" w:color="auto" w:fill="FFFFFF"/>
            <w:hideMark/>
          </w:tcPr>
          <w:p w:rsidR="00D27E48" w:rsidRDefault="00D27E48">
            <w:pPr>
              <w:jc w:val="right"/>
              <w:rPr>
                <w:rFonts w:eastAsia="Times New Roman"/>
              </w:rPr>
            </w:pPr>
          </w:p>
        </w:tc>
      </w:tr>
      <w:tr w:rsidR="00D27E48">
        <w:trPr>
          <w:tblCellSpacing w:w="15" w:type="dxa"/>
        </w:trPr>
        <w:tc>
          <w:tcPr>
            <w:tcW w:w="0" w:type="auto"/>
            <w:shd w:val="clear" w:color="auto" w:fill="CCFFCC"/>
            <w:hideMark/>
          </w:tcPr>
          <w:p w:rsidR="00D27E48" w:rsidRDefault="00D27E48">
            <w:pPr>
              <w:rPr>
                <w:rFonts w:eastAsia="Times New Roman"/>
              </w:rPr>
            </w:pPr>
            <w:r>
              <w:rPr>
                <w:rFonts w:eastAsia="Times New Roman"/>
                <w:sz w:val="20"/>
                <w:szCs w:val="20"/>
              </w:rPr>
              <w:t>Cost of Sales</w:t>
            </w: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r>
      <w:tr w:rsidR="00D27E48">
        <w:trPr>
          <w:tblCellSpacing w:w="15" w:type="dxa"/>
        </w:trPr>
        <w:tc>
          <w:tcPr>
            <w:tcW w:w="0" w:type="auto"/>
            <w:shd w:val="clear" w:color="auto" w:fill="FFFFFF"/>
            <w:hideMark/>
          </w:tcPr>
          <w:p w:rsidR="00D27E48" w:rsidRDefault="00D27E48">
            <w:pPr>
              <w:rPr>
                <w:rFonts w:eastAsia="Times New Roman"/>
              </w:rPr>
            </w:pPr>
            <w:r>
              <w:rPr>
                <w:rFonts w:eastAsia="Times New Roman"/>
                <w:sz w:val="20"/>
                <w:szCs w:val="20"/>
              </w:rPr>
              <w:t>Cost of Sales, subsidiary</w:t>
            </w:r>
          </w:p>
        </w:tc>
        <w:tc>
          <w:tcPr>
            <w:tcW w:w="0" w:type="auto"/>
            <w:shd w:val="clear" w:color="auto" w:fill="FFFFFF"/>
            <w:hideMark/>
          </w:tcPr>
          <w:p w:rsidR="00D27E48" w:rsidRDefault="00D27E48">
            <w:pPr>
              <w:jc w:val="right"/>
              <w:rPr>
                <w:rFonts w:eastAsia="Times New Roman"/>
              </w:rPr>
            </w:pPr>
            <w:r>
              <w:rPr>
                <w:rFonts w:eastAsia="Times New Roman"/>
                <w:sz w:val="20"/>
                <w:szCs w:val="20"/>
              </w:rPr>
              <w:t>-</w:t>
            </w:r>
          </w:p>
        </w:tc>
        <w:tc>
          <w:tcPr>
            <w:tcW w:w="0" w:type="auto"/>
            <w:shd w:val="clear" w:color="auto" w:fill="FFFFFF"/>
            <w:hideMark/>
          </w:tcPr>
          <w:p w:rsidR="00D27E48" w:rsidRDefault="00D27E48">
            <w:pPr>
              <w:jc w:val="right"/>
              <w:rPr>
                <w:rFonts w:eastAsia="Times New Roman"/>
              </w:rPr>
            </w:pPr>
            <w:r>
              <w:rPr>
                <w:rFonts w:eastAsia="Times New Roman"/>
                <w:sz w:val="20"/>
                <w:szCs w:val="20"/>
              </w:rPr>
              <w:t>-</w:t>
            </w:r>
          </w:p>
        </w:tc>
        <w:tc>
          <w:tcPr>
            <w:tcW w:w="0" w:type="auto"/>
            <w:shd w:val="clear" w:color="auto" w:fill="FFFFFF"/>
            <w:hideMark/>
          </w:tcPr>
          <w:p w:rsidR="00D27E48" w:rsidRDefault="00D27E48">
            <w:pPr>
              <w:jc w:val="right"/>
              <w:rPr>
                <w:rFonts w:eastAsia="Times New Roman"/>
              </w:rPr>
            </w:pPr>
            <w:r>
              <w:rPr>
                <w:rFonts w:eastAsia="Times New Roman"/>
                <w:sz w:val="20"/>
                <w:szCs w:val="20"/>
              </w:rPr>
              <w:t>-</w:t>
            </w:r>
          </w:p>
        </w:tc>
        <w:tc>
          <w:tcPr>
            <w:tcW w:w="0" w:type="auto"/>
            <w:shd w:val="clear" w:color="auto" w:fill="FFFFFF"/>
            <w:hideMark/>
          </w:tcPr>
          <w:p w:rsidR="00D27E48" w:rsidRDefault="00D27E48">
            <w:pPr>
              <w:jc w:val="right"/>
              <w:rPr>
                <w:rFonts w:eastAsia="Times New Roman"/>
              </w:rPr>
            </w:pPr>
            <w:r>
              <w:rPr>
                <w:rFonts w:eastAsia="Times New Roman"/>
                <w:sz w:val="20"/>
                <w:szCs w:val="20"/>
              </w:rPr>
              <w:t>-</w:t>
            </w:r>
          </w:p>
        </w:tc>
        <w:tc>
          <w:tcPr>
            <w:tcW w:w="0" w:type="auto"/>
            <w:shd w:val="clear" w:color="auto" w:fill="FFFFFF"/>
            <w:hideMark/>
          </w:tcPr>
          <w:p w:rsidR="00D27E48" w:rsidRDefault="00D27E48">
            <w:pPr>
              <w:jc w:val="right"/>
              <w:rPr>
                <w:rFonts w:eastAsia="Times New Roman"/>
              </w:rPr>
            </w:pPr>
            <w:r>
              <w:rPr>
                <w:rFonts w:eastAsia="Times New Roman"/>
                <w:sz w:val="20"/>
                <w:szCs w:val="20"/>
              </w:rPr>
              <w:t>-</w:t>
            </w:r>
          </w:p>
        </w:tc>
      </w:tr>
      <w:tr w:rsidR="00D27E48">
        <w:trPr>
          <w:tblCellSpacing w:w="15" w:type="dxa"/>
        </w:trPr>
        <w:tc>
          <w:tcPr>
            <w:tcW w:w="0" w:type="auto"/>
            <w:shd w:val="clear" w:color="auto" w:fill="CCFFCC"/>
            <w:hideMark/>
          </w:tcPr>
          <w:p w:rsidR="00D27E48" w:rsidRDefault="00D27E48">
            <w:pPr>
              <w:rPr>
                <w:rFonts w:eastAsia="Times New Roman"/>
              </w:rPr>
            </w:pPr>
            <w:r>
              <w:rPr>
                <w:rFonts w:eastAsia="Times New Roman"/>
                <w:sz w:val="20"/>
                <w:szCs w:val="20"/>
              </w:rPr>
              <w:t> </w:t>
            </w:r>
          </w:p>
        </w:tc>
        <w:tc>
          <w:tcPr>
            <w:tcW w:w="0" w:type="auto"/>
            <w:shd w:val="clear" w:color="auto" w:fill="CCFFCC"/>
            <w:hideMark/>
          </w:tcPr>
          <w:p w:rsidR="00D27E48" w:rsidRDefault="00D27E48">
            <w:pPr>
              <w:jc w:val="right"/>
              <w:rPr>
                <w:rFonts w:eastAsia="Times New Roman"/>
              </w:rPr>
            </w:pPr>
            <w:r>
              <w:rPr>
                <w:rFonts w:eastAsia="Times New Roman"/>
                <w:sz w:val="20"/>
                <w:szCs w:val="20"/>
              </w:rPr>
              <w:t>========</w:t>
            </w:r>
          </w:p>
        </w:tc>
        <w:tc>
          <w:tcPr>
            <w:tcW w:w="0" w:type="auto"/>
            <w:shd w:val="clear" w:color="auto" w:fill="CCFFCC"/>
            <w:hideMark/>
          </w:tcPr>
          <w:p w:rsidR="00D27E48" w:rsidRDefault="00D27E48">
            <w:pPr>
              <w:jc w:val="right"/>
              <w:rPr>
                <w:rFonts w:eastAsia="Times New Roman"/>
              </w:rPr>
            </w:pPr>
            <w:r>
              <w:rPr>
                <w:rFonts w:eastAsia="Times New Roman"/>
                <w:sz w:val="20"/>
                <w:szCs w:val="20"/>
              </w:rPr>
              <w:t>========</w:t>
            </w:r>
          </w:p>
        </w:tc>
        <w:tc>
          <w:tcPr>
            <w:tcW w:w="0" w:type="auto"/>
            <w:shd w:val="clear" w:color="auto" w:fill="CCFFCC"/>
            <w:hideMark/>
          </w:tcPr>
          <w:p w:rsidR="00D27E48" w:rsidRDefault="00D27E48">
            <w:pPr>
              <w:jc w:val="right"/>
              <w:rPr>
                <w:rFonts w:eastAsia="Times New Roman"/>
              </w:rPr>
            </w:pPr>
            <w:r>
              <w:rPr>
                <w:rFonts w:eastAsia="Times New Roman"/>
                <w:sz w:val="20"/>
                <w:szCs w:val="20"/>
              </w:rPr>
              <w:t>========</w:t>
            </w:r>
          </w:p>
        </w:tc>
        <w:tc>
          <w:tcPr>
            <w:tcW w:w="0" w:type="auto"/>
            <w:shd w:val="clear" w:color="auto" w:fill="CCFFCC"/>
            <w:hideMark/>
          </w:tcPr>
          <w:p w:rsidR="00D27E48" w:rsidRDefault="00D27E48">
            <w:pPr>
              <w:jc w:val="right"/>
              <w:rPr>
                <w:rFonts w:eastAsia="Times New Roman"/>
              </w:rPr>
            </w:pPr>
            <w:r>
              <w:rPr>
                <w:rFonts w:eastAsia="Times New Roman"/>
                <w:sz w:val="20"/>
                <w:szCs w:val="20"/>
              </w:rPr>
              <w:t>========</w:t>
            </w:r>
          </w:p>
        </w:tc>
        <w:tc>
          <w:tcPr>
            <w:tcW w:w="0" w:type="auto"/>
            <w:shd w:val="clear" w:color="auto" w:fill="CCFFCC"/>
            <w:hideMark/>
          </w:tcPr>
          <w:p w:rsidR="00D27E48" w:rsidRDefault="00D27E48">
            <w:pPr>
              <w:jc w:val="right"/>
              <w:rPr>
                <w:rFonts w:eastAsia="Times New Roman"/>
              </w:rPr>
            </w:pPr>
            <w:r>
              <w:rPr>
                <w:rFonts w:eastAsia="Times New Roman"/>
                <w:sz w:val="20"/>
                <w:szCs w:val="20"/>
              </w:rPr>
              <w:t>========</w:t>
            </w:r>
          </w:p>
        </w:tc>
      </w:tr>
      <w:tr w:rsidR="00D27E48">
        <w:trPr>
          <w:tblCellSpacing w:w="15" w:type="dxa"/>
        </w:trPr>
        <w:tc>
          <w:tcPr>
            <w:tcW w:w="0" w:type="auto"/>
            <w:shd w:val="clear" w:color="auto" w:fill="FFFFFF"/>
            <w:hideMark/>
          </w:tcPr>
          <w:p w:rsidR="00D27E48" w:rsidRDefault="00D27E48">
            <w:pPr>
              <w:rPr>
                <w:rFonts w:eastAsia="Times New Roman"/>
              </w:rPr>
            </w:pPr>
            <w:r>
              <w:rPr>
                <w:rFonts w:eastAsia="Times New Roman"/>
                <w:sz w:val="20"/>
                <w:szCs w:val="20"/>
              </w:rPr>
              <w:t>Gross Profit</w:t>
            </w:r>
          </w:p>
        </w:tc>
        <w:tc>
          <w:tcPr>
            <w:tcW w:w="0" w:type="auto"/>
            <w:shd w:val="clear" w:color="auto" w:fill="FFFFFF"/>
            <w:hideMark/>
          </w:tcPr>
          <w:p w:rsidR="00D27E48" w:rsidRDefault="00D27E48">
            <w:pPr>
              <w:jc w:val="right"/>
              <w:rPr>
                <w:rFonts w:eastAsia="Times New Roman"/>
              </w:rPr>
            </w:pPr>
            <w:r>
              <w:rPr>
                <w:rFonts w:eastAsia="Times New Roman"/>
                <w:sz w:val="20"/>
                <w:szCs w:val="20"/>
              </w:rPr>
              <w:t>10,284</w:t>
            </w:r>
          </w:p>
        </w:tc>
        <w:tc>
          <w:tcPr>
            <w:tcW w:w="0" w:type="auto"/>
            <w:shd w:val="clear" w:color="auto" w:fill="FFFFFF"/>
            <w:hideMark/>
          </w:tcPr>
          <w:p w:rsidR="00D27E48" w:rsidRDefault="00D27E48">
            <w:pPr>
              <w:jc w:val="right"/>
              <w:rPr>
                <w:rFonts w:eastAsia="Times New Roman"/>
              </w:rPr>
            </w:pPr>
            <w:r>
              <w:rPr>
                <w:rFonts w:eastAsia="Times New Roman"/>
                <w:sz w:val="20"/>
                <w:szCs w:val="20"/>
              </w:rPr>
              <w:t>9,843</w:t>
            </w:r>
          </w:p>
        </w:tc>
        <w:tc>
          <w:tcPr>
            <w:tcW w:w="0" w:type="auto"/>
            <w:shd w:val="clear" w:color="auto" w:fill="FFFFFF"/>
            <w:hideMark/>
          </w:tcPr>
          <w:p w:rsidR="00D27E48" w:rsidRDefault="00D27E48">
            <w:pPr>
              <w:jc w:val="right"/>
              <w:rPr>
                <w:rFonts w:eastAsia="Times New Roman"/>
              </w:rPr>
            </w:pPr>
            <w:r>
              <w:rPr>
                <w:rFonts w:eastAsia="Times New Roman"/>
                <w:sz w:val="20"/>
                <w:szCs w:val="20"/>
              </w:rPr>
              <w:t>20,846</w:t>
            </w:r>
          </w:p>
        </w:tc>
        <w:tc>
          <w:tcPr>
            <w:tcW w:w="0" w:type="auto"/>
            <w:shd w:val="clear" w:color="auto" w:fill="FFFFFF"/>
            <w:hideMark/>
          </w:tcPr>
          <w:p w:rsidR="00D27E48" w:rsidRDefault="00D27E48">
            <w:pPr>
              <w:jc w:val="right"/>
              <w:rPr>
                <w:rFonts w:eastAsia="Times New Roman"/>
              </w:rPr>
            </w:pPr>
            <w:r>
              <w:rPr>
                <w:rFonts w:eastAsia="Times New Roman"/>
                <w:sz w:val="20"/>
                <w:szCs w:val="20"/>
              </w:rPr>
              <w:t>19,957</w:t>
            </w:r>
          </w:p>
        </w:tc>
        <w:tc>
          <w:tcPr>
            <w:tcW w:w="0" w:type="auto"/>
            <w:shd w:val="clear" w:color="auto" w:fill="FFFFFF"/>
            <w:hideMark/>
          </w:tcPr>
          <w:p w:rsidR="00D27E48" w:rsidRDefault="00D27E48">
            <w:pPr>
              <w:jc w:val="right"/>
              <w:rPr>
                <w:rFonts w:eastAsia="Times New Roman"/>
              </w:rPr>
            </w:pPr>
            <w:r>
              <w:rPr>
                <w:rFonts w:eastAsia="Times New Roman"/>
                <w:sz w:val="20"/>
                <w:szCs w:val="20"/>
              </w:rPr>
              <w:t>41,923</w:t>
            </w:r>
          </w:p>
        </w:tc>
      </w:tr>
      <w:tr w:rsidR="00D27E48">
        <w:trPr>
          <w:tblCellSpacing w:w="15" w:type="dxa"/>
        </w:trPr>
        <w:tc>
          <w:tcPr>
            <w:tcW w:w="0" w:type="auto"/>
            <w:shd w:val="clear" w:color="auto" w:fill="CCFFCC"/>
            <w:hideMark/>
          </w:tcPr>
          <w:p w:rsidR="00D27E48" w:rsidRDefault="00D27E48">
            <w:pPr>
              <w:rPr>
                <w:rFonts w:eastAsia="Times New Roman"/>
              </w:rPr>
            </w:pPr>
            <w:r>
              <w:rPr>
                <w:rFonts w:eastAsia="Times New Roman"/>
                <w:sz w:val="20"/>
                <w:szCs w:val="20"/>
              </w:rPr>
              <w:t> </w:t>
            </w: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r>
      <w:tr w:rsidR="00D27E48">
        <w:trPr>
          <w:tblCellSpacing w:w="15" w:type="dxa"/>
        </w:trPr>
        <w:tc>
          <w:tcPr>
            <w:tcW w:w="0" w:type="auto"/>
            <w:shd w:val="clear" w:color="auto" w:fill="FFFFFF"/>
            <w:hideMark/>
          </w:tcPr>
          <w:p w:rsidR="00D27E48" w:rsidRDefault="00D27E48">
            <w:pPr>
              <w:rPr>
                <w:rFonts w:eastAsia="Times New Roman"/>
              </w:rPr>
            </w:pPr>
            <w:r>
              <w:rPr>
                <w:rFonts w:eastAsia="Times New Roman"/>
                <w:sz w:val="20"/>
                <w:szCs w:val="20"/>
              </w:rPr>
              <w:t>Expenses</w:t>
            </w:r>
          </w:p>
        </w:tc>
        <w:tc>
          <w:tcPr>
            <w:tcW w:w="0" w:type="auto"/>
            <w:shd w:val="clear" w:color="auto" w:fill="FFFFFF"/>
            <w:hideMark/>
          </w:tcPr>
          <w:p w:rsidR="00D27E48" w:rsidRDefault="00D27E48">
            <w:pPr>
              <w:jc w:val="right"/>
              <w:rPr>
                <w:rFonts w:eastAsia="Times New Roman"/>
              </w:rPr>
            </w:pPr>
          </w:p>
        </w:tc>
        <w:tc>
          <w:tcPr>
            <w:tcW w:w="0" w:type="auto"/>
            <w:shd w:val="clear" w:color="auto" w:fill="FFFFFF"/>
            <w:hideMark/>
          </w:tcPr>
          <w:p w:rsidR="00D27E48" w:rsidRDefault="00D27E48">
            <w:pPr>
              <w:jc w:val="right"/>
              <w:rPr>
                <w:rFonts w:eastAsia="Times New Roman"/>
              </w:rPr>
            </w:pPr>
          </w:p>
        </w:tc>
        <w:tc>
          <w:tcPr>
            <w:tcW w:w="0" w:type="auto"/>
            <w:shd w:val="clear" w:color="auto" w:fill="FFFFFF"/>
            <w:hideMark/>
          </w:tcPr>
          <w:p w:rsidR="00D27E48" w:rsidRDefault="00D27E48">
            <w:pPr>
              <w:jc w:val="right"/>
              <w:rPr>
                <w:rFonts w:eastAsia="Times New Roman"/>
              </w:rPr>
            </w:pPr>
          </w:p>
        </w:tc>
        <w:tc>
          <w:tcPr>
            <w:tcW w:w="0" w:type="auto"/>
            <w:shd w:val="clear" w:color="auto" w:fill="FFFFFF"/>
            <w:hideMark/>
          </w:tcPr>
          <w:p w:rsidR="00D27E48" w:rsidRDefault="00D27E48">
            <w:pPr>
              <w:jc w:val="right"/>
              <w:rPr>
                <w:rFonts w:eastAsia="Times New Roman"/>
              </w:rPr>
            </w:pPr>
          </w:p>
        </w:tc>
        <w:tc>
          <w:tcPr>
            <w:tcW w:w="0" w:type="auto"/>
            <w:shd w:val="clear" w:color="auto" w:fill="FFFFFF"/>
            <w:hideMark/>
          </w:tcPr>
          <w:p w:rsidR="00D27E48" w:rsidRDefault="00D27E48">
            <w:pPr>
              <w:jc w:val="right"/>
              <w:rPr>
                <w:rFonts w:eastAsia="Times New Roman"/>
              </w:rPr>
            </w:pPr>
          </w:p>
        </w:tc>
      </w:tr>
      <w:tr w:rsidR="00D27E48">
        <w:trPr>
          <w:tblCellSpacing w:w="15" w:type="dxa"/>
        </w:trPr>
        <w:tc>
          <w:tcPr>
            <w:tcW w:w="0" w:type="auto"/>
            <w:shd w:val="clear" w:color="auto" w:fill="CCFFCC"/>
            <w:hideMark/>
          </w:tcPr>
          <w:p w:rsidR="00D27E48" w:rsidRDefault="00D27E48">
            <w:pPr>
              <w:rPr>
                <w:rFonts w:eastAsia="Times New Roman"/>
              </w:rPr>
            </w:pPr>
            <w:r>
              <w:rPr>
                <w:rFonts w:eastAsia="Times New Roman"/>
                <w:sz w:val="20"/>
                <w:szCs w:val="20"/>
              </w:rPr>
              <w:t>Accounting Expense</w:t>
            </w:r>
          </w:p>
        </w:tc>
        <w:tc>
          <w:tcPr>
            <w:tcW w:w="0" w:type="auto"/>
            <w:shd w:val="clear" w:color="auto" w:fill="CCFFCC"/>
            <w:hideMark/>
          </w:tcPr>
          <w:p w:rsidR="00D27E48" w:rsidRDefault="00D27E48">
            <w:pPr>
              <w:jc w:val="right"/>
              <w:rPr>
                <w:rFonts w:eastAsia="Times New Roman"/>
              </w:rPr>
            </w:pPr>
            <w:r>
              <w:rPr>
                <w:rFonts w:eastAsia="Times New Roman"/>
                <w:sz w:val="20"/>
                <w:szCs w:val="20"/>
              </w:rPr>
              <w:t>7,547</w:t>
            </w:r>
          </w:p>
        </w:tc>
        <w:tc>
          <w:tcPr>
            <w:tcW w:w="0" w:type="auto"/>
            <w:shd w:val="clear" w:color="auto" w:fill="CCFFCC"/>
            <w:hideMark/>
          </w:tcPr>
          <w:p w:rsidR="00D27E48" w:rsidRDefault="00D27E48">
            <w:pPr>
              <w:jc w:val="right"/>
              <w:rPr>
                <w:rFonts w:eastAsia="Times New Roman"/>
              </w:rPr>
            </w:pPr>
            <w:r>
              <w:rPr>
                <w:rFonts w:eastAsia="Times New Roman"/>
                <w:sz w:val="20"/>
                <w:szCs w:val="20"/>
              </w:rPr>
              <w:t>-</w:t>
            </w:r>
          </w:p>
        </w:tc>
        <w:tc>
          <w:tcPr>
            <w:tcW w:w="0" w:type="auto"/>
            <w:shd w:val="clear" w:color="auto" w:fill="CCFFCC"/>
            <w:hideMark/>
          </w:tcPr>
          <w:p w:rsidR="00D27E48" w:rsidRDefault="00D27E48">
            <w:pPr>
              <w:jc w:val="right"/>
              <w:rPr>
                <w:rFonts w:eastAsia="Times New Roman"/>
              </w:rPr>
            </w:pPr>
            <w:r>
              <w:rPr>
                <w:rFonts w:eastAsia="Times New Roman"/>
                <w:sz w:val="20"/>
                <w:szCs w:val="20"/>
              </w:rPr>
              <w:t>7,547</w:t>
            </w:r>
          </w:p>
        </w:tc>
        <w:tc>
          <w:tcPr>
            <w:tcW w:w="0" w:type="auto"/>
            <w:shd w:val="clear" w:color="auto" w:fill="CCFFCC"/>
            <w:hideMark/>
          </w:tcPr>
          <w:p w:rsidR="00D27E48" w:rsidRDefault="00D27E48">
            <w:pPr>
              <w:jc w:val="right"/>
              <w:rPr>
                <w:rFonts w:eastAsia="Times New Roman"/>
              </w:rPr>
            </w:pPr>
            <w:r>
              <w:rPr>
                <w:rFonts w:eastAsia="Times New Roman"/>
                <w:sz w:val="20"/>
                <w:szCs w:val="20"/>
              </w:rPr>
              <w:t>8,257</w:t>
            </w:r>
          </w:p>
        </w:tc>
        <w:tc>
          <w:tcPr>
            <w:tcW w:w="0" w:type="auto"/>
            <w:shd w:val="clear" w:color="auto" w:fill="CCFFCC"/>
            <w:hideMark/>
          </w:tcPr>
          <w:p w:rsidR="00D27E48" w:rsidRDefault="00D27E48">
            <w:pPr>
              <w:jc w:val="right"/>
              <w:rPr>
                <w:rFonts w:eastAsia="Times New Roman"/>
              </w:rPr>
            </w:pPr>
            <w:r>
              <w:rPr>
                <w:rFonts w:eastAsia="Times New Roman"/>
                <w:sz w:val="20"/>
                <w:szCs w:val="20"/>
              </w:rPr>
              <w:t>6,796</w:t>
            </w:r>
          </w:p>
        </w:tc>
      </w:tr>
      <w:tr w:rsidR="00D27E48">
        <w:trPr>
          <w:tblCellSpacing w:w="15" w:type="dxa"/>
        </w:trPr>
        <w:tc>
          <w:tcPr>
            <w:tcW w:w="0" w:type="auto"/>
            <w:shd w:val="clear" w:color="auto" w:fill="CCFFCC"/>
            <w:hideMark/>
          </w:tcPr>
          <w:p w:rsidR="00D27E48" w:rsidRDefault="00D27E48">
            <w:pPr>
              <w:rPr>
                <w:rFonts w:eastAsia="Times New Roman"/>
              </w:rPr>
            </w:pPr>
            <w:r>
              <w:rPr>
                <w:rFonts w:eastAsia="Times New Roman"/>
                <w:sz w:val="20"/>
                <w:szCs w:val="20"/>
              </w:rPr>
              <w:t>Interest Expense</w:t>
            </w:r>
          </w:p>
        </w:tc>
        <w:tc>
          <w:tcPr>
            <w:tcW w:w="0" w:type="auto"/>
            <w:shd w:val="clear" w:color="auto" w:fill="CCFFCC"/>
            <w:hideMark/>
          </w:tcPr>
          <w:p w:rsidR="00D27E48" w:rsidRDefault="00D27E48">
            <w:pPr>
              <w:jc w:val="right"/>
              <w:rPr>
                <w:rFonts w:eastAsia="Times New Roman"/>
              </w:rPr>
            </w:pPr>
            <w:r>
              <w:rPr>
                <w:rFonts w:eastAsia="Times New Roman"/>
                <w:sz w:val="20"/>
                <w:szCs w:val="20"/>
              </w:rPr>
              <w:t>1,265</w:t>
            </w:r>
          </w:p>
        </w:tc>
        <w:tc>
          <w:tcPr>
            <w:tcW w:w="0" w:type="auto"/>
            <w:shd w:val="clear" w:color="auto" w:fill="CCFFCC"/>
            <w:hideMark/>
          </w:tcPr>
          <w:p w:rsidR="00D27E48" w:rsidRDefault="00D27E48">
            <w:pPr>
              <w:jc w:val="right"/>
              <w:rPr>
                <w:rFonts w:eastAsia="Times New Roman"/>
              </w:rPr>
            </w:pPr>
            <w:r>
              <w:rPr>
                <w:rFonts w:eastAsia="Times New Roman"/>
                <w:sz w:val="20"/>
                <w:szCs w:val="20"/>
              </w:rPr>
              <w:t>1,433</w:t>
            </w:r>
          </w:p>
        </w:tc>
        <w:tc>
          <w:tcPr>
            <w:tcW w:w="0" w:type="auto"/>
            <w:shd w:val="clear" w:color="auto" w:fill="CCFFCC"/>
            <w:hideMark/>
          </w:tcPr>
          <w:p w:rsidR="00D27E48" w:rsidRDefault="00D27E48">
            <w:pPr>
              <w:jc w:val="right"/>
              <w:rPr>
                <w:rFonts w:eastAsia="Times New Roman"/>
              </w:rPr>
            </w:pPr>
            <w:r>
              <w:rPr>
                <w:rFonts w:eastAsia="Times New Roman"/>
                <w:sz w:val="20"/>
                <w:szCs w:val="20"/>
              </w:rPr>
              <w:t>2,665</w:t>
            </w:r>
          </w:p>
        </w:tc>
        <w:tc>
          <w:tcPr>
            <w:tcW w:w="0" w:type="auto"/>
            <w:shd w:val="clear" w:color="auto" w:fill="CCFFCC"/>
            <w:hideMark/>
          </w:tcPr>
          <w:p w:rsidR="00D27E48" w:rsidRDefault="00D27E48">
            <w:pPr>
              <w:jc w:val="right"/>
              <w:rPr>
                <w:rFonts w:eastAsia="Times New Roman"/>
              </w:rPr>
            </w:pPr>
            <w:r>
              <w:rPr>
                <w:rFonts w:eastAsia="Times New Roman"/>
                <w:sz w:val="20"/>
                <w:szCs w:val="20"/>
              </w:rPr>
              <w:t>2,941</w:t>
            </w:r>
          </w:p>
        </w:tc>
        <w:tc>
          <w:tcPr>
            <w:tcW w:w="0" w:type="auto"/>
            <w:shd w:val="clear" w:color="auto" w:fill="CCFFCC"/>
            <w:hideMark/>
          </w:tcPr>
          <w:p w:rsidR="00D27E48" w:rsidRDefault="00D27E48">
            <w:pPr>
              <w:jc w:val="right"/>
              <w:rPr>
                <w:rFonts w:eastAsia="Times New Roman"/>
              </w:rPr>
            </w:pPr>
            <w:r>
              <w:rPr>
                <w:rFonts w:eastAsia="Times New Roman"/>
                <w:sz w:val="20"/>
                <w:szCs w:val="20"/>
              </w:rPr>
              <w:t>5,962</w:t>
            </w:r>
          </w:p>
        </w:tc>
      </w:tr>
      <w:tr w:rsidR="00D27E48">
        <w:trPr>
          <w:tblCellSpacing w:w="15" w:type="dxa"/>
        </w:trPr>
        <w:tc>
          <w:tcPr>
            <w:tcW w:w="0" w:type="auto"/>
            <w:shd w:val="clear" w:color="auto" w:fill="FFFFFF"/>
            <w:hideMark/>
          </w:tcPr>
          <w:p w:rsidR="00D27E48" w:rsidRDefault="00D27E48">
            <w:pPr>
              <w:rPr>
                <w:rFonts w:eastAsia="Times New Roman"/>
              </w:rPr>
            </w:pPr>
            <w:r>
              <w:rPr>
                <w:rFonts w:eastAsia="Times New Roman"/>
                <w:sz w:val="20"/>
                <w:szCs w:val="20"/>
              </w:rPr>
              <w:t>General &amp; Administrative</w:t>
            </w:r>
          </w:p>
        </w:tc>
        <w:tc>
          <w:tcPr>
            <w:tcW w:w="0" w:type="auto"/>
            <w:shd w:val="clear" w:color="auto" w:fill="FFFFFF"/>
            <w:hideMark/>
          </w:tcPr>
          <w:p w:rsidR="00D27E48" w:rsidRDefault="00D27E48">
            <w:pPr>
              <w:jc w:val="right"/>
              <w:rPr>
                <w:rFonts w:eastAsia="Times New Roman"/>
              </w:rPr>
            </w:pPr>
            <w:r>
              <w:rPr>
                <w:rFonts w:eastAsia="Times New Roman"/>
                <w:sz w:val="20"/>
                <w:szCs w:val="20"/>
              </w:rPr>
              <w:t>3,045</w:t>
            </w:r>
          </w:p>
        </w:tc>
        <w:tc>
          <w:tcPr>
            <w:tcW w:w="0" w:type="auto"/>
            <w:shd w:val="clear" w:color="auto" w:fill="FFFFFF"/>
            <w:hideMark/>
          </w:tcPr>
          <w:p w:rsidR="00D27E48" w:rsidRDefault="00D27E48">
            <w:pPr>
              <w:jc w:val="right"/>
              <w:rPr>
                <w:rFonts w:eastAsia="Times New Roman"/>
              </w:rPr>
            </w:pPr>
            <w:r>
              <w:rPr>
                <w:rFonts w:eastAsia="Times New Roman"/>
                <w:sz w:val="20"/>
                <w:szCs w:val="20"/>
              </w:rPr>
              <w:t>1,496</w:t>
            </w:r>
          </w:p>
        </w:tc>
        <w:tc>
          <w:tcPr>
            <w:tcW w:w="0" w:type="auto"/>
            <w:shd w:val="clear" w:color="auto" w:fill="FFFFFF"/>
            <w:hideMark/>
          </w:tcPr>
          <w:p w:rsidR="00D27E48" w:rsidRDefault="00D27E48">
            <w:pPr>
              <w:jc w:val="right"/>
              <w:rPr>
                <w:rFonts w:eastAsia="Times New Roman"/>
              </w:rPr>
            </w:pPr>
            <w:r>
              <w:rPr>
                <w:rFonts w:eastAsia="Times New Roman"/>
                <w:sz w:val="20"/>
                <w:szCs w:val="20"/>
              </w:rPr>
              <w:t>7,944</w:t>
            </w:r>
          </w:p>
        </w:tc>
        <w:tc>
          <w:tcPr>
            <w:tcW w:w="0" w:type="auto"/>
            <w:shd w:val="clear" w:color="auto" w:fill="FFFFFF"/>
            <w:hideMark/>
          </w:tcPr>
          <w:p w:rsidR="00D27E48" w:rsidRDefault="00D27E48">
            <w:pPr>
              <w:jc w:val="right"/>
              <w:rPr>
                <w:rFonts w:eastAsia="Times New Roman"/>
              </w:rPr>
            </w:pPr>
            <w:r>
              <w:rPr>
                <w:rFonts w:eastAsia="Times New Roman"/>
                <w:sz w:val="20"/>
                <w:szCs w:val="20"/>
              </w:rPr>
              <w:t>3,436</w:t>
            </w:r>
          </w:p>
        </w:tc>
        <w:tc>
          <w:tcPr>
            <w:tcW w:w="0" w:type="auto"/>
            <w:shd w:val="clear" w:color="auto" w:fill="FFFFFF"/>
            <w:hideMark/>
          </w:tcPr>
          <w:p w:rsidR="00D27E48" w:rsidRDefault="00D27E48">
            <w:pPr>
              <w:jc w:val="right"/>
              <w:rPr>
                <w:rFonts w:eastAsia="Times New Roman"/>
              </w:rPr>
            </w:pPr>
            <w:r>
              <w:rPr>
                <w:rFonts w:eastAsia="Times New Roman"/>
                <w:sz w:val="20"/>
                <w:szCs w:val="20"/>
              </w:rPr>
              <w:t>20,741</w:t>
            </w:r>
          </w:p>
        </w:tc>
      </w:tr>
      <w:tr w:rsidR="00D27E48">
        <w:trPr>
          <w:tblCellSpacing w:w="15" w:type="dxa"/>
        </w:trPr>
        <w:tc>
          <w:tcPr>
            <w:tcW w:w="0" w:type="auto"/>
            <w:shd w:val="clear" w:color="auto" w:fill="CCFFCC"/>
            <w:hideMark/>
          </w:tcPr>
          <w:p w:rsidR="00D27E48" w:rsidRDefault="00D27E48">
            <w:pPr>
              <w:rPr>
                <w:rFonts w:eastAsia="Times New Roman"/>
              </w:rPr>
            </w:pPr>
            <w:r>
              <w:rPr>
                <w:rFonts w:eastAsia="Times New Roman"/>
                <w:sz w:val="20"/>
                <w:szCs w:val="20"/>
              </w:rPr>
              <w:t>Taxes</w:t>
            </w:r>
          </w:p>
        </w:tc>
        <w:tc>
          <w:tcPr>
            <w:tcW w:w="0" w:type="auto"/>
            <w:shd w:val="clear" w:color="auto" w:fill="CCFFCC"/>
            <w:hideMark/>
          </w:tcPr>
          <w:p w:rsidR="00D27E48" w:rsidRDefault="00D27E48">
            <w:pPr>
              <w:jc w:val="right"/>
              <w:rPr>
                <w:rFonts w:eastAsia="Times New Roman"/>
              </w:rPr>
            </w:pPr>
            <w:r>
              <w:rPr>
                <w:rFonts w:eastAsia="Times New Roman"/>
                <w:sz w:val="20"/>
                <w:szCs w:val="20"/>
              </w:rPr>
              <w:t>-</w:t>
            </w:r>
          </w:p>
        </w:tc>
        <w:tc>
          <w:tcPr>
            <w:tcW w:w="0" w:type="auto"/>
            <w:shd w:val="clear" w:color="auto" w:fill="CCFFCC"/>
            <w:hideMark/>
          </w:tcPr>
          <w:p w:rsidR="00D27E48" w:rsidRDefault="00D27E48">
            <w:pPr>
              <w:jc w:val="right"/>
              <w:rPr>
                <w:rFonts w:eastAsia="Times New Roman"/>
              </w:rPr>
            </w:pPr>
            <w:r>
              <w:rPr>
                <w:rFonts w:eastAsia="Times New Roman"/>
                <w:sz w:val="20"/>
                <w:szCs w:val="20"/>
              </w:rPr>
              <w:t>-</w:t>
            </w:r>
          </w:p>
        </w:tc>
        <w:tc>
          <w:tcPr>
            <w:tcW w:w="0" w:type="auto"/>
            <w:shd w:val="clear" w:color="auto" w:fill="CCFFCC"/>
            <w:hideMark/>
          </w:tcPr>
          <w:p w:rsidR="00D27E48" w:rsidRDefault="00D27E48">
            <w:pPr>
              <w:jc w:val="right"/>
              <w:rPr>
                <w:rFonts w:eastAsia="Times New Roman"/>
              </w:rPr>
            </w:pPr>
            <w:r>
              <w:rPr>
                <w:rFonts w:eastAsia="Times New Roman"/>
                <w:sz w:val="20"/>
                <w:szCs w:val="20"/>
              </w:rPr>
              <w:t>-</w:t>
            </w:r>
          </w:p>
        </w:tc>
        <w:tc>
          <w:tcPr>
            <w:tcW w:w="0" w:type="auto"/>
            <w:shd w:val="clear" w:color="auto" w:fill="CCFFCC"/>
            <w:hideMark/>
          </w:tcPr>
          <w:p w:rsidR="00D27E48" w:rsidRDefault="00D27E48">
            <w:pPr>
              <w:jc w:val="right"/>
              <w:rPr>
                <w:rFonts w:eastAsia="Times New Roman"/>
              </w:rPr>
            </w:pPr>
            <w:r>
              <w:rPr>
                <w:rFonts w:eastAsia="Times New Roman"/>
                <w:sz w:val="20"/>
                <w:szCs w:val="20"/>
              </w:rPr>
              <w:t>-</w:t>
            </w:r>
          </w:p>
        </w:tc>
        <w:tc>
          <w:tcPr>
            <w:tcW w:w="0" w:type="auto"/>
            <w:shd w:val="clear" w:color="auto" w:fill="CCFFCC"/>
            <w:hideMark/>
          </w:tcPr>
          <w:p w:rsidR="00D27E48" w:rsidRDefault="00D27E48">
            <w:pPr>
              <w:jc w:val="right"/>
              <w:rPr>
                <w:rFonts w:eastAsia="Times New Roman"/>
              </w:rPr>
            </w:pPr>
            <w:r>
              <w:rPr>
                <w:rFonts w:eastAsia="Times New Roman"/>
                <w:sz w:val="20"/>
                <w:szCs w:val="20"/>
              </w:rPr>
              <w:t>81,003</w:t>
            </w:r>
          </w:p>
        </w:tc>
      </w:tr>
      <w:tr w:rsidR="00D27E48">
        <w:trPr>
          <w:tblCellSpacing w:w="15" w:type="dxa"/>
        </w:trPr>
        <w:tc>
          <w:tcPr>
            <w:tcW w:w="0" w:type="auto"/>
            <w:shd w:val="clear" w:color="auto" w:fill="CCFFCC"/>
            <w:hideMark/>
          </w:tcPr>
          <w:p w:rsidR="00D27E48" w:rsidRDefault="00D27E48">
            <w:pPr>
              <w:rPr>
                <w:rFonts w:eastAsia="Times New Roman"/>
              </w:rPr>
            </w:pPr>
            <w:r>
              <w:rPr>
                <w:rFonts w:eastAsia="Times New Roman"/>
                <w:sz w:val="20"/>
                <w:szCs w:val="20"/>
              </w:rPr>
              <w:t>Transfer Agent Expenses</w:t>
            </w:r>
          </w:p>
        </w:tc>
        <w:tc>
          <w:tcPr>
            <w:tcW w:w="0" w:type="auto"/>
            <w:shd w:val="clear" w:color="auto" w:fill="CCFFCC"/>
            <w:hideMark/>
          </w:tcPr>
          <w:p w:rsidR="00D27E48" w:rsidRDefault="00D27E48">
            <w:pPr>
              <w:jc w:val="right"/>
              <w:rPr>
                <w:rFonts w:eastAsia="Times New Roman"/>
              </w:rPr>
            </w:pPr>
            <w:r>
              <w:rPr>
                <w:rFonts w:eastAsia="Times New Roman"/>
                <w:sz w:val="20"/>
                <w:szCs w:val="20"/>
              </w:rPr>
              <w:t>-</w:t>
            </w:r>
          </w:p>
        </w:tc>
        <w:tc>
          <w:tcPr>
            <w:tcW w:w="0" w:type="auto"/>
            <w:shd w:val="clear" w:color="auto" w:fill="CCFFCC"/>
            <w:hideMark/>
          </w:tcPr>
          <w:p w:rsidR="00D27E48" w:rsidRDefault="00D27E48">
            <w:pPr>
              <w:jc w:val="right"/>
              <w:rPr>
                <w:rFonts w:eastAsia="Times New Roman"/>
              </w:rPr>
            </w:pPr>
            <w:r>
              <w:rPr>
                <w:rFonts w:eastAsia="Times New Roman"/>
                <w:sz w:val="20"/>
                <w:szCs w:val="20"/>
              </w:rPr>
              <w:t>-</w:t>
            </w:r>
          </w:p>
        </w:tc>
        <w:tc>
          <w:tcPr>
            <w:tcW w:w="0" w:type="auto"/>
            <w:shd w:val="clear" w:color="auto" w:fill="CCFFCC"/>
            <w:hideMark/>
          </w:tcPr>
          <w:p w:rsidR="00D27E48" w:rsidRDefault="00D27E48">
            <w:pPr>
              <w:jc w:val="right"/>
              <w:rPr>
                <w:rFonts w:eastAsia="Times New Roman"/>
              </w:rPr>
            </w:pPr>
            <w:r>
              <w:rPr>
                <w:rFonts w:eastAsia="Times New Roman"/>
                <w:sz w:val="20"/>
                <w:szCs w:val="20"/>
              </w:rPr>
              <w:t>-</w:t>
            </w:r>
          </w:p>
        </w:tc>
        <w:tc>
          <w:tcPr>
            <w:tcW w:w="0" w:type="auto"/>
            <w:shd w:val="clear" w:color="auto" w:fill="CCFFCC"/>
            <w:hideMark/>
          </w:tcPr>
          <w:p w:rsidR="00D27E48" w:rsidRDefault="00D27E48">
            <w:pPr>
              <w:jc w:val="right"/>
              <w:rPr>
                <w:rFonts w:eastAsia="Times New Roman"/>
              </w:rPr>
            </w:pPr>
            <w:r>
              <w:rPr>
                <w:rFonts w:eastAsia="Times New Roman"/>
                <w:sz w:val="20"/>
                <w:szCs w:val="20"/>
              </w:rPr>
              <w:t>-</w:t>
            </w:r>
          </w:p>
        </w:tc>
        <w:tc>
          <w:tcPr>
            <w:tcW w:w="0" w:type="auto"/>
            <w:shd w:val="clear" w:color="auto" w:fill="CCFFCC"/>
            <w:hideMark/>
          </w:tcPr>
          <w:p w:rsidR="00D27E48" w:rsidRDefault="00D27E48">
            <w:pPr>
              <w:jc w:val="right"/>
              <w:rPr>
                <w:rFonts w:eastAsia="Times New Roman"/>
              </w:rPr>
            </w:pPr>
            <w:r>
              <w:rPr>
                <w:rFonts w:eastAsia="Times New Roman"/>
                <w:sz w:val="20"/>
                <w:szCs w:val="20"/>
              </w:rPr>
              <w:t>2,100</w:t>
            </w:r>
          </w:p>
        </w:tc>
      </w:tr>
      <w:tr w:rsidR="00D27E48">
        <w:trPr>
          <w:tblCellSpacing w:w="15" w:type="dxa"/>
        </w:trPr>
        <w:tc>
          <w:tcPr>
            <w:tcW w:w="0" w:type="auto"/>
            <w:shd w:val="clear" w:color="auto" w:fill="CCFFCC"/>
            <w:hideMark/>
          </w:tcPr>
          <w:p w:rsidR="00D27E48" w:rsidRDefault="00D27E48">
            <w:pPr>
              <w:rPr>
                <w:rFonts w:eastAsia="Times New Roman"/>
              </w:rPr>
            </w:pPr>
          </w:p>
        </w:tc>
        <w:tc>
          <w:tcPr>
            <w:tcW w:w="0" w:type="auto"/>
            <w:shd w:val="clear" w:color="auto" w:fill="CCFFCC"/>
            <w:hideMark/>
          </w:tcPr>
          <w:p w:rsidR="00D27E48" w:rsidRDefault="00D27E48">
            <w:pPr>
              <w:jc w:val="right"/>
              <w:rPr>
                <w:rFonts w:eastAsia="Times New Roman"/>
              </w:rPr>
            </w:pPr>
            <w:r>
              <w:rPr>
                <w:rFonts w:eastAsia="Times New Roman"/>
                <w:sz w:val="20"/>
                <w:szCs w:val="20"/>
              </w:rPr>
              <w:t>========</w:t>
            </w:r>
          </w:p>
        </w:tc>
        <w:tc>
          <w:tcPr>
            <w:tcW w:w="0" w:type="auto"/>
            <w:shd w:val="clear" w:color="auto" w:fill="CCFFCC"/>
            <w:hideMark/>
          </w:tcPr>
          <w:p w:rsidR="00D27E48" w:rsidRDefault="00D27E48">
            <w:pPr>
              <w:jc w:val="right"/>
              <w:rPr>
                <w:rFonts w:eastAsia="Times New Roman"/>
              </w:rPr>
            </w:pPr>
            <w:r>
              <w:rPr>
                <w:rFonts w:eastAsia="Times New Roman"/>
                <w:sz w:val="20"/>
                <w:szCs w:val="20"/>
              </w:rPr>
              <w:t>========</w:t>
            </w:r>
          </w:p>
        </w:tc>
        <w:tc>
          <w:tcPr>
            <w:tcW w:w="0" w:type="auto"/>
            <w:shd w:val="clear" w:color="auto" w:fill="CCFFCC"/>
            <w:hideMark/>
          </w:tcPr>
          <w:p w:rsidR="00D27E48" w:rsidRDefault="00D27E48">
            <w:pPr>
              <w:jc w:val="right"/>
              <w:rPr>
                <w:rFonts w:eastAsia="Times New Roman"/>
              </w:rPr>
            </w:pPr>
            <w:r>
              <w:rPr>
                <w:rFonts w:eastAsia="Times New Roman"/>
                <w:sz w:val="20"/>
                <w:szCs w:val="20"/>
              </w:rPr>
              <w:t>========</w:t>
            </w:r>
          </w:p>
        </w:tc>
        <w:tc>
          <w:tcPr>
            <w:tcW w:w="0" w:type="auto"/>
            <w:shd w:val="clear" w:color="auto" w:fill="CCFFCC"/>
            <w:hideMark/>
          </w:tcPr>
          <w:p w:rsidR="00D27E48" w:rsidRDefault="00D27E48">
            <w:pPr>
              <w:jc w:val="right"/>
              <w:rPr>
                <w:rFonts w:eastAsia="Times New Roman"/>
              </w:rPr>
            </w:pPr>
            <w:r>
              <w:rPr>
                <w:rFonts w:eastAsia="Times New Roman"/>
                <w:sz w:val="20"/>
                <w:szCs w:val="20"/>
              </w:rPr>
              <w:t>========</w:t>
            </w:r>
          </w:p>
        </w:tc>
        <w:tc>
          <w:tcPr>
            <w:tcW w:w="0" w:type="auto"/>
            <w:shd w:val="clear" w:color="auto" w:fill="CCFFCC"/>
            <w:hideMark/>
          </w:tcPr>
          <w:p w:rsidR="00D27E48" w:rsidRDefault="00D27E48">
            <w:pPr>
              <w:jc w:val="right"/>
              <w:rPr>
                <w:rFonts w:eastAsia="Times New Roman"/>
              </w:rPr>
            </w:pPr>
            <w:r>
              <w:rPr>
                <w:rFonts w:eastAsia="Times New Roman"/>
                <w:sz w:val="20"/>
                <w:szCs w:val="20"/>
              </w:rPr>
              <w:t>========</w:t>
            </w:r>
          </w:p>
        </w:tc>
      </w:tr>
      <w:tr w:rsidR="00D27E48">
        <w:trPr>
          <w:tblCellSpacing w:w="15" w:type="dxa"/>
        </w:trPr>
        <w:tc>
          <w:tcPr>
            <w:tcW w:w="0" w:type="auto"/>
            <w:shd w:val="clear" w:color="auto" w:fill="CCFFCC"/>
            <w:hideMark/>
          </w:tcPr>
          <w:p w:rsidR="00D27E48" w:rsidRDefault="00D27E48">
            <w:pPr>
              <w:rPr>
                <w:rFonts w:eastAsia="Times New Roman"/>
              </w:rPr>
            </w:pPr>
            <w:r>
              <w:rPr>
                <w:rFonts w:eastAsia="Times New Roman"/>
                <w:sz w:val="20"/>
                <w:szCs w:val="20"/>
              </w:rPr>
              <w:t>Total Expenses</w:t>
            </w:r>
          </w:p>
        </w:tc>
        <w:tc>
          <w:tcPr>
            <w:tcW w:w="0" w:type="auto"/>
            <w:shd w:val="clear" w:color="auto" w:fill="CCFFCC"/>
            <w:hideMark/>
          </w:tcPr>
          <w:p w:rsidR="00D27E48" w:rsidRDefault="00D27E48">
            <w:pPr>
              <w:jc w:val="right"/>
              <w:rPr>
                <w:rFonts w:eastAsia="Times New Roman"/>
              </w:rPr>
            </w:pPr>
            <w:r>
              <w:rPr>
                <w:rFonts w:eastAsia="Times New Roman"/>
                <w:sz w:val="20"/>
                <w:szCs w:val="20"/>
              </w:rPr>
              <w:t>11,857</w:t>
            </w:r>
          </w:p>
        </w:tc>
        <w:tc>
          <w:tcPr>
            <w:tcW w:w="0" w:type="auto"/>
            <w:shd w:val="clear" w:color="auto" w:fill="CCFFCC"/>
            <w:hideMark/>
          </w:tcPr>
          <w:p w:rsidR="00D27E48" w:rsidRDefault="00D27E48">
            <w:pPr>
              <w:jc w:val="right"/>
              <w:rPr>
                <w:rFonts w:eastAsia="Times New Roman"/>
              </w:rPr>
            </w:pPr>
            <w:r>
              <w:rPr>
                <w:rFonts w:eastAsia="Times New Roman"/>
                <w:sz w:val="20"/>
                <w:szCs w:val="20"/>
              </w:rPr>
              <w:t>2,929</w:t>
            </w:r>
          </w:p>
        </w:tc>
        <w:tc>
          <w:tcPr>
            <w:tcW w:w="0" w:type="auto"/>
            <w:shd w:val="clear" w:color="auto" w:fill="CCFFCC"/>
            <w:hideMark/>
          </w:tcPr>
          <w:p w:rsidR="00D27E48" w:rsidRDefault="00D27E48">
            <w:pPr>
              <w:jc w:val="right"/>
              <w:rPr>
                <w:rFonts w:eastAsia="Times New Roman"/>
              </w:rPr>
            </w:pPr>
            <w:r>
              <w:rPr>
                <w:rFonts w:eastAsia="Times New Roman"/>
                <w:sz w:val="20"/>
                <w:szCs w:val="20"/>
              </w:rPr>
              <w:t>18,156</w:t>
            </w:r>
          </w:p>
        </w:tc>
        <w:tc>
          <w:tcPr>
            <w:tcW w:w="0" w:type="auto"/>
            <w:shd w:val="clear" w:color="auto" w:fill="CCFFCC"/>
            <w:hideMark/>
          </w:tcPr>
          <w:p w:rsidR="00D27E48" w:rsidRDefault="00D27E48">
            <w:pPr>
              <w:jc w:val="right"/>
              <w:rPr>
                <w:rFonts w:eastAsia="Times New Roman"/>
              </w:rPr>
            </w:pPr>
            <w:r>
              <w:rPr>
                <w:rFonts w:eastAsia="Times New Roman"/>
                <w:sz w:val="20"/>
                <w:szCs w:val="20"/>
              </w:rPr>
              <w:t>14,634</w:t>
            </w:r>
          </w:p>
        </w:tc>
        <w:tc>
          <w:tcPr>
            <w:tcW w:w="0" w:type="auto"/>
            <w:shd w:val="clear" w:color="auto" w:fill="CCFFCC"/>
            <w:hideMark/>
          </w:tcPr>
          <w:p w:rsidR="00D27E48" w:rsidRDefault="00D27E48">
            <w:pPr>
              <w:jc w:val="right"/>
              <w:rPr>
                <w:rFonts w:eastAsia="Times New Roman"/>
              </w:rPr>
            </w:pPr>
            <w:r>
              <w:rPr>
                <w:rFonts w:eastAsia="Times New Roman"/>
                <w:sz w:val="20"/>
                <w:szCs w:val="20"/>
              </w:rPr>
              <w:t>119,670</w:t>
            </w:r>
          </w:p>
        </w:tc>
      </w:tr>
      <w:tr w:rsidR="00D27E48">
        <w:trPr>
          <w:tblCellSpacing w:w="15" w:type="dxa"/>
        </w:trPr>
        <w:tc>
          <w:tcPr>
            <w:tcW w:w="0" w:type="auto"/>
            <w:shd w:val="clear" w:color="auto" w:fill="FFFFFF"/>
            <w:vAlign w:val="center"/>
            <w:hideMark/>
          </w:tcPr>
          <w:p w:rsidR="00D27E48" w:rsidRDefault="00D27E48">
            <w:pPr>
              <w:rPr>
                <w:rFonts w:eastAsia="Times New Roman"/>
              </w:rPr>
            </w:pPr>
          </w:p>
        </w:tc>
        <w:tc>
          <w:tcPr>
            <w:tcW w:w="0" w:type="auto"/>
            <w:shd w:val="clear" w:color="auto" w:fill="FFFFFF"/>
            <w:vAlign w:val="center"/>
            <w:hideMark/>
          </w:tcPr>
          <w:p w:rsidR="00D27E48" w:rsidRDefault="00D27E48">
            <w:pPr>
              <w:jc w:val="right"/>
              <w:rPr>
                <w:rFonts w:eastAsia="Times New Roman"/>
              </w:rPr>
            </w:pPr>
            <w:r>
              <w:rPr>
                <w:rFonts w:eastAsia="Times New Roman"/>
                <w:sz w:val="20"/>
                <w:szCs w:val="20"/>
              </w:rPr>
              <w:t>========</w:t>
            </w:r>
          </w:p>
        </w:tc>
        <w:tc>
          <w:tcPr>
            <w:tcW w:w="0" w:type="auto"/>
            <w:shd w:val="clear" w:color="auto" w:fill="FFFFFF"/>
            <w:vAlign w:val="center"/>
            <w:hideMark/>
          </w:tcPr>
          <w:p w:rsidR="00D27E48" w:rsidRDefault="00D27E48">
            <w:pPr>
              <w:jc w:val="right"/>
              <w:rPr>
                <w:rFonts w:eastAsia="Times New Roman"/>
              </w:rPr>
            </w:pPr>
            <w:r>
              <w:rPr>
                <w:rFonts w:eastAsia="Times New Roman"/>
                <w:sz w:val="20"/>
                <w:szCs w:val="20"/>
              </w:rPr>
              <w:t>========</w:t>
            </w:r>
          </w:p>
        </w:tc>
        <w:tc>
          <w:tcPr>
            <w:tcW w:w="0" w:type="auto"/>
            <w:shd w:val="clear" w:color="auto" w:fill="FFFFFF"/>
            <w:vAlign w:val="center"/>
            <w:hideMark/>
          </w:tcPr>
          <w:p w:rsidR="00D27E48" w:rsidRDefault="00D27E48">
            <w:pPr>
              <w:jc w:val="right"/>
              <w:rPr>
                <w:rFonts w:eastAsia="Times New Roman"/>
              </w:rPr>
            </w:pPr>
            <w:r>
              <w:rPr>
                <w:rFonts w:eastAsia="Times New Roman"/>
                <w:sz w:val="20"/>
                <w:szCs w:val="20"/>
              </w:rPr>
              <w:t>========</w:t>
            </w:r>
          </w:p>
        </w:tc>
        <w:tc>
          <w:tcPr>
            <w:tcW w:w="0" w:type="auto"/>
            <w:shd w:val="clear" w:color="auto" w:fill="FFFFFF"/>
            <w:vAlign w:val="center"/>
            <w:hideMark/>
          </w:tcPr>
          <w:p w:rsidR="00D27E48" w:rsidRDefault="00D27E48">
            <w:pPr>
              <w:jc w:val="right"/>
              <w:rPr>
                <w:rFonts w:eastAsia="Times New Roman"/>
              </w:rPr>
            </w:pPr>
            <w:r>
              <w:rPr>
                <w:rFonts w:eastAsia="Times New Roman"/>
                <w:sz w:val="20"/>
                <w:szCs w:val="20"/>
              </w:rPr>
              <w:t>========</w:t>
            </w:r>
          </w:p>
        </w:tc>
        <w:tc>
          <w:tcPr>
            <w:tcW w:w="0" w:type="auto"/>
            <w:shd w:val="clear" w:color="auto" w:fill="FFFFFF"/>
            <w:vAlign w:val="center"/>
            <w:hideMark/>
          </w:tcPr>
          <w:p w:rsidR="00D27E48" w:rsidRDefault="00D27E48">
            <w:pPr>
              <w:jc w:val="right"/>
              <w:rPr>
                <w:rFonts w:eastAsia="Times New Roman"/>
              </w:rPr>
            </w:pPr>
            <w:r>
              <w:rPr>
                <w:rFonts w:eastAsia="Times New Roman"/>
                <w:sz w:val="20"/>
                <w:szCs w:val="20"/>
              </w:rPr>
              <w:t>========</w:t>
            </w:r>
          </w:p>
        </w:tc>
      </w:tr>
      <w:tr w:rsidR="00D27E48">
        <w:trPr>
          <w:tblCellSpacing w:w="15" w:type="dxa"/>
        </w:trPr>
        <w:tc>
          <w:tcPr>
            <w:tcW w:w="0" w:type="auto"/>
            <w:shd w:val="clear" w:color="auto" w:fill="CCFFCC"/>
            <w:vAlign w:val="center"/>
            <w:hideMark/>
          </w:tcPr>
          <w:p w:rsidR="00D27E48" w:rsidRDefault="00D27E48">
            <w:pPr>
              <w:rPr>
                <w:rFonts w:eastAsia="Times New Roman"/>
              </w:rPr>
            </w:pPr>
            <w:r>
              <w:rPr>
                <w:rFonts w:eastAsia="Times New Roman"/>
                <w:b/>
                <w:bCs/>
                <w:sz w:val="20"/>
                <w:szCs w:val="20"/>
              </w:rPr>
              <w:t>Income (loss) from Operations</w:t>
            </w:r>
          </w:p>
        </w:tc>
        <w:tc>
          <w:tcPr>
            <w:tcW w:w="0" w:type="auto"/>
            <w:shd w:val="clear" w:color="auto" w:fill="CCFFCC"/>
            <w:vAlign w:val="center"/>
            <w:hideMark/>
          </w:tcPr>
          <w:p w:rsidR="00D27E48" w:rsidRDefault="00D27E48">
            <w:pPr>
              <w:jc w:val="right"/>
              <w:rPr>
                <w:rFonts w:eastAsia="Times New Roman"/>
              </w:rPr>
            </w:pPr>
            <w:r>
              <w:rPr>
                <w:rFonts w:eastAsia="Times New Roman"/>
                <w:sz w:val="20"/>
                <w:szCs w:val="20"/>
              </w:rPr>
              <w:t>(1,573)</w:t>
            </w:r>
          </w:p>
        </w:tc>
        <w:tc>
          <w:tcPr>
            <w:tcW w:w="0" w:type="auto"/>
            <w:shd w:val="clear" w:color="auto" w:fill="CCFFCC"/>
            <w:vAlign w:val="center"/>
            <w:hideMark/>
          </w:tcPr>
          <w:p w:rsidR="00D27E48" w:rsidRDefault="00D27E48">
            <w:pPr>
              <w:jc w:val="right"/>
              <w:rPr>
                <w:rFonts w:eastAsia="Times New Roman"/>
              </w:rPr>
            </w:pPr>
            <w:r>
              <w:rPr>
                <w:rFonts w:eastAsia="Times New Roman"/>
                <w:sz w:val="20"/>
                <w:szCs w:val="20"/>
              </w:rPr>
              <w:t>6,914</w:t>
            </w:r>
          </w:p>
        </w:tc>
        <w:tc>
          <w:tcPr>
            <w:tcW w:w="0" w:type="auto"/>
            <w:shd w:val="clear" w:color="auto" w:fill="CCFFCC"/>
            <w:vAlign w:val="center"/>
            <w:hideMark/>
          </w:tcPr>
          <w:p w:rsidR="00D27E48" w:rsidRDefault="00D27E48">
            <w:pPr>
              <w:jc w:val="right"/>
              <w:rPr>
                <w:rFonts w:eastAsia="Times New Roman"/>
              </w:rPr>
            </w:pPr>
            <w:r>
              <w:rPr>
                <w:rFonts w:eastAsia="Times New Roman"/>
                <w:sz w:val="20"/>
                <w:szCs w:val="20"/>
              </w:rPr>
              <w:t>2,690</w:t>
            </w:r>
          </w:p>
        </w:tc>
        <w:tc>
          <w:tcPr>
            <w:tcW w:w="0" w:type="auto"/>
            <w:shd w:val="clear" w:color="auto" w:fill="CCFFCC"/>
            <w:vAlign w:val="center"/>
            <w:hideMark/>
          </w:tcPr>
          <w:p w:rsidR="00D27E48" w:rsidRDefault="005C3CD0">
            <w:pPr>
              <w:jc w:val="right"/>
              <w:rPr>
                <w:rFonts w:eastAsia="Times New Roman"/>
              </w:rPr>
            </w:pPr>
            <w:r>
              <w:rPr>
                <w:rFonts w:eastAsia="Times New Roman"/>
                <w:sz w:val="20"/>
                <w:szCs w:val="20"/>
              </w:rPr>
              <w:t>5,323</w:t>
            </w:r>
          </w:p>
        </w:tc>
        <w:tc>
          <w:tcPr>
            <w:tcW w:w="0" w:type="auto"/>
            <w:shd w:val="clear" w:color="auto" w:fill="CCFFCC"/>
            <w:vAlign w:val="center"/>
            <w:hideMark/>
          </w:tcPr>
          <w:p w:rsidR="00D27E48" w:rsidRDefault="00D27E48">
            <w:pPr>
              <w:jc w:val="right"/>
              <w:rPr>
                <w:rFonts w:eastAsia="Times New Roman"/>
              </w:rPr>
            </w:pPr>
            <w:r>
              <w:rPr>
                <w:rFonts w:eastAsia="Times New Roman"/>
                <w:sz w:val="20"/>
                <w:szCs w:val="20"/>
              </w:rPr>
              <w:t>(77,747)</w:t>
            </w:r>
          </w:p>
        </w:tc>
      </w:tr>
      <w:tr w:rsidR="00D27E48">
        <w:trPr>
          <w:tblCellSpacing w:w="15" w:type="dxa"/>
        </w:trPr>
        <w:tc>
          <w:tcPr>
            <w:tcW w:w="0" w:type="auto"/>
            <w:shd w:val="clear" w:color="auto" w:fill="FFFFFF"/>
            <w:vAlign w:val="center"/>
            <w:hideMark/>
          </w:tcPr>
          <w:p w:rsidR="00D27E48" w:rsidRDefault="00D27E48">
            <w:pPr>
              <w:rPr>
                <w:rFonts w:eastAsia="Times New Roman"/>
              </w:rPr>
            </w:pPr>
            <w:r>
              <w:rPr>
                <w:rFonts w:eastAsia="Times New Roman"/>
                <w:sz w:val="20"/>
                <w:szCs w:val="20"/>
              </w:rPr>
              <w:t> </w:t>
            </w:r>
          </w:p>
        </w:tc>
        <w:tc>
          <w:tcPr>
            <w:tcW w:w="0" w:type="auto"/>
            <w:shd w:val="clear" w:color="auto" w:fill="FFFFFF"/>
            <w:vAlign w:val="center"/>
            <w:hideMark/>
          </w:tcPr>
          <w:p w:rsidR="00D27E48" w:rsidRDefault="00D27E48">
            <w:pPr>
              <w:jc w:val="right"/>
              <w:rPr>
                <w:rFonts w:eastAsia="Times New Roman"/>
              </w:rPr>
            </w:pPr>
          </w:p>
        </w:tc>
        <w:tc>
          <w:tcPr>
            <w:tcW w:w="0" w:type="auto"/>
            <w:shd w:val="clear" w:color="auto" w:fill="FFFFFF"/>
            <w:vAlign w:val="center"/>
            <w:hideMark/>
          </w:tcPr>
          <w:p w:rsidR="00D27E48" w:rsidRDefault="00D27E48">
            <w:pPr>
              <w:jc w:val="right"/>
              <w:rPr>
                <w:rFonts w:eastAsia="Times New Roman"/>
              </w:rPr>
            </w:pPr>
          </w:p>
        </w:tc>
        <w:tc>
          <w:tcPr>
            <w:tcW w:w="0" w:type="auto"/>
            <w:shd w:val="clear" w:color="auto" w:fill="FFFFFF"/>
            <w:vAlign w:val="center"/>
            <w:hideMark/>
          </w:tcPr>
          <w:p w:rsidR="00D27E48" w:rsidRDefault="00D27E48">
            <w:pPr>
              <w:jc w:val="right"/>
              <w:rPr>
                <w:rFonts w:eastAsia="Times New Roman"/>
              </w:rPr>
            </w:pPr>
          </w:p>
        </w:tc>
        <w:tc>
          <w:tcPr>
            <w:tcW w:w="0" w:type="auto"/>
            <w:shd w:val="clear" w:color="auto" w:fill="FFFFFF"/>
            <w:vAlign w:val="center"/>
            <w:hideMark/>
          </w:tcPr>
          <w:p w:rsidR="00D27E48" w:rsidRDefault="00D27E48">
            <w:pPr>
              <w:jc w:val="right"/>
              <w:rPr>
                <w:rFonts w:eastAsia="Times New Roman"/>
              </w:rPr>
            </w:pPr>
          </w:p>
        </w:tc>
        <w:tc>
          <w:tcPr>
            <w:tcW w:w="0" w:type="auto"/>
            <w:shd w:val="clear" w:color="auto" w:fill="FFFFFF"/>
            <w:vAlign w:val="center"/>
            <w:hideMark/>
          </w:tcPr>
          <w:p w:rsidR="00D27E48" w:rsidRDefault="00D27E48">
            <w:pPr>
              <w:jc w:val="right"/>
              <w:rPr>
                <w:rFonts w:eastAsia="Times New Roman"/>
              </w:rPr>
            </w:pPr>
          </w:p>
        </w:tc>
      </w:tr>
      <w:tr w:rsidR="00D27E48">
        <w:trPr>
          <w:tblCellSpacing w:w="15" w:type="dxa"/>
        </w:trPr>
        <w:tc>
          <w:tcPr>
            <w:tcW w:w="0" w:type="auto"/>
            <w:shd w:val="clear" w:color="auto" w:fill="CCFFCC"/>
            <w:vAlign w:val="center"/>
            <w:hideMark/>
          </w:tcPr>
          <w:p w:rsidR="00D27E48" w:rsidRDefault="00D27E48">
            <w:pPr>
              <w:rPr>
                <w:rFonts w:eastAsia="Times New Roman"/>
              </w:rPr>
            </w:pPr>
            <w:r>
              <w:rPr>
                <w:rFonts w:eastAsia="Times New Roman"/>
                <w:sz w:val="20"/>
                <w:szCs w:val="20"/>
              </w:rPr>
              <w:t>Other Income (Expense)</w:t>
            </w:r>
          </w:p>
        </w:tc>
        <w:tc>
          <w:tcPr>
            <w:tcW w:w="0" w:type="auto"/>
            <w:shd w:val="clear" w:color="auto" w:fill="CCFFCC"/>
            <w:vAlign w:val="center"/>
            <w:hideMark/>
          </w:tcPr>
          <w:p w:rsidR="00D27E48" w:rsidRDefault="00D27E48">
            <w:pPr>
              <w:jc w:val="right"/>
              <w:rPr>
                <w:rFonts w:eastAsia="Times New Roman"/>
              </w:rPr>
            </w:pPr>
          </w:p>
        </w:tc>
        <w:tc>
          <w:tcPr>
            <w:tcW w:w="0" w:type="auto"/>
            <w:shd w:val="clear" w:color="auto" w:fill="CCFFCC"/>
            <w:vAlign w:val="center"/>
            <w:hideMark/>
          </w:tcPr>
          <w:p w:rsidR="00D27E48" w:rsidRDefault="00D27E48">
            <w:pPr>
              <w:jc w:val="right"/>
              <w:rPr>
                <w:rFonts w:eastAsia="Times New Roman"/>
              </w:rPr>
            </w:pPr>
          </w:p>
        </w:tc>
        <w:tc>
          <w:tcPr>
            <w:tcW w:w="0" w:type="auto"/>
            <w:shd w:val="clear" w:color="auto" w:fill="CCFFCC"/>
            <w:vAlign w:val="center"/>
            <w:hideMark/>
          </w:tcPr>
          <w:p w:rsidR="00D27E48" w:rsidRDefault="00D27E48">
            <w:pPr>
              <w:jc w:val="right"/>
              <w:rPr>
                <w:rFonts w:eastAsia="Times New Roman"/>
              </w:rPr>
            </w:pPr>
          </w:p>
        </w:tc>
        <w:tc>
          <w:tcPr>
            <w:tcW w:w="0" w:type="auto"/>
            <w:shd w:val="clear" w:color="auto" w:fill="CCFFCC"/>
            <w:vAlign w:val="center"/>
            <w:hideMark/>
          </w:tcPr>
          <w:p w:rsidR="00D27E48" w:rsidRDefault="00D27E48">
            <w:pPr>
              <w:jc w:val="right"/>
              <w:rPr>
                <w:rFonts w:eastAsia="Times New Roman"/>
              </w:rPr>
            </w:pPr>
          </w:p>
        </w:tc>
        <w:tc>
          <w:tcPr>
            <w:tcW w:w="0" w:type="auto"/>
            <w:shd w:val="clear" w:color="auto" w:fill="CCFFCC"/>
            <w:vAlign w:val="center"/>
            <w:hideMark/>
          </w:tcPr>
          <w:p w:rsidR="00D27E48" w:rsidRDefault="00D27E48">
            <w:pPr>
              <w:jc w:val="right"/>
              <w:rPr>
                <w:rFonts w:eastAsia="Times New Roman"/>
              </w:rPr>
            </w:pPr>
          </w:p>
        </w:tc>
      </w:tr>
      <w:tr w:rsidR="00D27E48">
        <w:trPr>
          <w:tblCellSpacing w:w="15" w:type="dxa"/>
        </w:trPr>
        <w:tc>
          <w:tcPr>
            <w:tcW w:w="0" w:type="auto"/>
            <w:shd w:val="clear" w:color="auto" w:fill="FFFFFF"/>
            <w:vAlign w:val="center"/>
            <w:hideMark/>
          </w:tcPr>
          <w:p w:rsidR="00D27E48" w:rsidRDefault="00D27E48">
            <w:pPr>
              <w:rPr>
                <w:rFonts w:eastAsia="Times New Roman"/>
              </w:rPr>
            </w:pPr>
            <w:r>
              <w:rPr>
                <w:rFonts w:eastAsia="Times New Roman"/>
                <w:sz w:val="20"/>
                <w:szCs w:val="20"/>
              </w:rPr>
              <w:t>Interest Income</w:t>
            </w:r>
          </w:p>
        </w:tc>
        <w:tc>
          <w:tcPr>
            <w:tcW w:w="0" w:type="auto"/>
            <w:shd w:val="clear" w:color="auto" w:fill="FFFFFF"/>
            <w:vAlign w:val="center"/>
            <w:hideMark/>
          </w:tcPr>
          <w:p w:rsidR="00D27E48" w:rsidRDefault="00D27E48">
            <w:pPr>
              <w:jc w:val="right"/>
              <w:rPr>
                <w:rFonts w:eastAsia="Times New Roman"/>
              </w:rPr>
            </w:pPr>
            <w:r>
              <w:rPr>
                <w:rFonts w:eastAsia="Times New Roman"/>
                <w:sz w:val="20"/>
                <w:szCs w:val="20"/>
              </w:rPr>
              <w:t>10</w:t>
            </w:r>
          </w:p>
        </w:tc>
        <w:tc>
          <w:tcPr>
            <w:tcW w:w="0" w:type="auto"/>
            <w:shd w:val="clear" w:color="auto" w:fill="FFFFFF"/>
            <w:vAlign w:val="center"/>
            <w:hideMark/>
          </w:tcPr>
          <w:p w:rsidR="00D27E48" w:rsidRDefault="00D27E48">
            <w:pPr>
              <w:jc w:val="right"/>
              <w:rPr>
                <w:rFonts w:eastAsia="Times New Roman"/>
              </w:rPr>
            </w:pPr>
            <w:r>
              <w:rPr>
                <w:rFonts w:eastAsia="Times New Roman"/>
                <w:sz w:val="20"/>
                <w:szCs w:val="20"/>
              </w:rPr>
              <w:t>8</w:t>
            </w:r>
          </w:p>
        </w:tc>
        <w:tc>
          <w:tcPr>
            <w:tcW w:w="0" w:type="auto"/>
            <w:shd w:val="clear" w:color="auto" w:fill="FFFFFF"/>
            <w:vAlign w:val="center"/>
            <w:hideMark/>
          </w:tcPr>
          <w:p w:rsidR="00D27E48" w:rsidRDefault="00D27E48">
            <w:pPr>
              <w:jc w:val="right"/>
              <w:rPr>
                <w:rFonts w:eastAsia="Times New Roman"/>
              </w:rPr>
            </w:pPr>
            <w:r>
              <w:rPr>
                <w:rFonts w:eastAsia="Times New Roman"/>
                <w:sz w:val="20"/>
                <w:szCs w:val="20"/>
              </w:rPr>
              <w:t>46</w:t>
            </w:r>
          </w:p>
        </w:tc>
        <w:tc>
          <w:tcPr>
            <w:tcW w:w="0" w:type="auto"/>
            <w:shd w:val="clear" w:color="auto" w:fill="FFFFFF"/>
            <w:vAlign w:val="center"/>
            <w:hideMark/>
          </w:tcPr>
          <w:p w:rsidR="00D27E48" w:rsidRDefault="00D27E48">
            <w:pPr>
              <w:jc w:val="right"/>
              <w:rPr>
                <w:rFonts w:eastAsia="Times New Roman"/>
              </w:rPr>
            </w:pPr>
            <w:r>
              <w:rPr>
                <w:rFonts w:eastAsia="Times New Roman"/>
                <w:sz w:val="20"/>
                <w:szCs w:val="20"/>
              </w:rPr>
              <w:t>16</w:t>
            </w:r>
          </w:p>
        </w:tc>
        <w:tc>
          <w:tcPr>
            <w:tcW w:w="0" w:type="auto"/>
            <w:shd w:val="clear" w:color="auto" w:fill="FFFFFF"/>
            <w:vAlign w:val="center"/>
            <w:hideMark/>
          </w:tcPr>
          <w:p w:rsidR="00D27E48" w:rsidRDefault="00D27E48">
            <w:pPr>
              <w:jc w:val="right"/>
              <w:rPr>
                <w:rFonts w:eastAsia="Times New Roman"/>
              </w:rPr>
            </w:pPr>
            <w:r>
              <w:rPr>
                <w:rFonts w:eastAsia="Times New Roman"/>
                <w:sz w:val="20"/>
                <w:szCs w:val="20"/>
              </w:rPr>
              <w:t>58</w:t>
            </w:r>
          </w:p>
        </w:tc>
      </w:tr>
      <w:tr w:rsidR="00D27E48">
        <w:trPr>
          <w:tblCellSpacing w:w="15" w:type="dxa"/>
        </w:trPr>
        <w:tc>
          <w:tcPr>
            <w:tcW w:w="0" w:type="auto"/>
            <w:shd w:val="clear" w:color="auto" w:fill="CCFFCC"/>
            <w:vAlign w:val="center"/>
            <w:hideMark/>
          </w:tcPr>
          <w:p w:rsidR="00D27E48" w:rsidRDefault="00D27E48">
            <w:pPr>
              <w:rPr>
                <w:rFonts w:eastAsia="Times New Roman"/>
              </w:rPr>
            </w:pPr>
            <w:r>
              <w:rPr>
                <w:rFonts w:eastAsia="Times New Roman"/>
                <w:sz w:val="20"/>
                <w:szCs w:val="20"/>
              </w:rPr>
              <w:t>Foreign Exchange gain (loss) of Land and Buildings</w:t>
            </w:r>
          </w:p>
        </w:tc>
        <w:tc>
          <w:tcPr>
            <w:tcW w:w="0" w:type="auto"/>
            <w:shd w:val="clear" w:color="auto" w:fill="CCFFCC"/>
            <w:vAlign w:val="center"/>
            <w:hideMark/>
          </w:tcPr>
          <w:p w:rsidR="00D27E48" w:rsidRDefault="00D27E48">
            <w:pPr>
              <w:jc w:val="right"/>
              <w:rPr>
                <w:rFonts w:eastAsia="Times New Roman"/>
              </w:rPr>
            </w:pPr>
          </w:p>
        </w:tc>
        <w:tc>
          <w:tcPr>
            <w:tcW w:w="0" w:type="auto"/>
            <w:shd w:val="clear" w:color="auto" w:fill="CCFFCC"/>
            <w:vAlign w:val="center"/>
            <w:hideMark/>
          </w:tcPr>
          <w:p w:rsidR="00D27E48" w:rsidRDefault="00D27E48">
            <w:pPr>
              <w:jc w:val="right"/>
              <w:rPr>
                <w:rFonts w:eastAsia="Times New Roman"/>
              </w:rPr>
            </w:pPr>
          </w:p>
        </w:tc>
        <w:tc>
          <w:tcPr>
            <w:tcW w:w="0" w:type="auto"/>
            <w:shd w:val="clear" w:color="auto" w:fill="CCFFCC"/>
            <w:vAlign w:val="center"/>
            <w:hideMark/>
          </w:tcPr>
          <w:p w:rsidR="00D27E48" w:rsidRDefault="00D27E48">
            <w:pPr>
              <w:jc w:val="right"/>
              <w:rPr>
                <w:rFonts w:eastAsia="Times New Roman"/>
              </w:rPr>
            </w:pPr>
          </w:p>
        </w:tc>
        <w:tc>
          <w:tcPr>
            <w:tcW w:w="0" w:type="auto"/>
            <w:shd w:val="clear" w:color="auto" w:fill="CCFFCC"/>
            <w:vAlign w:val="center"/>
            <w:hideMark/>
          </w:tcPr>
          <w:p w:rsidR="00D27E48" w:rsidRDefault="00D27E48">
            <w:pPr>
              <w:jc w:val="right"/>
              <w:rPr>
                <w:rFonts w:eastAsia="Times New Roman"/>
              </w:rPr>
            </w:pPr>
          </w:p>
        </w:tc>
        <w:tc>
          <w:tcPr>
            <w:tcW w:w="0" w:type="auto"/>
            <w:shd w:val="clear" w:color="auto" w:fill="CCFFCC"/>
            <w:vAlign w:val="center"/>
            <w:hideMark/>
          </w:tcPr>
          <w:p w:rsidR="00D27E48" w:rsidRDefault="00D27E48">
            <w:pPr>
              <w:jc w:val="right"/>
              <w:rPr>
                <w:rFonts w:eastAsia="Times New Roman"/>
              </w:rPr>
            </w:pPr>
            <w:r>
              <w:rPr>
                <w:rFonts w:eastAsia="Times New Roman"/>
                <w:sz w:val="20"/>
                <w:szCs w:val="20"/>
              </w:rPr>
              <w:t>97,641</w:t>
            </w:r>
          </w:p>
        </w:tc>
      </w:tr>
      <w:tr w:rsidR="00D27E48">
        <w:trPr>
          <w:tblCellSpacing w:w="15" w:type="dxa"/>
        </w:trPr>
        <w:tc>
          <w:tcPr>
            <w:tcW w:w="0" w:type="auto"/>
            <w:shd w:val="clear" w:color="auto" w:fill="CCFFCC"/>
            <w:vAlign w:val="center"/>
            <w:hideMark/>
          </w:tcPr>
          <w:p w:rsidR="00D27E48" w:rsidRDefault="00D27E48">
            <w:pPr>
              <w:rPr>
                <w:rFonts w:eastAsia="Times New Roman"/>
              </w:rPr>
            </w:pPr>
            <w:r>
              <w:rPr>
                <w:rFonts w:eastAsia="Times New Roman"/>
                <w:sz w:val="20"/>
                <w:szCs w:val="20"/>
              </w:rPr>
              <w:t>Vendor Debt Write Down</w:t>
            </w:r>
          </w:p>
        </w:tc>
        <w:tc>
          <w:tcPr>
            <w:tcW w:w="0" w:type="auto"/>
            <w:shd w:val="clear" w:color="auto" w:fill="CCFFCC"/>
            <w:vAlign w:val="center"/>
            <w:hideMark/>
          </w:tcPr>
          <w:p w:rsidR="00D27E48" w:rsidRDefault="00D27E48">
            <w:pPr>
              <w:jc w:val="right"/>
              <w:rPr>
                <w:rFonts w:eastAsia="Times New Roman"/>
              </w:rPr>
            </w:pPr>
            <w:r>
              <w:rPr>
                <w:rFonts w:eastAsia="Times New Roman"/>
                <w:sz w:val="20"/>
                <w:szCs w:val="20"/>
              </w:rPr>
              <w:t>-</w:t>
            </w:r>
          </w:p>
        </w:tc>
        <w:tc>
          <w:tcPr>
            <w:tcW w:w="0" w:type="auto"/>
            <w:shd w:val="clear" w:color="auto" w:fill="CCFFCC"/>
            <w:vAlign w:val="center"/>
            <w:hideMark/>
          </w:tcPr>
          <w:p w:rsidR="00D27E48" w:rsidRDefault="00D27E48">
            <w:pPr>
              <w:jc w:val="right"/>
              <w:rPr>
                <w:rFonts w:eastAsia="Times New Roman"/>
              </w:rPr>
            </w:pPr>
            <w:r>
              <w:rPr>
                <w:rFonts w:eastAsia="Times New Roman"/>
                <w:sz w:val="20"/>
                <w:szCs w:val="20"/>
              </w:rPr>
              <w:t>-</w:t>
            </w:r>
          </w:p>
        </w:tc>
        <w:tc>
          <w:tcPr>
            <w:tcW w:w="0" w:type="auto"/>
            <w:shd w:val="clear" w:color="auto" w:fill="CCFFCC"/>
            <w:vAlign w:val="center"/>
            <w:hideMark/>
          </w:tcPr>
          <w:p w:rsidR="00D27E48" w:rsidRDefault="00D27E48">
            <w:pPr>
              <w:jc w:val="right"/>
              <w:rPr>
                <w:rFonts w:eastAsia="Times New Roman"/>
              </w:rPr>
            </w:pPr>
            <w:r>
              <w:rPr>
                <w:rFonts w:eastAsia="Times New Roman"/>
                <w:sz w:val="20"/>
                <w:szCs w:val="20"/>
              </w:rPr>
              <w:t>-</w:t>
            </w:r>
          </w:p>
        </w:tc>
        <w:tc>
          <w:tcPr>
            <w:tcW w:w="0" w:type="auto"/>
            <w:shd w:val="clear" w:color="auto" w:fill="CCFFCC"/>
            <w:vAlign w:val="center"/>
            <w:hideMark/>
          </w:tcPr>
          <w:p w:rsidR="00D27E48" w:rsidRDefault="00D27E48">
            <w:pPr>
              <w:jc w:val="right"/>
              <w:rPr>
                <w:rFonts w:eastAsia="Times New Roman"/>
              </w:rPr>
            </w:pPr>
            <w:r>
              <w:rPr>
                <w:rFonts w:eastAsia="Times New Roman"/>
                <w:sz w:val="20"/>
                <w:szCs w:val="20"/>
              </w:rPr>
              <w:t>-</w:t>
            </w:r>
          </w:p>
        </w:tc>
        <w:tc>
          <w:tcPr>
            <w:tcW w:w="0" w:type="auto"/>
            <w:shd w:val="clear" w:color="auto" w:fill="CCFFCC"/>
            <w:vAlign w:val="center"/>
            <w:hideMark/>
          </w:tcPr>
          <w:p w:rsidR="00D27E48" w:rsidRDefault="00D27E48">
            <w:pPr>
              <w:jc w:val="right"/>
              <w:rPr>
                <w:rFonts w:eastAsia="Times New Roman"/>
              </w:rPr>
            </w:pPr>
            <w:r>
              <w:rPr>
                <w:rFonts w:eastAsia="Times New Roman"/>
                <w:sz w:val="20"/>
                <w:szCs w:val="20"/>
              </w:rPr>
              <w:t>49,249</w:t>
            </w:r>
          </w:p>
        </w:tc>
      </w:tr>
      <w:tr w:rsidR="00D27E48">
        <w:trPr>
          <w:tblCellSpacing w:w="15" w:type="dxa"/>
        </w:trPr>
        <w:tc>
          <w:tcPr>
            <w:tcW w:w="0" w:type="auto"/>
            <w:shd w:val="clear" w:color="auto" w:fill="FFFFFF"/>
            <w:vAlign w:val="center"/>
            <w:hideMark/>
          </w:tcPr>
          <w:p w:rsidR="00D27E48" w:rsidRDefault="00D27E48">
            <w:pPr>
              <w:rPr>
                <w:rFonts w:eastAsia="Times New Roman"/>
              </w:rPr>
            </w:pPr>
            <w:r>
              <w:rPr>
                <w:rFonts w:eastAsia="Times New Roman"/>
                <w:sz w:val="20"/>
                <w:szCs w:val="20"/>
              </w:rPr>
              <w:t>Total Other Income (Expense)</w:t>
            </w:r>
          </w:p>
        </w:tc>
        <w:tc>
          <w:tcPr>
            <w:tcW w:w="0" w:type="auto"/>
            <w:shd w:val="clear" w:color="auto" w:fill="FFFFFF"/>
            <w:vAlign w:val="center"/>
            <w:hideMark/>
          </w:tcPr>
          <w:p w:rsidR="00D27E48" w:rsidRDefault="00D27E48">
            <w:pPr>
              <w:jc w:val="right"/>
              <w:rPr>
                <w:rFonts w:eastAsia="Times New Roman"/>
              </w:rPr>
            </w:pPr>
            <w:r>
              <w:rPr>
                <w:rFonts w:eastAsia="Times New Roman"/>
                <w:sz w:val="20"/>
                <w:szCs w:val="20"/>
              </w:rPr>
              <w:t>10</w:t>
            </w:r>
          </w:p>
        </w:tc>
        <w:tc>
          <w:tcPr>
            <w:tcW w:w="0" w:type="auto"/>
            <w:shd w:val="clear" w:color="auto" w:fill="FFFFFF"/>
            <w:vAlign w:val="center"/>
            <w:hideMark/>
          </w:tcPr>
          <w:p w:rsidR="00D27E48" w:rsidRDefault="00D27E48">
            <w:pPr>
              <w:jc w:val="right"/>
              <w:rPr>
                <w:rFonts w:eastAsia="Times New Roman"/>
              </w:rPr>
            </w:pPr>
            <w:r>
              <w:rPr>
                <w:rFonts w:eastAsia="Times New Roman"/>
                <w:sz w:val="20"/>
                <w:szCs w:val="20"/>
              </w:rPr>
              <w:t>8</w:t>
            </w:r>
          </w:p>
        </w:tc>
        <w:tc>
          <w:tcPr>
            <w:tcW w:w="0" w:type="auto"/>
            <w:shd w:val="clear" w:color="auto" w:fill="FFFFFF"/>
            <w:vAlign w:val="center"/>
            <w:hideMark/>
          </w:tcPr>
          <w:p w:rsidR="00D27E48" w:rsidRDefault="00D27E48">
            <w:pPr>
              <w:jc w:val="right"/>
              <w:rPr>
                <w:rFonts w:eastAsia="Times New Roman"/>
              </w:rPr>
            </w:pPr>
            <w:r>
              <w:rPr>
                <w:rFonts w:eastAsia="Times New Roman"/>
                <w:sz w:val="20"/>
                <w:szCs w:val="20"/>
              </w:rPr>
              <w:t>46</w:t>
            </w:r>
          </w:p>
        </w:tc>
        <w:tc>
          <w:tcPr>
            <w:tcW w:w="0" w:type="auto"/>
            <w:shd w:val="clear" w:color="auto" w:fill="FFFFFF"/>
            <w:vAlign w:val="center"/>
            <w:hideMark/>
          </w:tcPr>
          <w:p w:rsidR="00D27E48" w:rsidRDefault="00D27E48">
            <w:pPr>
              <w:jc w:val="right"/>
              <w:rPr>
                <w:rFonts w:eastAsia="Times New Roman"/>
              </w:rPr>
            </w:pPr>
            <w:r>
              <w:rPr>
                <w:rFonts w:eastAsia="Times New Roman"/>
                <w:sz w:val="20"/>
                <w:szCs w:val="20"/>
              </w:rPr>
              <w:t>16</w:t>
            </w:r>
          </w:p>
        </w:tc>
        <w:tc>
          <w:tcPr>
            <w:tcW w:w="0" w:type="auto"/>
            <w:shd w:val="clear" w:color="auto" w:fill="FFFFFF"/>
            <w:vAlign w:val="center"/>
            <w:hideMark/>
          </w:tcPr>
          <w:p w:rsidR="00D27E48" w:rsidRDefault="00D27E48">
            <w:pPr>
              <w:jc w:val="right"/>
              <w:rPr>
                <w:rFonts w:eastAsia="Times New Roman"/>
              </w:rPr>
            </w:pPr>
            <w:r>
              <w:rPr>
                <w:rFonts w:eastAsia="Times New Roman"/>
                <w:sz w:val="20"/>
                <w:szCs w:val="20"/>
              </w:rPr>
              <w:t>146,948</w:t>
            </w:r>
          </w:p>
        </w:tc>
      </w:tr>
      <w:tr w:rsidR="00D27E48">
        <w:trPr>
          <w:tblCellSpacing w:w="15" w:type="dxa"/>
        </w:trPr>
        <w:tc>
          <w:tcPr>
            <w:tcW w:w="0" w:type="auto"/>
            <w:shd w:val="clear" w:color="auto" w:fill="CCFFCC"/>
            <w:hideMark/>
          </w:tcPr>
          <w:p w:rsidR="00D27E48" w:rsidRDefault="00D27E48">
            <w:pPr>
              <w:rPr>
                <w:rFonts w:eastAsia="Times New Roman"/>
              </w:rPr>
            </w:pPr>
            <w:r>
              <w:rPr>
                <w:rFonts w:eastAsia="Times New Roman"/>
                <w:sz w:val="20"/>
                <w:szCs w:val="20"/>
              </w:rPr>
              <w:t> </w:t>
            </w:r>
          </w:p>
        </w:tc>
        <w:tc>
          <w:tcPr>
            <w:tcW w:w="0" w:type="auto"/>
            <w:shd w:val="clear" w:color="auto" w:fill="CCFFCC"/>
            <w:hideMark/>
          </w:tcPr>
          <w:p w:rsidR="00D27E48" w:rsidRDefault="00D27E48">
            <w:pPr>
              <w:jc w:val="right"/>
              <w:rPr>
                <w:rFonts w:eastAsia="Times New Roman"/>
              </w:rPr>
            </w:pPr>
            <w:r>
              <w:rPr>
                <w:rFonts w:eastAsia="Times New Roman"/>
                <w:sz w:val="20"/>
                <w:szCs w:val="20"/>
              </w:rPr>
              <w:t>========</w:t>
            </w:r>
          </w:p>
        </w:tc>
        <w:tc>
          <w:tcPr>
            <w:tcW w:w="0" w:type="auto"/>
            <w:shd w:val="clear" w:color="auto" w:fill="CCFFCC"/>
            <w:hideMark/>
          </w:tcPr>
          <w:p w:rsidR="00D27E48" w:rsidRDefault="00D27E48">
            <w:pPr>
              <w:jc w:val="right"/>
              <w:rPr>
                <w:rFonts w:eastAsia="Times New Roman"/>
              </w:rPr>
            </w:pPr>
            <w:r>
              <w:rPr>
                <w:rFonts w:eastAsia="Times New Roman"/>
                <w:sz w:val="20"/>
                <w:szCs w:val="20"/>
              </w:rPr>
              <w:t>========</w:t>
            </w:r>
          </w:p>
        </w:tc>
        <w:tc>
          <w:tcPr>
            <w:tcW w:w="0" w:type="auto"/>
            <w:shd w:val="clear" w:color="auto" w:fill="CCFFCC"/>
            <w:hideMark/>
          </w:tcPr>
          <w:p w:rsidR="00D27E48" w:rsidRDefault="00D27E48">
            <w:pPr>
              <w:jc w:val="right"/>
              <w:rPr>
                <w:rFonts w:eastAsia="Times New Roman"/>
              </w:rPr>
            </w:pPr>
            <w:r>
              <w:rPr>
                <w:rFonts w:eastAsia="Times New Roman"/>
                <w:sz w:val="20"/>
                <w:szCs w:val="20"/>
              </w:rPr>
              <w:t>========</w:t>
            </w:r>
          </w:p>
        </w:tc>
        <w:tc>
          <w:tcPr>
            <w:tcW w:w="0" w:type="auto"/>
            <w:shd w:val="clear" w:color="auto" w:fill="CCFFCC"/>
            <w:hideMark/>
          </w:tcPr>
          <w:p w:rsidR="00D27E48" w:rsidRDefault="00D27E48">
            <w:pPr>
              <w:jc w:val="right"/>
              <w:rPr>
                <w:rFonts w:eastAsia="Times New Roman"/>
              </w:rPr>
            </w:pPr>
            <w:r>
              <w:rPr>
                <w:rFonts w:eastAsia="Times New Roman"/>
                <w:sz w:val="20"/>
                <w:szCs w:val="20"/>
              </w:rPr>
              <w:t>========</w:t>
            </w:r>
          </w:p>
        </w:tc>
        <w:tc>
          <w:tcPr>
            <w:tcW w:w="0" w:type="auto"/>
            <w:shd w:val="clear" w:color="auto" w:fill="CCFFCC"/>
            <w:hideMark/>
          </w:tcPr>
          <w:p w:rsidR="00D27E48" w:rsidRDefault="00D27E48">
            <w:pPr>
              <w:jc w:val="right"/>
              <w:rPr>
                <w:rFonts w:eastAsia="Times New Roman"/>
              </w:rPr>
            </w:pPr>
            <w:r>
              <w:rPr>
                <w:rFonts w:eastAsia="Times New Roman"/>
                <w:sz w:val="20"/>
                <w:szCs w:val="20"/>
              </w:rPr>
              <w:t>========</w:t>
            </w:r>
          </w:p>
        </w:tc>
      </w:tr>
      <w:tr w:rsidR="00D27E48">
        <w:trPr>
          <w:tblCellSpacing w:w="15" w:type="dxa"/>
        </w:trPr>
        <w:tc>
          <w:tcPr>
            <w:tcW w:w="0" w:type="auto"/>
            <w:shd w:val="clear" w:color="auto" w:fill="FFFFFF"/>
            <w:hideMark/>
          </w:tcPr>
          <w:p w:rsidR="00D27E48" w:rsidRDefault="00D27E48">
            <w:pPr>
              <w:rPr>
                <w:rFonts w:eastAsia="Times New Roman"/>
              </w:rPr>
            </w:pPr>
            <w:r>
              <w:rPr>
                <w:rFonts w:eastAsia="Times New Roman"/>
                <w:b/>
                <w:bCs/>
                <w:sz w:val="20"/>
                <w:szCs w:val="20"/>
              </w:rPr>
              <w:t>Net Income (Loss)</w:t>
            </w:r>
          </w:p>
        </w:tc>
        <w:tc>
          <w:tcPr>
            <w:tcW w:w="0" w:type="auto"/>
            <w:shd w:val="clear" w:color="auto" w:fill="FFFFFF"/>
            <w:hideMark/>
          </w:tcPr>
          <w:p w:rsidR="00D27E48" w:rsidRDefault="00D27E48">
            <w:pPr>
              <w:jc w:val="right"/>
              <w:rPr>
                <w:rFonts w:eastAsia="Times New Roman"/>
              </w:rPr>
            </w:pPr>
            <w:r>
              <w:rPr>
                <w:rFonts w:eastAsia="Times New Roman"/>
                <w:b/>
                <w:bCs/>
                <w:sz w:val="20"/>
                <w:szCs w:val="20"/>
              </w:rPr>
              <w:t>(1,563)</w:t>
            </w:r>
          </w:p>
        </w:tc>
        <w:tc>
          <w:tcPr>
            <w:tcW w:w="0" w:type="auto"/>
            <w:shd w:val="clear" w:color="auto" w:fill="FFFFFF"/>
            <w:hideMark/>
          </w:tcPr>
          <w:p w:rsidR="00D27E48" w:rsidRDefault="00D27E48">
            <w:pPr>
              <w:jc w:val="right"/>
              <w:rPr>
                <w:rFonts w:eastAsia="Times New Roman"/>
              </w:rPr>
            </w:pPr>
            <w:r>
              <w:rPr>
                <w:rFonts w:eastAsia="Times New Roman"/>
                <w:b/>
                <w:bCs/>
                <w:sz w:val="20"/>
                <w:szCs w:val="20"/>
              </w:rPr>
              <w:t>6,922</w:t>
            </w:r>
          </w:p>
        </w:tc>
        <w:tc>
          <w:tcPr>
            <w:tcW w:w="0" w:type="auto"/>
            <w:shd w:val="clear" w:color="auto" w:fill="FFFFFF"/>
            <w:hideMark/>
          </w:tcPr>
          <w:p w:rsidR="00D27E48" w:rsidRDefault="00D27E48">
            <w:pPr>
              <w:jc w:val="right"/>
              <w:rPr>
                <w:rFonts w:eastAsia="Times New Roman"/>
              </w:rPr>
            </w:pPr>
            <w:r>
              <w:rPr>
                <w:rFonts w:eastAsia="Times New Roman"/>
                <w:b/>
                <w:bCs/>
                <w:sz w:val="20"/>
                <w:szCs w:val="20"/>
              </w:rPr>
              <w:t>2,736</w:t>
            </w:r>
          </w:p>
        </w:tc>
        <w:tc>
          <w:tcPr>
            <w:tcW w:w="0" w:type="auto"/>
            <w:shd w:val="clear" w:color="auto" w:fill="FFFFFF"/>
            <w:hideMark/>
          </w:tcPr>
          <w:p w:rsidR="00D27E48" w:rsidRDefault="00D27E48">
            <w:pPr>
              <w:jc w:val="right"/>
              <w:rPr>
                <w:rFonts w:eastAsia="Times New Roman"/>
              </w:rPr>
            </w:pPr>
            <w:r>
              <w:rPr>
                <w:rFonts w:eastAsia="Times New Roman"/>
                <w:b/>
                <w:bCs/>
                <w:sz w:val="20"/>
                <w:szCs w:val="20"/>
              </w:rPr>
              <w:t>5,339</w:t>
            </w:r>
          </w:p>
        </w:tc>
        <w:tc>
          <w:tcPr>
            <w:tcW w:w="0" w:type="auto"/>
            <w:shd w:val="clear" w:color="auto" w:fill="FFFFFF"/>
            <w:hideMark/>
          </w:tcPr>
          <w:p w:rsidR="00D27E48" w:rsidRDefault="00D27E48">
            <w:pPr>
              <w:jc w:val="right"/>
              <w:rPr>
                <w:rFonts w:eastAsia="Times New Roman"/>
              </w:rPr>
            </w:pPr>
            <w:r>
              <w:rPr>
                <w:rFonts w:eastAsia="Times New Roman"/>
                <w:b/>
                <w:bCs/>
                <w:sz w:val="20"/>
                <w:szCs w:val="20"/>
              </w:rPr>
              <w:t>69,201</w:t>
            </w:r>
          </w:p>
        </w:tc>
      </w:tr>
      <w:tr w:rsidR="00D27E48">
        <w:trPr>
          <w:tblCellSpacing w:w="15" w:type="dxa"/>
        </w:trPr>
        <w:tc>
          <w:tcPr>
            <w:tcW w:w="0" w:type="auto"/>
            <w:shd w:val="clear" w:color="auto" w:fill="CCFFCC"/>
            <w:hideMark/>
          </w:tcPr>
          <w:p w:rsidR="00D27E48" w:rsidRDefault="00D27E48">
            <w:pPr>
              <w:rPr>
                <w:rFonts w:eastAsia="Times New Roman"/>
              </w:rPr>
            </w:pPr>
            <w:r>
              <w:rPr>
                <w:rFonts w:eastAsia="Times New Roman"/>
                <w:sz w:val="20"/>
                <w:szCs w:val="20"/>
              </w:rPr>
              <w:t> </w:t>
            </w: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r>
      <w:tr w:rsidR="00D27E48">
        <w:trPr>
          <w:tblCellSpacing w:w="15" w:type="dxa"/>
        </w:trPr>
        <w:tc>
          <w:tcPr>
            <w:tcW w:w="0" w:type="auto"/>
            <w:shd w:val="clear" w:color="auto" w:fill="FFFFFF"/>
            <w:hideMark/>
          </w:tcPr>
          <w:p w:rsidR="00D27E48" w:rsidRDefault="00D27E48">
            <w:pPr>
              <w:rPr>
                <w:rFonts w:eastAsia="Times New Roman"/>
              </w:rPr>
            </w:pPr>
            <w:r>
              <w:rPr>
                <w:rFonts w:eastAsia="Times New Roman"/>
                <w:sz w:val="20"/>
                <w:szCs w:val="20"/>
              </w:rPr>
              <w:t>Accumulated Deficit</w:t>
            </w:r>
          </w:p>
        </w:tc>
        <w:tc>
          <w:tcPr>
            <w:tcW w:w="0" w:type="auto"/>
            <w:shd w:val="clear" w:color="auto" w:fill="FFFFFF"/>
            <w:hideMark/>
          </w:tcPr>
          <w:p w:rsidR="00D27E48" w:rsidRDefault="00D27E48">
            <w:pPr>
              <w:jc w:val="right"/>
              <w:rPr>
                <w:rFonts w:eastAsia="Times New Roman"/>
              </w:rPr>
            </w:pPr>
          </w:p>
        </w:tc>
        <w:tc>
          <w:tcPr>
            <w:tcW w:w="0" w:type="auto"/>
            <w:shd w:val="clear" w:color="auto" w:fill="FFFFFF"/>
            <w:hideMark/>
          </w:tcPr>
          <w:p w:rsidR="00D27E48" w:rsidRDefault="00D27E48">
            <w:pPr>
              <w:jc w:val="right"/>
              <w:rPr>
                <w:rFonts w:eastAsia="Times New Roman"/>
              </w:rPr>
            </w:pPr>
          </w:p>
        </w:tc>
        <w:tc>
          <w:tcPr>
            <w:tcW w:w="0" w:type="auto"/>
            <w:shd w:val="clear" w:color="auto" w:fill="FFFFFF"/>
            <w:hideMark/>
          </w:tcPr>
          <w:p w:rsidR="00D27E48" w:rsidRDefault="00D27E48">
            <w:pPr>
              <w:jc w:val="right"/>
              <w:rPr>
                <w:rFonts w:eastAsia="Times New Roman"/>
              </w:rPr>
            </w:pPr>
          </w:p>
        </w:tc>
        <w:tc>
          <w:tcPr>
            <w:tcW w:w="0" w:type="auto"/>
            <w:shd w:val="clear" w:color="auto" w:fill="FFFFFF"/>
            <w:hideMark/>
          </w:tcPr>
          <w:p w:rsidR="00D27E48" w:rsidRDefault="00D27E48">
            <w:pPr>
              <w:jc w:val="right"/>
              <w:rPr>
                <w:rFonts w:eastAsia="Times New Roman"/>
              </w:rPr>
            </w:pPr>
          </w:p>
        </w:tc>
        <w:tc>
          <w:tcPr>
            <w:tcW w:w="0" w:type="auto"/>
            <w:shd w:val="clear" w:color="auto" w:fill="FFFFFF"/>
            <w:hideMark/>
          </w:tcPr>
          <w:p w:rsidR="00D27E48" w:rsidRDefault="00D27E48">
            <w:pPr>
              <w:jc w:val="right"/>
              <w:rPr>
                <w:rFonts w:eastAsia="Times New Roman"/>
              </w:rPr>
            </w:pPr>
          </w:p>
        </w:tc>
      </w:tr>
      <w:tr w:rsidR="00D27E48">
        <w:trPr>
          <w:tblCellSpacing w:w="15" w:type="dxa"/>
        </w:trPr>
        <w:tc>
          <w:tcPr>
            <w:tcW w:w="0" w:type="auto"/>
            <w:shd w:val="clear" w:color="auto" w:fill="CCFFCC"/>
            <w:hideMark/>
          </w:tcPr>
          <w:p w:rsidR="00D27E48" w:rsidRDefault="00D27E48">
            <w:pPr>
              <w:rPr>
                <w:rFonts w:eastAsia="Times New Roman"/>
              </w:rPr>
            </w:pPr>
            <w:r>
              <w:rPr>
                <w:rFonts w:eastAsia="Times New Roman"/>
                <w:sz w:val="20"/>
                <w:szCs w:val="20"/>
              </w:rPr>
              <w:t>Beginning of Period</w:t>
            </w:r>
          </w:p>
        </w:tc>
        <w:tc>
          <w:tcPr>
            <w:tcW w:w="0" w:type="auto"/>
            <w:shd w:val="clear" w:color="auto" w:fill="CCFFCC"/>
            <w:hideMark/>
          </w:tcPr>
          <w:p w:rsidR="00D27E48" w:rsidRDefault="00D27E48">
            <w:pPr>
              <w:jc w:val="right"/>
              <w:rPr>
                <w:rFonts w:eastAsia="Times New Roman"/>
              </w:rPr>
            </w:pPr>
            <w:r>
              <w:rPr>
                <w:rFonts w:eastAsia="Times New Roman"/>
                <w:sz w:val="20"/>
                <w:szCs w:val="20"/>
              </w:rPr>
              <w:t>(20,713,993)</w:t>
            </w:r>
          </w:p>
        </w:tc>
        <w:tc>
          <w:tcPr>
            <w:tcW w:w="0" w:type="auto"/>
            <w:shd w:val="clear" w:color="auto" w:fill="CCFFCC"/>
            <w:hideMark/>
          </w:tcPr>
          <w:p w:rsidR="00D27E48" w:rsidRDefault="00D27E48">
            <w:pPr>
              <w:jc w:val="right"/>
              <w:rPr>
                <w:rFonts w:eastAsia="Times New Roman"/>
              </w:rPr>
            </w:pPr>
            <w:r>
              <w:rPr>
                <w:rFonts w:eastAsia="Times New Roman"/>
                <w:sz w:val="20"/>
                <w:szCs w:val="20"/>
              </w:rPr>
              <w:t>(20,789,074)</w:t>
            </w:r>
          </w:p>
        </w:tc>
        <w:tc>
          <w:tcPr>
            <w:tcW w:w="0" w:type="auto"/>
            <w:shd w:val="clear" w:color="auto" w:fill="CCFFCC"/>
            <w:hideMark/>
          </w:tcPr>
          <w:p w:rsidR="00D27E48" w:rsidRDefault="00D27E48">
            <w:pPr>
              <w:jc w:val="right"/>
              <w:rPr>
                <w:rFonts w:eastAsia="Times New Roman"/>
              </w:rPr>
            </w:pPr>
            <w:r>
              <w:rPr>
                <w:rFonts w:eastAsia="Times New Roman"/>
                <w:sz w:val="20"/>
                <w:szCs w:val="20"/>
              </w:rPr>
              <w:t>(20,718,292)</w:t>
            </w:r>
          </w:p>
        </w:tc>
        <w:tc>
          <w:tcPr>
            <w:tcW w:w="0" w:type="auto"/>
            <w:shd w:val="clear" w:color="auto" w:fill="CCFFCC"/>
            <w:hideMark/>
          </w:tcPr>
          <w:p w:rsidR="00D27E48" w:rsidRDefault="00D27E48">
            <w:pPr>
              <w:jc w:val="right"/>
              <w:rPr>
                <w:rFonts w:eastAsia="Times New Roman"/>
              </w:rPr>
            </w:pPr>
            <w:r>
              <w:rPr>
                <w:rFonts w:eastAsia="Times New Roman"/>
                <w:sz w:val="20"/>
                <w:szCs w:val="20"/>
              </w:rPr>
              <w:t>(20,787,492)</w:t>
            </w:r>
          </w:p>
        </w:tc>
        <w:tc>
          <w:tcPr>
            <w:tcW w:w="0" w:type="auto"/>
            <w:shd w:val="clear" w:color="auto" w:fill="CCFFCC"/>
            <w:hideMark/>
          </w:tcPr>
          <w:p w:rsidR="00D27E48" w:rsidRDefault="00D27E48">
            <w:pPr>
              <w:jc w:val="right"/>
              <w:rPr>
                <w:rFonts w:eastAsia="Times New Roman"/>
              </w:rPr>
            </w:pPr>
            <w:r>
              <w:rPr>
                <w:rFonts w:eastAsia="Times New Roman"/>
                <w:sz w:val="20"/>
                <w:szCs w:val="20"/>
              </w:rPr>
              <w:t>(20,787,493)</w:t>
            </w:r>
          </w:p>
        </w:tc>
      </w:tr>
      <w:tr w:rsidR="00D27E48">
        <w:trPr>
          <w:tblCellSpacing w:w="15" w:type="dxa"/>
        </w:trPr>
        <w:tc>
          <w:tcPr>
            <w:tcW w:w="0" w:type="auto"/>
            <w:shd w:val="clear" w:color="auto" w:fill="FFFFFF"/>
            <w:hideMark/>
          </w:tcPr>
          <w:p w:rsidR="00D27E48" w:rsidRDefault="00D27E48">
            <w:pPr>
              <w:rPr>
                <w:rFonts w:eastAsia="Times New Roman"/>
              </w:rPr>
            </w:pPr>
            <w:r>
              <w:rPr>
                <w:rFonts w:eastAsia="Times New Roman"/>
                <w:sz w:val="20"/>
                <w:szCs w:val="20"/>
              </w:rPr>
              <w:t>End of Period</w:t>
            </w:r>
          </w:p>
        </w:tc>
        <w:tc>
          <w:tcPr>
            <w:tcW w:w="0" w:type="auto"/>
            <w:shd w:val="clear" w:color="auto" w:fill="FFFFFF"/>
            <w:hideMark/>
          </w:tcPr>
          <w:p w:rsidR="00D27E48" w:rsidRDefault="00D27E48">
            <w:pPr>
              <w:jc w:val="right"/>
              <w:rPr>
                <w:rFonts w:eastAsia="Times New Roman"/>
              </w:rPr>
            </w:pPr>
            <w:r>
              <w:rPr>
                <w:rFonts w:eastAsia="Times New Roman"/>
                <w:sz w:val="20"/>
                <w:szCs w:val="20"/>
              </w:rPr>
              <w:t>(20,715,556)</w:t>
            </w:r>
          </w:p>
        </w:tc>
        <w:tc>
          <w:tcPr>
            <w:tcW w:w="0" w:type="auto"/>
            <w:shd w:val="clear" w:color="auto" w:fill="FFFFFF"/>
            <w:hideMark/>
          </w:tcPr>
          <w:p w:rsidR="00D27E48" w:rsidRDefault="00D27E48">
            <w:pPr>
              <w:jc w:val="right"/>
              <w:rPr>
                <w:rFonts w:eastAsia="Times New Roman"/>
              </w:rPr>
            </w:pPr>
            <w:r>
              <w:rPr>
                <w:rFonts w:eastAsia="Times New Roman"/>
                <w:sz w:val="20"/>
                <w:szCs w:val="20"/>
              </w:rPr>
              <w:t>(20,782,153)</w:t>
            </w:r>
          </w:p>
        </w:tc>
        <w:tc>
          <w:tcPr>
            <w:tcW w:w="0" w:type="auto"/>
            <w:shd w:val="clear" w:color="auto" w:fill="FFFFFF"/>
            <w:hideMark/>
          </w:tcPr>
          <w:p w:rsidR="00D27E48" w:rsidRDefault="00D27E48">
            <w:pPr>
              <w:jc w:val="right"/>
              <w:rPr>
                <w:rFonts w:eastAsia="Times New Roman"/>
              </w:rPr>
            </w:pPr>
            <w:r>
              <w:rPr>
                <w:rFonts w:eastAsia="Times New Roman"/>
                <w:sz w:val="20"/>
                <w:szCs w:val="20"/>
              </w:rPr>
              <w:t>(20,715,556)</w:t>
            </w:r>
          </w:p>
        </w:tc>
        <w:tc>
          <w:tcPr>
            <w:tcW w:w="0" w:type="auto"/>
            <w:shd w:val="clear" w:color="auto" w:fill="FFFFFF"/>
            <w:hideMark/>
          </w:tcPr>
          <w:p w:rsidR="00D27E48" w:rsidRDefault="00D27E48">
            <w:pPr>
              <w:jc w:val="right"/>
              <w:rPr>
                <w:rFonts w:eastAsia="Times New Roman"/>
              </w:rPr>
            </w:pPr>
            <w:r>
              <w:rPr>
                <w:rFonts w:eastAsia="Times New Roman"/>
                <w:sz w:val="20"/>
                <w:szCs w:val="20"/>
              </w:rPr>
              <w:t>(20,782,153)</w:t>
            </w:r>
          </w:p>
        </w:tc>
        <w:tc>
          <w:tcPr>
            <w:tcW w:w="0" w:type="auto"/>
            <w:shd w:val="clear" w:color="auto" w:fill="FFFFFF"/>
            <w:hideMark/>
          </w:tcPr>
          <w:p w:rsidR="00D27E48" w:rsidRDefault="00D27E48">
            <w:pPr>
              <w:jc w:val="right"/>
              <w:rPr>
                <w:rFonts w:eastAsia="Times New Roman"/>
              </w:rPr>
            </w:pPr>
            <w:r>
              <w:rPr>
                <w:rFonts w:eastAsia="Times New Roman"/>
                <w:sz w:val="20"/>
                <w:szCs w:val="20"/>
              </w:rPr>
              <w:t>(20,718,292)</w:t>
            </w:r>
          </w:p>
        </w:tc>
      </w:tr>
      <w:tr w:rsidR="00D27E48">
        <w:trPr>
          <w:tblCellSpacing w:w="15" w:type="dxa"/>
        </w:trPr>
        <w:tc>
          <w:tcPr>
            <w:tcW w:w="0" w:type="auto"/>
            <w:shd w:val="clear" w:color="auto" w:fill="CCFFCC"/>
            <w:vAlign w:val="center"/>
            <w:hideMark/>
          </w:tcPr>
          <w:p w:rsidR="00D27E48" w:rsidRDefault="00D27E48">
            <w:pPr>
              <w:rPr>
                <w:rFonts w:eastAsia="Times New Roman"/>
              </w:rPr>
            </w:pPr>
            <w:r>
              <w:rPr>
                <w:rFonts w:eastAsia="Times New Roman"/>
                <w:sz w:val="20"/>
                <w:szCs w:val="20"/>
              </w:rPr>
              <w:t> </w:t>
            </w:r>
          </w:p>
        </w:tc>
        <w:tc>
          <w:tcPr>
            <w:tcW w:w="0" w:type="auto"/>
            <w:shd w:val="clear" w:color="auto" w:fill="CCFFCC"/>
            <w:vAlign w:val="center"/>
            <w:hideMark/>
          </w:tcPr>
          <w:p w:rsidR="00D27E48" w:rsidRDefault="00D27E48">
            <w:pPr>
              <w:jc w:val="right"/>
              <w:rPr>
                <w:rFonts w:eastAsia="Times New Roman"/>
              </w:rPr>
            </w:pPr>
          </w:p>
        </w:tc>
        <w:tc>
          <w:tcPr>
            <w:tcW w:w="0" w:type="auto"/>
            <w:shd w:val="clear" w:color="auto" w:fill="CCFFCC"/>
            <w:vAlign w:val="center"/>
            <w:hideMark/>
          </w:tcPr>
          <w:p w:rsidR="00D27E48" w:rsidRDefault="00D27E48">
            <w:pPr>
              <w:jc w:val="right"/>
              <w:rPr>
                <w:rFonts w:eastAsia="Times New Roman"/>
              </w:rPr>
            </w:pPr>
          </w:p>
        </w:tc>
        <w:tc>
          <w:tcPr>
            <w:tcW w:w="0" w:type="auto"/>
            <w:shd w:val="clear" w:color="auto" w:fill="CCFFCC"/>
            <w:vAlign w:val="center"/>
            <w:hideMark/>
          </w:tcPr>
          <w:p w:rsidR="00D27E48" w:rsidRDefault="00D27E48">
            <w:pPr>
              <w:jc w:val="right"/>
              <w:rPr>
                <w:rFonts w:eastAsia="Times New Roman"/>
              </w:rPr>
            </w:pPr>
          </w:p>
        </w:tc>
        <w:tc>
          <w:tcPr>
            <w:tcW w:w="0" w:type="auto"/>
            <w:shd w:val="clear" w:color="auto" w:fill="CCFFCC"/>
            <w:vAlign w:val="center"/>
            <w:hideMark/>
          </w:tcPr>
          <w:p w:rsidR="00D27E48" w:rsidRDefault="00D27E48">
            <w:pPr>
              <w:jc w:val="right"/>
              <w:rPr>
                <w:rFonts w:eastAsia="Times New Roman"/>
              </w:rPr>
            </w:pPr>
          </w:p>
        </w:tc>
        <w:tc>
          <w:tcPr>
            <w:tcW w:w="0" w:type="auto"/>
            <w:shd w:val="clear" w:color="auto" w:fill="CCFFCC"/>
            <w:vAlign w:val="center"/>
            <w:hideMark/>
          </w:tcPr>
          <w:p w:rsidR="00D27E48" w:rsidRDefault="00D27E48">
            <w:pPr>
              <w:jc w:val="right"/>
              <w:rPr>
                <w:rFonts w:eastAsia="Times New Roman"/>
              </w:rPr>
            </w:pPr>
          </w:p>
        </w:tc>
      </w:tr>
      <w:tr w:rsidR="00D27E48">
        <w:trPr>
          <w:tblCellSpacing w:w="15" w:type="dxa"/>
        </w:trPr>
        <w:tc>
          <w:tcPr>
            <w:tcW w:w="0" w:type="auto"/>
            <w:shd w:val="clear" w:color="auto" w:fill="FFFFFF"/>
            <w:vAlign w:val="center"/>
            <w:hideMark/>
          </w:tcPr>
          <w:p w:rsidR="00D27E48" w:rsidRDefault="00D27E48">
            <w:pPr>
              <w:rPr>
                <w:rFonts w:eastAsia="Times New Roman"/>
              </w:rPr>
            </w:pPr>
            <w:r>
              <w:rPr>
                <w:rFonts w:eastAsia="Times New Roman"/>
                <w:sz w:val="20"/>
                <w:szCs w:val="20"/>
              </w:rPr>
              <w:t>Earnings per Share</w:t>
            </w:r>
          </w:p>
        </w:tc>
        <w:tc>
          <w:tcPr>
            <w:tcW w:w="0" w:type="auto"/>
            <w:shd w:val="clear" w:color="auto" w:fill="FFFFFF"/>
            <w:vAlign w:val="center"/>
            <w:hideMark/>
          </w:tcPr>
          <w:p w:rsidR="00D27E48" w:rsidRDefault="00D27E48">
            <w:pPr>
              <w:pStyle w:val="NormalWeb"/>
              <w:jc w:val="right"/>
            </w:pPr>
            <w:r>
              <w:rPr>
                <w:sz w:val="20"/>
                <w:szCs w:val="20"/>
              </w:rPr>
              <w:t>0.000</w:t>
            </w:r>
          </w:p>
        </w:tc>
        <w:tc>
          <w:tcPr>
            <w:tcW w:w="0" w:type="auto"/>
            <w:shd w:val="clear" w:color="auto" w:fill="FFFFFF"/>
            <w:vAlign w:val="center"/>
            <w:hideMark/>
          </w:tcPr>
          <w:p w:rsidR="00D27E48" w:rsidRDefault="00D27E48">
            <w:pPr>
              <w:pStyle w:val="NormalWeb"/>
              <w:jc w:val="right"/>
            </w:pPr>
            <w:r>
              <w:rPr>
                <w:sz w:val="20"/>
                <w:szCs w:val="20"/>
              </w:rPr>
              <w:t>0.000</w:t>
            </w:r>
          </w:p>
        </w:tc>
        <w:tc>
          <w:tcPr>
            <w:tcW w:w="0" w:type="auto"/>
            <w:shd w:val="clear" w:color="auto" w:fill="FFFFFF"/>
            <w:vAlign w:val="center"/>
            <w:hideMark/>
          </w:tcPr>
          <w:p w:rsidR="00D27E48" w:rsidRDefault="00D27E48">
            <w:pPr>
              <w:pStyle w:val="NormalWeb"/>
              <w:jc w:val="right"/>
            </w:pPr>
            <w:r>
              <w:rPr>
                <w:sz w:val="20"/>
                <w:szCs w:val="20"/>
              </w:rPr>
              <w:t>0.000</w:t>
            </w:r>
          </w:p>
        </w:tc>
        <w:tc>
          <w:tcPr>
            <w:tcW w:w="0" w:type="auto"/>
            <w:shd w:val="clear" w:color="auto" w:fill="FFFFFF"/>
            <w:vAlign w:val="center"/>
            <w:hideMark/>
          </w:tcPr>
          <w:p w:rsidR="00D27E48" w:rsidRDefault="00D27E48">
            <w:pPr>
              <w:pStyle w:val="NormalWeb"/>
              <w:jc w:val="right"/>
            </w:pPr>
            <w:r>
              <w:rPr>
                <w:sz w:val="20"/>
                <w:szCs w:val="20"/>
              </w:rPr>
              <w:t>0.000</w:t>
            </w:r>
          </w:p>
        </w:tc>
        <w:tc>
          <w:tcPr>
            <w:tcW w:w="0" w:type="auto"/>
            <w:shd w:val="clear" w:color="auto" w:fill="FFFFFF"/>
            <w:vAlign w:val="center"/>
            <w:hideMark/>
          </w:tcPr>
          <w:p w:rsidR="00D27E48" w:rsidRDefault="00D27E48">
            <w:pPr>
              <w:pStyle w:val="NormalWeb"/>
              <w:jc w:val="right"/>
            </w:pPr>
            <w:r>
              <w:rPr>
                <w:sz w:val="20"/>
                <w:szCs w:val="20"/>
              </w:rPr>
              <w:t>0.000</w:t>
            </w:r>
          </w:p>
        </w:tc>
      </w:tr>
      <w:tr w:rsidR="00D27E48">
        <w:trPr>
          <w:tblCellSpacing w:w="15" w:type="dxa"/>
        </w:trPr>
        <w:tc>
          <w:tcPr>
            <w:tcW w:w="0" w:type="auto"/>
            <w:gridSpan w:val="5"/>
            <w:shd w:val="clear" w:color="auto" w:fill="CCFFCC"/>
            <w:vAlign w:val="center"/>
            <w:hideMark/>
          </w:tcPr>
          <w:p w:rsidR="00D27E48" w:rsidRDefault="00D27E48">
            <w:pPr>
              <w:jc w:val="center"/>
              <w:rPr>
                <w:rFonts w:eastAsia="Times New Roman"/>
              </w:rPr>
            </w:pPr>
            <w:r>
              <w:rPr>
                <w:rFonts w:eastAsia="Times New Roman"/>
                <w:b/>
                <w:bCs/>
                <w:sz w:val="20"/>
                <w:szCs w:val="20"/>
              </w:rPr>
              <w:t>See accompanying notes to financial statements.</w:t>
            </w:r>
          </w:p>
        </w:tc>
        <w:tc>
          <w:tcPr>
            <w:tcW w:w="0" w:type="auto"/>
            <w:shd w:val="clear" w:color="auto" w:fill="CCFFCC"/>
            <w:vAlign w:val="center"/>
            <w:hideMark/>
          </w:tcPr>
          <w:p w:rsidR="00D27E48" w:rsidRDefault="00D27E48">
            <w:pPr>
              <w:rPr>
                <w:rFonts w:eastAsia="Times New Roman"/>
              </w:rPr>
            </w:pPr>
          </w:p>
        </w:tc>
      </w:tr>
    </w:tbl>
    <w:p w:rsidR="00D27E48" w:rsidRDefault="007E7BD4">
      <w:pPr>
        <w:pStyle w:val="NormalWeb"/>
      </w:pPr>
      <w:hyperlink w:anchor="toc" w:history="1">
        <w:r w:rsidR="00D27E48">
          <w:rPr>
            <w:rStyle w:val="Hyperlink"/>
            <w:b/>
            <w:bCs/>
            <w:sz w:val="20"/>
            <w:szCs w:val="20"/>
          </w:rPr>
          <w:t>Return to Table of Contents</w:t>
        </w:r>
      </w:hyperlink>
    </w:p>
    <w:p w:rsidR="0047090F" w:rsidRDefault="007E7BD4">
      <w:pPr>
        <w:rPr>
          <w:rFonts w:eastAsia="Times New Roman"/>
        </w:rPr>
      </w:pPr>
      <w:r w:rsidRPr="007E7BD4">
        <w:rPr>
          <w:rFonts w:eastAsia="Times New Roman"/>
        </w:rPr>
        <w:pict>
          <v:rect id="_x0000_i1034" style="width:0;height:3pt" o:hralign="center" o:hrstd="t" o:hrnoshade="t" o:hr="t" fillcolor="black" stroked="f"/>
        </w:pict>
      </w:r>
    </w:p>
    <w:p w:rsidR="0047090F" w:rsidRDefault="0047090F">
      <w:pPr>
        <w:rPr>
          <w:rFonts w:eastAsia="Times New Roman"/>
        </w:rPr>
      </w:pPr>
      <w:r>
        <w:rPr>
          <w:rFonts w:eastAsia="Times New Roman"/>
        </w:rPr>
        <w:br w:type="page"/>
      </w:r>
    </w:p>
    <w:tbl>
      <w:tblPr>
        <w:tblW w:w="4500" w:type="pct"/>
        <w:tblCellSpacing w:w="15" w:type="dxa"/>
        <w:tblCellMar>
          <w:left w:w="0" w:type="dxa"/>
          <w:right w:w="0" w:type="dxa"/>
        </w:tblCellMar>
        <w:tblLook w:val="04A0"/>
      </w:tblPr>
      <w:tblGrid>
        <w:gridCol w:w="5268"/>
        <w:gridCol w:w="1497"/>
        <w:gridCol w:w="1497"/>
        <w:gridCol w:w="1512"/>
      </w:tblGrid>
      <w:tr w:rsidR="00D27E48">
        <w:trPr>
          <w:tblCellSpacing w:w="15" w:type="dxa"/>
        </w:trPr>
        <w:tc>
          <w:tcPr>
            <w:tcW w:w="0" w:type="auto"/>
            <w:gridSpan w:val="4"/>
            <w:shd w:val="clear" w:color="auto" w:fill="CCFFCC"/>
            <w:vAlign w:val="bottom"/>
            <w:hideMark/>
          </w:tcPr>
          <w:p w:rsidR="00D27E48" w:rsidRDefault="00D27E48">
            <w:pPr>
              <w:pStyle w:val="NormalWeb"/>
              <w:jc w:val="center"/>
            </w:pPr>
            <w:r>
              <w:rPr>
                <w:b/>
                <w:bCs/>
                <w:sz w:val="20"/>
                <w:szCs w:val="20"/>
              </w:rPr>
              <w:lastRenderedPageBreak/>
              <w:t>ADVANCED OXYGEN TECHNOLOGIES, INC.</w:t>
            </w:r>
          </w:p>
          <w:p w:rsidR="00D27E48" w:rsidRDefault="00D27E48">
            <w:pPr>
              <w:pStyle w:val="NormalWeb"/>
              <w:jc w:val="center"/>
            </w:pPr>
            <w:r>
              <w:rPr>
                <w:b/>
                <w:bCs/>
                <w:sz w:val="20"/>
                <w:szCs w:val="20"/>
              </w:rPr>
              <w:t>AND SUBSIDIARY</w:t>
            </w:r>
          </w:p>
          <w:p w:rsidR="00D27E48" w:rsidRDefault="00D27E48">
            <w:pPr>
              <w:pStyle w:val="NormalWeb"/>
              <w:jc w:val="center"/>
            </w:pPr>
            <w:r>
              <w:rPr>
                <w:b/>
                <w:bCs/>
                <w:sz w:val="20"/>
                <w:szCs w:val="20"/>
              </w:rPr>
              <w:t>CONSOLIDATED STATEMENTS OF STOCKHOLDERS' EQUITY (DEFICIENCY)</w:t>
            </w:r>
          </w:p>
        </w:tc>
      </w:tr>
      <w:tr w:rsidR="00D27E48" w:rsidTr="0047090F">
        <w:trPr>
          <w:tblCellSpacing w:w="15" w:type="dxa"/>
        </w:trPr>
        <w:tc>
          <w:tcPr>
            <w:tcW w:w="2672" w:type="pct"/>
            <w:shd w:val="clear" w:color="auto" w:fill="FFFFFF"/>
            <w:vAlign w:val="bottom"/>
            <w:hideMark/>
          </w:tcPr>
          <w:p w:rsidR="00D27E48" w:rsidRDefault="00D27E48">
            <w:pPr>
              <w:rPr>
                <w:rFonts w:eastAsia="Times New Roman"/>
              </w:rPr>
            </w:pPr>
            <w:r>
              <w:rPr>
                <w:rFonts w:eastAsia="Times New Roman"/>
                <w:b/>
                <w:bCs/>
                <w:sz w:val="20"/>
                <w:szCs w:val="20"/>
              </w:rPr>
              <w:t> </w:t>
            </w:r>
          </w:p>
        </w:tc>
        <w:tc>
          <w:tcPr>
            <w:tcW w:w="750" w:type="pct"/>
            <w:shd w:val="clear" w:color="auto" w:fill="FFFFFF"/>
            <w:vAlign w:val="bottom"/>
            <w:hideMark/>
          </w:tcPr>
          <w:p w:rsidR="00D27E48" w:rsidRDefault="00D27E48">
            <w:pPr>
              <w:rPr>
                <w:rFonts w:eastAsia="Times New Roman"/>
              </w:rPr>
            </w:pPr>
          </w:p>
        </w:tc>
        <w:tc>
          <w:tcPr>
            <w:tcW w:w="750" w:type="pct"/>
            <w:shd w:val="clear" w:color="auto" w:fill="FFFFFF"/>
            <w:vAlign w:val="bottom"/>
            <w:hideMark/>
          </w:tcPr>
          <w:p w:rsidR="00D27E48" w:rsidRDefault="00D27E48">
            <w:pPr>
              <w:rPr>
                <w:rFonts w:eastAsia="Times New Roman"/>
              </w:rPr>
            </w:pPr>
          </w:p>
        </w:tc>
        <w:tc>
          <w:tcPr>
            <w:tcW w:w="750" w:type="pct"/>
            <w:shd w:val="clear" w:color="auto" w:fill="FFFFFF"/>
            <w:vAlign w:val="bottom"/>
            <w:hideMark/>
          </w:tcPr>
          <w:p w:rsidR="00D27E48" w:rsidRDefault="00D27E48">
            <w:pPr>
              <w:rPr>
                <w:rFonts w:eastAsia="Times New Roman"/>
              </w:rPr>
            </w:pPr>
            <w:r>
              <w:rPr>
                <w:rFonts w:eastAsia="Times New Roman"/>
                <w:b/>
                <w:bCs/>
                <w:sz w:val="20"/>
                <w:szCs w:val="20"/>
              </w:rPr>
              <w:t> </w:t>
            </w:r>
          </w:p>
        </w:tc>
      </w:tr>
      <w:tr w:rsidR="00D27E48">
        <w:trPr>
          <w:tblCellSpacing w:w="15" w:type="dxa"/>
        </w:trPr>
        <w:tc>
          <w:tcPr>
            <w:tcW w:w="0" w:type="auto"/>
            <w:shd w:val="clear" w:color="auto" w:fill="CCFFCC"/>
            <w:vAlign w:val="bottom"/>
            <w:hideMark/>
          </w:tcPr>
          <w:p w:rsidR="00D27E48" w:rsidRDefault="00D27E48">
            <w:pPr>
              <w:rPr>
                <w:rFonts w:eastAsia="Times New Roman"/>
              </w:rPr>
            </w:pPr>
            <w:r>
              <w:rPr>
                <w:rFonts w:eastAsia="Times New Roman"/>
                <w:b/>
                <w:bCs/>
                <w:sz w:val="20"/>
                <w:szCs w:val="20"/>
              </w:rPr>
              <w:t> </w:t>
            </w:r>
          </w:p>
        </w:tc>
        <w:tc>
          <w:tcPr>
            <w:tcW w:w="0" w:type="auto"/>
            <w:gridSpan w:val="2"/>
            <w:shd w:val="clear" w:color="auto" w:fill="CCFFCC"/>
            <w:vAlign w:val="bottom"/>
            <w:hideMark/>
          </w:tcPr>
          <w:p w:rsidR="00D27E48" w:rsidRDefault="00D27E48">
            <w:pPr>
              <w:jc w:val="center"/>
              <w:rPr>
                <w:rFonts w:eastAsia="Times New Roman"/>
              </w:rPr>
            </w:pPr>
            <w:r>
              <w:rPr>
                <w:rFonts w:eastAsia="Times New Roman"/>
                <w:b/>
                <w:bCs/>
                <w:sz w:val="20"/>
                <w:szCs w:val="20"/>
              </w:rPr>
              <w:t>3 Months ending</w:t>
            </w:r>
          </w:p>
        </w:tc>
        <w:tc>
          <w:tcPr>
            <w:tcW w:w="0" w:type="auto"/>
            <w:shd w:val="clear" w:color="auto" w:fill="CCFFCC"/>
            <w:vAlign w:val="bottom"/>
            <w:hideMark/>
          </w:tcPr>
          <w:p w:rsidR="00D27E48" w:rsidRDefault="00D27E48">
            <w:pPr>
              <w:jc w:val="center"/>
              <w:rPr>
                <w:rFonts w:eastAsia="Times New Roman"/>
              </w:rPr>
            </w:pPr>
            <w:r>
              <w:rPr>
                <w:rFonts w:eastAsia="Times New Roman"/>
                <w:b/>
                <w:bCs/>
                <w:sz w:val="20"/>
                <w:szCs w:val="20"/>
              </w:rPr>
              <w:t xml:space="preserve">Year Ending </w:t>
            </w:r>
          </w:p>
        </w:tc>
      </w:tr>
      <w:tr w:rsidR="00D27E48">
        <w:trPr>
          <w:tblCellSpacing w:w="15" w:type="dxa"/>
        </w:trPr>
        <w:tc>
          <w:tcPr>
            <w:tcW w:w="0" w:type="auto"/>
            <w:shd w:val="clear" w:color="auto" w:fill="FFFFFF"/>
            <w:vAlign w:val="bottom"/>
            <w:hideMark/>
          </w:tcPr>
          <w:p w:rsidR="00D27E48" w:rsidRDefault="00D27E48">
            <w:pPr>
              <w:rPr>
                <w:rFonts w:eastAsia="Times New Roman"/>
              </w:rPr>
            </w:pPr>
            <w:r>
              <w:rPr>
                <w:rFonts w:eastAsia="Times New Roman"/>
              </w:rPr>
              <w:t> </w:t>
            </w:r>
          </w:p>
        </w:tc>
        <w:tc>
          <w:tcPr>
            <w:tcW w:w="0" w:type="auto"/>
            <w:gridSpan w:val="2"/>
            <w:shd w:val="clear" w:color="auto" w:fill="FFFFFF"/>
            <w:vAlign w:val="bottom"/>
            <w:hideMark/>
          </w:tcPr>
          <w:p w:rsidR="00D27E48" w:rsidRDefault="00D27E48">
            <w:pPr>
              <w:jc w:val="center"/>
              <w:rPr>
                <w:rFonts w:eastAsia="Times New Roman"/>
              </w:rPr>
            </w:pPr>
            <w:r>
              <w:rPr>
                <w:rFonts w:eastAsia="Times New Roman"/>
                <w:b/>
                <w:bCs/>
                <w:sz w:val="20"/>
                <w:szCs w:val="20"/>
              </w:rPr>
              <w:t>December 31,</w:t>
            </w:r>
          </w:p>
        </w:tc>
        <w:tc>
          <w:tcPr>
            <w:tcW w:w="0" w:type="auto"/>
            <w:shd w:val="clear" w:color="auto" w:fill="FFFFFF"/>
            <w:vAlign w:val="bottom"/>
            <w:hideMark/>
          </w:tcPr>
          <w:p w:rsidR="00D27E48" w:rsidRDefault="00D27E48">
            <w:pPr>
              <w:jc w:val="center"/>
              <w:rPr>
                <w:rFonts w:eastAsia="Times New Roman"/>
              </w:rPr>
            </w:pPr>
            <w:r>
              <w:rPr>
                <w:rFonts w:eastAsia="Times New Roman"/>
                <w:b/>
                <w:bCs/>
                <w:sz w:val="20"/>
                <w:szCs w:val="20"/>
              </w:rPr>
              <w:t xml:space="preserve">June 30, </w:t>
            </w:r>
          </w:p>
        </w:tc>
      </w:tr>
      <w:tr w:rsidR="00D27E48">
        <w:trPr>
          <w:tblCellSpacing w:w="15" w:type="dxa"/>
        </w:trPr>
        <w:tc>
          <w:tcPr>
            <w:tcW w:w="0" w:type="auto"/>
            <w:shd w:val="clear" w:color="auto" w:fill="CCFFCC"/>
            <w:vAlign w:val="bottom"/>
            <w:hideMark/>
          </w:tcPr>
          <w:p w:rsidR="00D27E48" w:rsidRDefault="00D27E48">
            <w:pPr>
              <w:rPr>
                <w:rFonts w:eastAsia="Times New Roman"/>
              </w:rPr>
            </w:pPr>
          </w:p>
        </w:tc>
        <w:tc>
          <w:tcPr>
            <w:tcW w:w="0" w:type="auto"/>
            <w:shd w:val="clear" w:color="auto" w:fill="CCFFCC"/>
            <w:vAlign w:val="bottom"/>
            <w:hideMark/>
          </w:tcPr>
          <w:p w:rsidR="00D27E48" w:rsidRDefault="00D27E48">
            <w:pPr>
              <w:jc w:val="center"/>
              <w:rPr>
                <w:rFonts w:eastAsia="Times New Roman"/>
              </w:rPr>
            </w:pPr>
            <w:r>
              <w:rPr>
                <w:rFonts w:eastAsia="Times New Roman"/>
                <w:b/>
                <w:bCs/>
                <w:sz w:val="20"/>
                <w:szCs w:val="20"/>
              </w:rPr>
              <w:t>2011</w:t>
            </w:r>
          </w:p>
        </w:tc>
        <w:tc>
          <w:tcPr>
            <w:tcW w:w="0" w:type="auto"/>
            <w:shd w:val="clear" w:color="auto" w:fill="CCFFCC"/>
            <w:vAlign w:val="bottom"/>
            <w:hideMark/>
          </w:tcPr>
          <w:p w:rsidR="00D27E48" w:rsidRDefault="00D27E48">
            <w:pPr>
              <w:jc w:val="center"/>
              <w:rPr>
                <w:rFonts w:eastAsia="Times New Roman"/>
              </w:rPr>
            </w:pPr>
            <w:r>
              <w:rPr>
                <w:rFonts w:eastAsia="Times New Roman"/>
                <w:b/>
                <w:bCs/>
                <w:sz w:val="20"/>
                <w:szCs w:val="20"/>
              </w:rPr>
              <w:t>2010</w:t>
            </w:r>
          </w:p>
        </w:tc>
        <w:tc>
          <w:tcPr>
            <w:tcW w:w="0" w:type="auto"/>
            <w:shd w:val="clear" w:color="auto" w:fill="CCFFCC"/>
            <w:vAlign w:val="bottom"/>
            <w:hideMark/>
          </w:tcPr>
          <w:p w:rsidR="00D27E48" w:rsidRDefault="00D27E48">
            <w:pPr>
              <w:jc w:val="center"/>
              <w:rPr>
                <w:rFonts w:eastAsia="Times New Roman"/>
              </w:rPr>
            </w:pPr>
            <w:r>
              <w:rPr>
                <w:rFonts w:eastAsia="Times New Roman"/>
                <w:b/>
                <w:bCs/>
                <w:sz w:val="20"/>
                <w:szCs w:val="20"/>
              </w:rPr>
              <w:t>2011</w:t>
            </w:r>
          </w:p>
        </w:tc>
      </w:tr>
      <w:tr w:rsidR="00D27E48">
        <w:trPr>
          <w:tblCellSpacing w:w="15" w:type="dxa"/>
        </w:trPr>
        <w:tc>
          <w:tcPr>
            <w:tcW w:w="0" w:type="auto"/>
            <w:shd w:val="clear" w:color="auto" w:fill="CCFFCC"/>
            <w:vAlign w:val="bottom"/>
            <w:hideMark/>
          </w:tcPr>
          <w:p w:rsidR="00D27E48" w:rsidRDefault="00D27E48">
            <w:pPr>
              <w:rPr>
                <w:rFonts w:eastAsia="Times New Roman"/>
              </w:rPr>
            </w:pPr>
            <w:r>
              <w:rPr>
                <w:rFonts w:eastAsia="Times New Roman"/>
                <w:sz w:val="20"/>
                <w:szCs w:val="20"/>
              </w:rPr>
              <w:t> </w:t>
            </w:r>
          </w:p>
        </w:tc>
        <w:tc>
          <w:tcPr>
            <w:tcW w:w="0" w:type="auto"/>
            <w:gridSpan w:val="2"/>
            <w:shd w:val="clear" w:color="auto" w:fill="CCFFCC"/>
            <w:vAlign w:val="bottom"/>
            <w:hideMark/>
          </w:tcPr>
          <w:p w:rsidR="00D27E48" w:rsidRDefault="00D27E48">
            <w:pPr>
              <w:jc w:val="center"/>
              <w:rPr>
                <w:rFonts w:eastAsia="Times New Roman"/>
              </w:rPr>
            </w:pPr>
            <w:r>
              <w:rPr>
                <w:rFonts w:eastAsia="Times New Roman"/>
                <w:b/>
                <w:bCs/>
                <w:sz w:val="20"/>
                <w:szCs w:val="20"/>
              </w:rPr>
              <w:t>Unaudited</w:t>
            </w:r>
          </w:p>
          <w:p w:rsidR="00D27E48" w:rsidRDefault="007E7BD4">
            <w:pPr>
              <w:jc w:val="center"/>
              <w:rPr>
                <w:rFonts w:eastAsia="Times New Roman"/>
              </w:rPr>
            </w:pPr>
            <w:r w:rsidRPr="007E7BD4">
              <w:rPr>
                <w:rFonts w:eastAsia="Times New Roman"/>
              </w:rPr>
              <w:pict>
                <v:rect id="_x0000_i1035" style="width:0;height:1.5pt" o:hralign="center" o:hrstd="t" o:hr="t" fillcolor="#aca899" stroked="f"/>
              </w:pict>
            </w:r>
          </w:p>
        </w:tc>
        <w:tc>
          <w:tcPr>
            <w:tcW w:w="0" w:type="auto"/>
            <w:shd w:val="clear" w:color="auto" w:fill="CCFFCC"/>
            <w:vAlign w:val="bottom"/>
            <w:hideMark/>
          </w:tcPr>
          <w:p w:rsidR="00D27E48" w:rsidRDefault="00D27E48">
            <w:pPr>
              <w:jc w:val="center"/>
              <w:rPr>
                <w:rFonts w:eastAsia="Times New Roman"/>
              </w:rPr>
            </w:pPr>
            <w:r>
              <w:rPr>
                <w:rFonts w:eastAsia="Times New Roman"/>
                <w:b/>
                <w:bCs/>
                <w:sz w:val="20"/>
                <w:szCs w:val="20"/>
              </w:rPr>
              <w:t>Audited</w:t>
            </w:r>
          </w:p>
          <w:p w:rsidR="00D27E48" w:rsidRDefault="007E7BD4">
            <w:pPr>
              <w:jc w:val="center"/>
              <w:rPr>
                <w:rFonts w:eastAsia="Times New Roman"/>
              </w:rPr>
            </w:pPr>
            <w:r w:rsidRPr="007E7BD4">
              <w:rPr>
                <w:rFonts w:eastAsia="Times New Roman"/>
              </w:rPr>
              <w:pict>
                <v:rect id="_x0000_i1036" style="width:0;height:1.5pt" o:hralign="center" o:hrstd="t" o:hr="t" fillcolor="#aca899" stroked="f"/>
              </w:pict>
            </w:r>
          </w:p>
        </w:tc>
      </w:tr>
      <w:tr w:rsidR="00D27E48">
        <w:trPr>
          <w:tblCellSpacing w:w="15" w:type="dxa"/>
        </w:trPr>
        <w:tc>
          <w:tcPr>
            <w:tcW w:w="0" w:type="auto"/>
            <w:shd w:val="clear" w:color="auto" w:fill="FFFFFF"/>
            <w:vAlign w:val="bottom"/>
            <w:hideMark/>
          </w:tcPr>
          <w:p w:rsidR="00D27E48" w:rsidRDefault="00D27E48">
            <w:pPr>
              <w:rPr>
                <w:rFonts w:eastAsia="Times New Roman"/>
              </w:rPr>
            </w:pPr>
            <w:r>
              <w:rPr>
                <w:rFonts w:eastAsia="Times New Roman"/>
                <w:b/>
                <w:bCs/>
                <w:sz w:val="20"/>
                <w:szCs w:val="20"/>
              </w:rPr>
              <w:t>Common stock, par value $0.01, authorized, 90,000,000 shares;</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w:t>
            </w:r>
          </w:p>
        </w:tc>
      </w:tr>
      <w:tr w:rsidR="00D27E48">
        <w:trPr>
          <w:tblCellSpacing w:w="15" w:type="dxa"/>
        </w:trPr>
        <w:tc>
          <w:tcPr>
            <w:tcW w:w="0" w:type="auto"/>
            <w:shd w:val="clear" w:color="auto" w:fill="CCFFCC"/>
            <w:vAlign w:val="bottom"/>
            <w:hideMark/>
          </w:tcPr>
          <w:p w:rsidR="00D27E48" w:rsidRDefault="00D27E48">
            <w:pPr>
              <w:rPr>
                <w:rFonts w:eastAsia="Times New Roman"/>
              </w:rPr>
            </w:pPr>
            <w:r>
              <w:rPr>
                <w:rFonts w:eastAsia="Times New Roman"/>
                <w:sz w:val="20"/>
                <w:szCs w:val="20"/>
              </w:rPr>
              <w:t> </w:t>
            </w:r>
            <w:r>
              <w:rPr>
                <w:rFonts w:eastAsia="Times New Roman"/>
                <w:b/>
                <w:bCs/>
                <w:sz w:val="20"/>
                <w:szCs w:val="20"/>
              </w:rPr>
              <w:t xml:space="preserve"> issued, as follows: </w:t>
            </w:r>
          </w:p>
        </w:tc>
        <w:tc>
          <w:tcPr>
            <w:tcW w:w="0" w:type="auto"/>
            <w:shd w:val="clear" w:color="auto" w:fill="CCFFCC"/>
            <w:vAlign w:val="bottom"/>
            <w:hideMark/>
          </w:tcPr>
          <w:p w:rsidR="00D27E48" w:rsidRDefault="00D27E48">
            <w:pPr>
              <w:jc w:val="right"/>
              <w:rPr>
                <w:rFonts w:eastAsia="Times New Roman"/>
              </w:rPr>
            </w:pPr>
          </w:p>
        </w:tc>
        <w:tc>
          <w:tcPr>
            <w:tcW w:w="0" w:type="auto"/>
            <w:shd w:val="clear" w:color="auto" w:fill="CCFFCC"/>
            <w:vAlign w:val="bottom"/>
            <w:hideMark/>
          </w:tcPr>
          <w:p w:rsidR="00D27E48" w:rsidRDefault="00D27E48">
            <w:pPr>
              <w:jc w:val="right"/>
              <w:rPr>
                <w:rFonts w:eastAsia="Times New Roman"/>
              </w:rPr>
            </w:pP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 </w:t>
            </w:r>
          </w:p>
        </w:tc>
      </w:tr>
      <w:tr w:rsidR="00D27E48">
        <w:trPr>
          <w:tblCellSpacing w:w="15" w:type="dxa"/>
        </w:trPr>
        <w:tc>
          <w:tcPr>
            <w:tcW w:w="0" w:type="auto"/>
            <w:shd w:val="clear" w:color="auto" w:fill="FFFFFF"/>
            <w:vAlign w:val="bottom"/>
            <w:hideMark/>
          </w:tcPr>
          <w:p w:rsidR="00D27E48" w:rsidRDefault="00D27E48">
            <w:pPr>
              <w:rPr>
                <w:rFonts w:eastAsia="Times New Roman"/>
              </w:rPr>
            </w:pPr>
            <w:r>
              <w:rPr>
                <w:rFonts w:eastAsia="Times New Roman"/>
                <w:sz w:val="20"/>
                <w:szCs w:val="20"/>
              </w:rPr>
              <w:t>    Balance at beginning and end of period 46,973,585</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  469,736</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  469,736</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  469,736</w:t>
            </w:r>
          </w:p>
        </w:tc>
      </w:tr>
      <w:tr w:rsidR="00D27E48">
        <w:trPr>
          <w:tblCellSpacing w:w="15" w:type="dxa"/>
        </w:trPr>
        <w:tc>
          <w:tcPr>
            <w:tcW w:w="0" w:type="auto"/>
            <w:shd w:val="clear" w:color="auto" w:fill="CCFFCC"/>
            <w:vAlign w:val="bottom"/>
            <w:hideMark/>
          </w:tcPr>
          <w:p w:rsidR="00D27E48" w:rsidRDefault="00D27E48">
            <w:pPr>
              <w:rPr>
                <w:rFonts w:eastAsia="Times New Roman"/>
              </w:rPr>
            </w:pPr>
            <w:r>
              <w:rPr>
                <w:rFonts w:eastAsia="Times New Roman"/>
                <w:sz w:val="20"/>
                <w:szCs w:val="20"/>
              </w:rPr>
              <w:t> </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w:t>
            </w:r>
          </w:p>
        </w:tc>
      </w:tr>
      <w:tr w:rsidR="00D27E48">
        <w:trPr>
          <w:tblCellSpacing w:w="15" w:type="dxa"/>
        </w:trPr>
        <w:tc>
          <w:tcPr>
            <w:tcW w:w="0" w:type="auto"/>
            <w:shd w:val="clear" w:color="auto" w:fill="FFFFFF"/>
            <w:vAlign w:val="bottom"/>
            <w:hideMark/>
          </w:tcPr>
          <w:p w:rsidR="00D27E48" w:rsidRDefault="00D27E48">
            <w:pPr>
              <w:rPr>
                <w:rFonts w:eastAsia="Times New Roman"/>
              </w:rPr>
            </w:pPr>
            <w:r>
              <w:rPr>
                <w:rFonts w:eastAsia="Times New Roman"/>
                <w:b/>
                <w:bCs/>
                <w:sz w:val="20"/>
                <w:szCs w:val="20"/>
              </w:rPr>
              <w:t>Additional paid in capital:</w:t>
            </w:r>
          </w:p>
        </w:tc>
        <w:tc>
          <w:tcPr>
            <w:tcW w:w="0" w:type="auto"/>
            <w:shd w:val="clear" w:color="auto" w:fill="FFFFFF"/>
            <w:vAlign w:val="bottom"/>
            <w:hideMark/>
          </w:tcPr>
          <w:p w:rsidR="00D27E48" w:rsidRDefault="00D27E48">
            <w:pPr>
              <w:jc w:val="right"/>
              <w:rPr>
                <w:rFonts w:eastAsia="Times New Roman"/>
              </w:rPr>
            </w:pPr>
          </w:p>
        </w:tc>
        <w:tc>
          <w:tcPr>
            <w:tcW w:w="0" w:type="auto"/>
            <w:shd w:val="clear" w:color="auto" w:fill="FFFFFF"/>
            <w:vAlign w:val="bottom"/>
            <w:hideMark/>
          </w:tcPr>
          <w:p w:rsidR="00D27E48" w:rsidRDefault="00D27E48">
            <w:pPr>
              <w:jc w:val="right"/>
              <w:rPr>
                <w:rFonts w:eastAsia="Times New Roman"/>
              </w:rPr>
            </w:pP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 </w:t>
            </w:r>
          </w:p>
        </w:tc>
      </w:tr>
      <w:tr w:rsidR="00D27E48">
        <w:trPr>
          <w:tblCellSpacing w:w="15" w:type="dxa"/>
        </w:trPr>
        <w:tc>
          <w:tcPr>
            <w:tcW w:w="0" w:type="auto"/>
            <w:shd w:val="clear" w:color="auto" w:fill="CCFFCC"/>
            <w:vAlign w:val="bottom"/>
            <w:hideMark/>
          </w:tcPr>
          <w:p w:rsidR="00D27E48" w:rsidRDefault="00D27E48">
            <w:pPr>
              <w:rPr>
                <w:rFonts w:eastAsia="Times New Roman"/>
              </w:rPr>
            </w:pPr>
            <w:r>
              <w:rPr>
                <w:rFonts w:eastAsia="Times New Roman"/>
                <w:sz w:val="20"/>
                <w:szCs w:val="20"/>
              </w:rPr>
              <w:t>    Balance at beginning and end of period</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  20,497,769</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  20,497,769</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  20,497,769</w:t>
            </w:r>
          </w:p>
        </w:tc>
      </w:tr>
      <w:tr w:rsidR="00D27E48">
        <w:trPr>
          <w:tblCellSpacing w:w="15" w:type="dxa"/>
        </w:trPr>
        <w:tc>
          <w:tcPr>
            <w:tcW w:w="0" w:type="auto"/>
            <w:shd w:val="clear" w:color="auto" w:fill="FFFFFF"/>
            <w:vAlign w:val="bottom"/>
            <w:hideMark/>
          </w:tcPr>
          <w:p w:rsidR="00D27E48" w:rsidRDefault="00D27E48">
            <w:pPr>
              <w:rPr>
                <w:rFonts w:eastAsia="Times New Roman"/>
              </w:rPr>
            </w:pPr>
            <w:r>
              <w:rPr>
                <w:rFonts w:eastAsia="Times New Roman"/>
                <w:sz w:val="20"/>
                <w:szCs w:val="20"/>
              </w:rPr>
              <w:t> </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w:t>
            </w:r>
          </w:p>
        </w:tc>
      </w:tr>
      <w:tr w:rsidR="00D27E48">
        <w:trPr>
          <w:tblCellSpacing w:w="15" w:type="dxa"/>
        </w:trPr>
        <w:tc>
          <w:tcPr>
            <w:tcW w:w="0" w:type="auto"/>
            <w:shd w:val="clear" w:color="auto" w:fill="CCFFCC"/>
            <w:vAlign w:val="bottom"/>
            <w:hideMark/>
          </w:tcPr>
          <w:p w:rsidR="00D27E48" w:rsidRDefault="00D27E48">
            <w:pPr>
              <w:rPr>
                <w:rFonts w:eastAsia="Times New Roman"/>
              </w:rPr>
            </w:pPr>
            <w:r>
              <w:rPr>
                <w:rFonts w:eastAsia="Times New Roman"/>
                <w:b/>
                <w:bCs/>
                <w:sz w:val="20"/>
                <w:szCs w:val="20"/>
              </w:rPr>
              <w:t>Accumulated deficit:</w:t>
            </w:r>
          </w:p>
        </w:tc>
        <w:tc>
          <w:tcPr>
            <w:tcW w:w="0" w:type="auto"/>
            <w:shd w:val="clear" w:color="auto" w:fill="CCFFCC"/>
            <w:vAlign w:val="bottom"/>
            <w:hideMark/>
          </w:tcPr>
          <w:p w:rsidR="00D27E48" w:rsidRDefault="00D27E48">
            <w:pPr>
              <w:jc w:val="right"/>
              <w:rPr>
                <w:rFonts w:eastAsia="Times New Roman"/>
              </w:rPr>
            </w:pPr>
          </w:p>
        </w:tc>
        <w:tc>
          <w:tcPr>
            <w:tcW w:w="0" w:type="auto"/>
            <w:shd w:val="clear" w:color="auto" w:fill="CCFFCC"/>
            <w:vAlign w:val="bottom"/>
            <w:hideMark/>
          </w:tcPr>
          <w:p w:rsidR="00D27E48" w:rsidRDefault="00D27E48">
            <w:pPr>
              <w:jc w:val="right"/>
              <w:rPr>
                <w:rFonts w:eastAsia="Times New Roman"/>
              </w:rPr>
            </w:pP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 </w:t>
            </w:r>
          </w:p>
        </w:tc>
      </w:tr>
      <w:tr w:rsidR="00D27E48">
        <w:trPr>
          <w:tblCellSpacing w:w="15" w:type="dxa"/>
        </w:trPr>
        <w:tc>
          <w:tcPr>
            <w:tcW w:w="0" w:type="auto"/>
            <w:shd w:val="clear" w:color="auto" w:fill="FFFFFF"/>
            <w:vAlign w:val="bottom"/>
            <w:hideMark/>
          </w:tcPr>
          <w:p w:rsidR="00D27E48" w:rsidRDefault="00D27E48">
            <w:pPr>
              <w:rPr>
                <w:rFonts w:eastAsia="Times New Roman"/>
              </w:rPr>
            </w:pPr>
            <w:r>
              <w:rPr>
                <w:rFonts w:eastAsia="Times New Roman"/>
                <w:sz w:val="20"/>
                <w:szCs w:val="20"/>
              </w:rPr>
              <w:t>    Balance at beginning of period</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  (20,718,292)</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  (20,789,074)</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  (20,787,493)</w:t>
            </w:r>
          </w:p>
        </w:tc>
      </w:tr>
      <w:tr w:rsidR="00D27E48">
        <w:trPr>
          <w:tblCellSpacing w:w="15" w:type="dxa"/>
        </w:trPr>
        <w:tc>
          <w:tcPr>
            <w:tcW w:w="0" w:type="auto"/>
            <w:shd w:val="clear" w:color="auto" w:fill="CCFFCC"/>
            <w:vAlign w:val="bottom"/>
            <w:hideMark/>
          </w:tcPr>
          <w:p w:rsidR="00D27E48" w:rsidRDefault="00D27E48">
            <w:pPr>
              <w:rPr>
                <w:rFonts w:eastAsia="Times New Roman"/>
              </w:rPr>
            </w:pPr>
            <w:r>
              <w:rPr>
                <w:rFonts w:eastAsia="Times New Roman"/>
                <w:sz w:val="20"/>
                <w:szCs w:val="20"/>
              </w:rPr>
              <w:t>    Net income (loss) for the period</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(1,563)</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6,922</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69,201</w:t>
            </w:r>
          </w:p>
        </w:tc>
      </w:tr>
      <w:tr w:rsidR="00D27E48">
        <w:trPr>
          <w:tblCellSpacing w:w="15" w:type="dxa"/>
        </w:trPr>
        <w:tc>
          <w:tcPr>
            <w:tcW w:w="0" w:type="auto"/>
            <w:shd w:val="clear" w:color="auto" w:fill="FFFFFF"/>
            <w:vAlign w:val="bottom"/>
            <w:hideMark/>
          </w:tcPr>
          <w:p w:rsidR="00D27E48" w:rsidRDefault="00D27E48">
            <w:pPr>
              <w:rPr>
                <w:rFonts w:eastAsia="Times New Roman"/>
              </w:rPr>
            </w:pPr>
            <w:r>
              <w:rPr>
                <w:rFonts w:eastAsia="Times New Roman"/>
                <w:sz w:val="20"/>
                <w:szCs w:val="20"/>
              </w:rPr>
              <w:t> </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w:t>
            </w:r>
          </w:p>
        </w:tc>
      </w:tr>
      <w:tr w:rsidR="00D27E48">
        <w:trPr>
          <w:tblCellSpacing w:w="15" w:type="dxa"/>
        </w:trPr>
        <w:tc>
          <w:tcPr>
            <w:tcW w:w="0" w:type="auto"/>
            <w:shd w:val="clear" w:color="auto" w:fill="CCFFCC"/>
            <w:vAlign w:val="bottom"/>
            <w:hideMark/>
          </w:tcPr>
          <w:p w:rsidR="00D27E48" w:rsidRDefault="00D27E48">
            <w:pPr>
              <w:rPr>
                <w:rFonts w:eastAsia="Times New Roman"/>
              </w:rPr>
            </w:pPr>
            <w:r>
              <w:rPr>
                <w:rFonts w:eastAsia="Times New Roman"/>
                <w:sz w:val="20"/>
                <w:szCs w:val="20"/>
              </w:rPr>
              <w:t>    Balance at end of period   </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  (20,713,994)</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  (20,782,153)</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  (20,718,292)</w:t>
            </w:r>
          </w:p>
        </w:tc>
      </w:tr>
      <w:tr w:rsidR="00D27E48">
        <w:trPr>
          <w:tblCellSpacing w:w="15" w:type="dxa"/>
        </w:trPr>
        <w:tc>
          <w:tcPr>
            <w:tcW w:w="0" w:type="auto"/>
            <w:shd w:val="clear" w:color="auto" w:fill="FFFFFF"/>
            <w:vAlign w:val="bottom"/>
            <w:hideMark/>
          </w:tcPr>
          <w:p w:rsidR="00D27E48" w:rsidRDefault="00D27E48">
            <w:pPr>
              <w:rPr>
                <w:rFonts w:eastAsia="Times New Roman"/>
              </w:rPr>
            </w:pPr>
          </w:p>
        </w:tc>
        <w:tc>
          <w:tcPr>
            <w:tcW w:w="0" w:type="auto"/>
            <w:shd w:val="clear" w:color="auto" w:fill="FFFFFF"/>
            <w:vAlign w:val="bottom"/>
            <w:hideMark/>
          </w:tcPr>
          <w:p w:rsidR="00D27E48" w:rsidRDefault="00D27E48">
            <w:pPr>
              <w:jc w:val="right"/>
              <w:rPr>
                <w:rFonts w:eastAsia="Times New Roman"/>
              </w:rPr>
            </w:pPr>
          </w:p>
        </w:tc>
        <w:tc>
          <w:tcPr>
            <w:tcW w:w="0" w:type="auto"/>
            <w:shd w:val="clear" w:color="auto" w:fill="FFFFFF"/>
            <w:vAlign w:val="bottom"/>
            <w:hideMark/>
          </w:tcPr>
          <w:p w:rsidR="00D27E48" w:rsidRDefault="00D27E48">
            <w:pPr>
              <w:jc w:val="right"/>
              <w:rPr>
                <w:rFonts w:eastAsia="Times New Roman"/>
              </w:rPr>
            </w:pPr>
          </w:p>
        </w:tc>
        <w:tc>
          <w:tcPr>
            <w:tcW w:w="0" w:type="auto"/>
            <w:shd w:val="clear" w:color="auto" w:fill="FFFFFF"/>
            <w:vAlign w:val="bottom"/>
            <w:hideMark/>
          </w:tcPr>
          <w:p w:rsidR="00D27E48" w:rsidRDefault="00D27E48">
            <w:pPr>
              <w:jc w:val="right"/>
              <w:rPr>
                <w:rFonts w:eastAsia="Times New Roman"/>
              </w:rPr>
            </w:pPr>
          </w:p>
        </w:tc>
      </w:tr>
      <w:tr w:rsidR="00D27E48">
        <w:trPr>
          <w:tblCellSpacing w:w="15" w:type="dxa"/>
        </w:trPr>
        <w:tc>
          <w:tcPr>
            <w:tcW w:w="0" w:type="auto"/>
            <w:shd w:val="clear" w:color="auto" w:fill="CCFFCC"/>
            <w:vAlign w:val="bottom"/>
            <w:hideMark/>
          </w:tcPr>
          <w:p w:rsidR="00D27E48" w:rsidRDefault="00D27E48">
            <w:pPr>
              <w:rPr>
                <w:rFonts w:eastAsia="Times New Roman"/>
              </w:rPr>
            </w:pPr>
            <w:r>
              <w:rPr>
                <w:rFonts w:eastAsia="Times New Roman"/>
                <w:b/>
                <w:bCs/>
                <w:sz w:val="20"/>
                <w:szCs w:val="20"/>
              </w:rPr>
              <w:t>Rounding:</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w:t>
            </w:r>
          </w:p>
        </w:tc>
      </w:tr>
      <w:tr w:rsidR="00D27E48">
        <w:trPr>
          <w:tblCellSpacing w:w="15" w:type="dxa"/>
        </w:trPr>
        <w:tc>
          <w:tcPr>
            <w:tcW w:w="0" w:type="auto"/>
            <w:shd w:val="clear" w:color="auto" w:fill="FFFFFF"/>
            <w:vAlign w:val="bottom"/>
            <w:hideMark/>
          </w:tcPr>
          <w:p w:rsidR="00D27E48" w:rsidRDefault="00D27E48">
            <w:pPr>
              <w:rPr>
                <w:rFonts w:eastAsia="Times New Roman"/>
              </w:rPr>
            </w:pPr>
            <w:r>
              <w:rPr>
                <w:rFonts w:eastAsia="Times New Roman"/>
                <w:sz w:val="20"/>
                <w:szCs w:val="20"/>
              </w:rPr>
              <w:t> </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w:t>
            </w:r>
          </w:p>
        </w:tc>
      </w:tr>
      <w:tr w:rsidR="00D27E48">
        <w:trPr>
          <w:tblCellSpacing w:w="15" w:type="dxa"/>
        </w:trPr>
        <w:tc>
          <w:tcPr>
            <w:tcW w:w="0" w:type="auto"/>
            <w:shd w:val="clear" w:color="auto" w:fill="CCFFCC"/>
            <w:vAlign w:val="bottom"/>
            <w:hideMark/>
          </w:tcPr>
          <w:p w:rsidR="00D27E48" w:rsidRDefault="00D27E48">
            <w:pPr>
              <w:rPr>
                <w:rFonts w:eastAsia="Times New Roman"/>
              </w:rPr>
            </w:pPr>
            <w:r>
              <w:rPr>
                <w:rFonts w:eastAsia="Times New Roman"/>
                <w:b/>
                <w:bCs/>
                <w:sz w:val="20"/>
                <w:szCs w:val="20"/>
              </w:rPr>
              <w:t>Other stockholders' deficiency accounts (no change during period</w:t>
            </w:r>
            <w:r>
              <w:rPr>
                <w:rFonts w:eastAsia="Times New Roman"/>
                <w:sz w:val="20"/>
                <w:szCs w:val="20"/>
              </w:rPr>
              <w:t>)</w:t>
            </w:r>
          </w:p>
        </w:tc>
        <w:tc>
          <w:tcPr>
            <w:tcW w:w="0" w:type="auto"/>
            <w:shd w:val="clear" w:color="auto" w:fill="CCFFCC"/>
            <w:vAlign w:val="bottom"/>
            <w:hideMark/>
          </w:tcPr>
          <w:p w:rsidR="00D27E48" w:rsidRDefault="00D27E48">
            <w:pPr>
              <w:jc w:val="right"/>
              <w:rPr>
                <w:rFonts w:eastAsia="Times New Roman"/>
              </w:rPr>
            </w:pPr>
          </w:p>
        </w:tc>
        <w:tc>
          <w:tcPr>
            <w:tcW w:w="0" w:type="auto"/>
            <w:shd w:val="clear" w:color="auto" w:fill="CCFFCC"/>
            <w:vAlign w:val="bottom"/>
            <w:hideMark/>
          </w:tcPr>
          <w:p w:rsidR="00D27E48" w:rsidRDefault="00D27E48">
            <w:pPr>
              <w:jc w:val="right"/>
              <w:rPr>
                <w:rFonts w:eastAsia="Times New Roman"/>
              </w:rPr>
            </w:pP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 </w:t>
            </w:r>
          </w:p>
        </w:tc>
      </w:tr>
      <w:tr w:rsidR="00D27E48">
        <w:trPr>
          <w:tblCellSpacing w:w="15" w:type="dxa"/>
        </w:trPr>
        <w:tc>
          <w:tcPr>
            <w:tcW w:w="0" w:type="auto"/>
            <w:shd w:val="clear" w:color="auto" w:fill="FFFFFF"/>
            <w:vAlign w:val="bottom"/>
            <w:hideMark/>
          </w:tcPr>
          <w:p w:rsidR="00D27E48" w:rsidRDefault="00D27E48">
            <w:pPr>
              <w:rPr>
                <w:rFonts w:eastAsia="Times New Roman"/>
              </w:rPr>
            </w:pPr>
            <w:r>
              <w:rPr>
                <w:rFonts w:eastAsia="Times New Roman"/>
                <w:sz w:val="20"/>
                <w:szCs w:val="20"/>
              </w:rPr>
              <w:t>    Convertible preferred stock, net of treasury stock (see balance sheet )</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  9,466</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  9,466</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  9,466</w:t>
            </w:r>
          </w:p>
        </w:tc>
      </w:tr>
      <w:tr w:rsidR="00D27E48">
        <w:trPr>
          <w:tblCellSpacing w:w="15" w:type="dxa"/>
        </w:trPr>
        <w:tc>
          <w:tcPr>
            <w:tcW w:w="0" w:type="auto"/>
            <w:shd w:val="clear" w:color="auto" w:fill="CCFFCC"/>
            <w:vAlign w:val="bottom"/>
            <w:hideMark/>
          </w:tcPr>
          <w:p w:rsidR="00D27E48" w:rsidRDefault="00D27E48">
            <w:pPr>
              <w:rPr>
                <w:rFonts w:eastAsia="Times New Roman"/>
              </w:rPr>
            </w:pPr>
            <w:r>
              <w:rPr>
                <w:rFonts w:eastAsia="Times New Roman"/>
                <w:sz w:val="20"/>
                <w:szCs w:val="20"/>
              </w:rPr>
              <w:t> </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w:t>
            </w:r>
          </w:p>
        </w:tc>
      </w:tr>
      <w:tr w:rsidR="00D27E48">
        <w:trPr>
          <w:tblCellSpacing w:w="15" w:type="dxa"/>
        </w:trPr>
        <w:tc>
          <w:tcPr>
            <w:tcW w:w="0" w:type="auto"/>
            <w:shd w:val="clear" w:color="auto" w:fill="FFFFFF"/>
            <w:vAlign w:val="bottom"/>
            <w:hideMark/>
          </w:tcPr>
          <w:p w:rsidR="00D27E48" w:rsidRDefault="00D27E48">
            <w:pPr>
              <w:rPr>
                <w:rFonts w:eastAsia="Times New Roman"/>
              </w:rPr>
            </w:pPr>
            <w:r>
              <w:rPr>
                <w:rFonts w:eastAsia="Times New Roman"/>
                <w:b/>
                <w:bCs/>
                <w:sz w:val="20"/>
                <w:szCs w:val="20"/>
              </w:rPr>
              <w:t>Stockholders' Equity (Deficiency) at end of period</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261,415</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194,818</w:t>
            </w:r>
          </w:p>
        </w:tc>
        <w:tc>
          <w:tcPr>
            <w:tcW w:w="0" w:type="auto"/>
            <w:shd w:val="clear" w:color="auto" w:fill="FFFFFF"/>
            <w:vAlign w:val="bottom"/>
            <w:hideMark/>
          </w:tcPr>
          <w:p w:rsidR="00D27E48" w:rsidRDefault="00D27E48">
            <w:pPr>
              <w:jc w:val="right"/>
              <w:rPr>
                <w:rFonts w:eastAsia="Times New Roman"/>
              </w:rPr>
            </w:pPr>
            <w:r>
              <w:rPr>
                <w:rFonts w:eastAsia="Times New Roman"/>
                <w:sz w:val="20"/>
                <w:szCs w:val="20"/>
              </w:rPr>
              <w:t>258,679</w:t>
            </w:r>
          </w:p>
        </w:tc>
      </w:tr>
      <w:tr w:rsidR="00D27E48">
        <w:trPr>
          <w:tblCellSpacing w:w="15" w:type="dxa"/>
        </w:trPr>
        <w:tc>
          <w:tcPr>
            <w:tcW w:w="0" w:type="auto"/>
            <w:shd w:val="clear" w:color="auto" w:fill="CCFFCC"/>
            <w:vAlign w:val="bottom"/>
            <w:hideMark/>
          </w:tcPr>
          <w:p w:rsidR="00D27E48" w:rsidRDefault="00D27E48">
            <w:pPr>
              <w:rPr>
                <w:rFonts w:eastAsia="Times New Roman"/>
              </w:rPr>
            </w:pPr>
            <w:r>
              <w:rPr>
                <w:rFonts w:eastAsia="Times New Roman"/>
                <w:sz w:val="20"/>
                <w:szCs w:val="20"/>
              </w:rPr>
              <w:t> </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w:t>
            </w:r>
          </w:p>
        </w:tc>
        <w:tc>
          <w:tcPr>
            <w:tcW w:w="0" w:type="auto"/>
            <w:shd w:val="clear" w:color="auto" w:fill="CCFFCC"/>
            <w:vAlign w:val="bottom"/>
            <w:hideMark/>
          </w:tcPr>
          <w:p w:rsidR="00D27E48" w:rsidRDefault="00D27E48">
            <w:pPr>
              <w:jc w:val="right"/>
              <w:rPr>
                <w:rFonts w:eastAsia="Times New Roman"/>
              </w:rPr>
            </w:pPr>
            <w:r>
              <w:rPr>
                <w:rFonts w:eastAsia="Times New Roman"/>
                <w:sz w:val="20"/>
                <w:szCs w:val="20"/>
              </w:rPr>
              <w:t>=============</w:t>
            </w:r>
          </w:p>
        </w:tc>
      </w:tr>
      <w:tr w:rsidR="00D27E48">
        <w:trPr>
          <w:tblCellSpacing w:w="15" w:type="dxa"/>
        </w:trPr>
        <w:tc>
          <w:tcPr>
            <w:tcW w:w="0" w:type="auto"/>
            <w:gridSpan w:val="4"/>
            <w:shd w:val="clear" w:color="auto" w:fill="FFFFFF"/>
            <w:vAlign w:val="bottom"/>
            <w:hideMark/>
          </w:tcPr>
          <w:p w:rsidR="00D27E48" w:rsidRDefault="00D27E48">
            <w:pPr>
              <w:jc w:val="center"/>
              <w:rPr>
                <w:rFonts w:eastAsia="Times New Roman"/>
              </w:rPr>
            </w:pPr>
            <w:r>
              <w:rPr>
                <w:rFonts w:eastAsia="Times New Roman"/>
                <w:b/>
                <w:bCs/>
                <w:sz w:val="20"/>
                <w:szCs w:val="20"/>
              </w:rPr>
              <w:t>See accompanying notes to financial statements.</w:t>
            </w:r>
          </w:p>
        </w:tc>
      </w:tr>
    </w:tbl>
    <w:p w:rsidR="00D27E48" w:rsidRDefault="007E7BD4">
      <w:pPr>
        <w:pStyle w:val="NormalWeb"/>
      </w:pPr>
      <w:hyperlink w:anchor="toc" w:history="1">
        <w:r w:rsidR="00D27E48">
          <w:rPr>
            <w:rStyle w:val="Hyperlink"/>
            <w:b/>
            <w:bCs/>
            <w:sz w:val="20"/>
            <w:szCs w:val="20"/>
          </w:rPr>
          <w:t>Return to Table of Contents</w:t>
        </w:r>
      </w:hyperlink>
    </w:p>
    <w:p w:rsidR="0047090F" w:rsidRDefault="007E7BD4">
      <w:pPr>
        <w:rPr>
          <w:rFonts w:eastAsia="Times New Roman"/>
        </w:rPr>
      </w:pPr>
      <w:r w:rsidRPr="007E7BD4">
        <w:rPr>
          <w:rFonts w:eastAsia="Times New Roman"/>
        </w:rPr>
        <w:pict>
          <v:rect id="_x0000_i1037" style="width:0;height:3pt" o:hralign="center" o:hrstd="t" o:hrnoshade="t" o:hr="t" fillcolor="black" stroked="f"/>
        </w:pict>
      </w:r>
    </w:p>
    <w:p w:rsidR="0047090F" w:rsidRDefault="0047090F">
      <w:pPr>
        <w:rPr>
          <w:rFonts w:eastAsia="Times New Roman"/>
        </w:rPr>
      </w:pPr>
      <w:r>
        <w:rPr>
          <w:rFonts w:eastAsia="Times New Roman"/>
        </w:rPr>
        <w:br w:type="page"/>
      </w:r>
    </w:p>
    <w:tbl>
      <w:tblPr>
        <w:tblW w:w="4500" w:type="pct"/>
        <w:tblCellSpacing w:w="15" w:type="dxa"/>
        <w:tblCellMar>
          <w:left w:w="0" w:type="dxa"/>
          <w:right w:w="0" w:type="dxa"/>
        </w:tblCellMar>
        <w:tblLook w:val="04A0"/>
      </w:tblPr>
      <w:tblGrid>
        <w:gridCol w:w="5802"/>
        <w:gridCol w:w="990"/>
        <w:gridCol w:w="989"/>
        <w:gridCol w:w="989"/>
        <w:gridCol w:w="1004"/>
      </w:tblGrid>
      <w:tr w:rsidR="00D27E48">
        <w:trPr>
          <w:tblCellSpacing w:w="15" w:type="dxa"/>
        </w:trPr>
        <w:tc>
          <w:tcPr>
            <w:tcW w:w="0" w:type="auto"/>
            <w:gridSpan w:val="5"/>
            <w:shd w:val="clear" w:color="auto" w:fill="CCFFCC"/>
            <w:hideMark/>
          </w:tcPr>
          <w:p w:rsidR="00D27E48" w:rsidRDefault="00D27E48">
            <w:pPr>
              <w:pStyle w:val="NormalWeb"/>
              <w:jc w:val="center"/>
            </w:pPr>
            <w:r>
              <w:rPr>
                <w:b/>
                <w:bCs/>
                <w:sz w:val="20"/>
                <w:szCs w:val="20"/>
              </w:rPr>
              <w:lastRenderedPageBreak/>
              <w:t>ADVANCED OXYGEN TECHNOLOGIES, INC.</w:t>
            </w:r>
          </w:p>
        </w:tc>
      </w:tr>
      <w:tr w:rsidR="00D27E48">
        <w:trPr>
          <w:tblCellSpacing w:w="15" w:type="dxa"/>
        </w:trPr>
        <w:tc>
          <w:tcPr>
            <w:tcW w:w="0" w:type="auto"/>
            <w:gridSpan w:val="5"/>
            <w:shd w:val="clear" w:color="auto" w:fill="FFFFFF"/>
            <w:hideMark/>
          </w:tcPr>
          <w:p w:rsidR="00D27E48" w:rsidRDefault="00D27E48">
            <w:pPr>
              <w:jc w:val="center"/>
              <w:rPr>
                <w:rFonts w:eastAsia="Times New Roman"/>
              </w:rPr>
            </w:pPr>
            <w:r>
              <w:rPr>
                <w:rFonts w:eastAsia="Times New Roman"/>
                <w:b/>
                <w:bCs/>
                <w:sz w:val="20"/>
                <w:szCs w:val="20"/>
              </w:rPr>
              <w:t>Consolidated Statement of Cash Flow </w:t>
            </w:r>
          </w:p>
        </w:tc>
      </w:tr>
      <w:tr w:rsidR="00D27E48" w:rsidTr="0047090F">
        <w:trPr>
          <w:tblCellSpacing w:w="15" w:type="dxa"/>
        </w:trPr>
        <w:tc>
          <w:tcPr>
            <w:tcW w:w="2945" w:type="pct"/>
            <w:shd w:val="clear" w:color="auto" w:fill="CCFFCC"/>
            <w:hideMark/>
          </w:tcPr>
          <w:p w:rsidR="00D27E48" w:rsidRDefault="00D27E48">
            <w:pPr>
              <w:rPr>
                <w:rFonts w:eastAsia="Times New Roman"/>
              </w:rPr>
            </w:pPr>
          </w:p>
        </w:tc>
        <w:tc>
          <w:tcPr>
            <w:tcW w:w="491" w:type="pct"/>
            <w:shd w:val="clear" w:color="auto" w:fill="CCFFCC"/>
            <w:hideMark/>
          </w:tcPr>
          <w:p w:rsidR="00D27E48" w:rsidRDefault="00D27E48">
            <w:pPr>
              <w:rPr>
                <w:rFonts w:eastAsia="Times New Roman"/>
              </w:rPr>
            </w:pPr>
          </w:p>
        </w:tc>
        <w:tc>
          <w:tcPr>
            <w:tcW w:w="491" w:type="pct"/>
            <w:shd w:val="clear" w:color="auto" w:fill="CCFFCC"/>
            <w:hideMark/>
          </w:tcPr>
          <w:p w:rsidR="00D27E48" w:rsidRDefault="00D27E48">
            <w:pPr>
              <w:rPr>
                <w:rFonts w:eastAsia="Times New Roman"/>
              </w:rPr>
            </w:pPr>
          </w:p>
        </w:tc>
        <w:tc>
          <w:tcPr>
            <w:tcW w:w="491" w:type="pct"/>
            <w:shd w:val="clear" w:color="auto" w:fill="CCFFCC"/>
            <w:hideMark/>
          </w:tcPr>
          <w:p w:rsidR="00D27E48" w:rsidRDefault="00D27E48">
            <w:pPr>
              <w:rPr>
                <w:rFonts w:eastAsia="Times New Roman"/>
              </w:rPr>
            </w:pPr>
          </w:p>
        </w:tc>
        <w:tc>
          <w:tcPr>
            <w:tcW w:w="491" w:type="pct"/>
            <w:shd w:val="clear" w:color="auto" w:fill="CCFFCC"/>
            <w:hideMark/>
          </w:tcPr>
          <w:p w:rsidR="00D27E48" w:rsidRDefault="00D27E48">
            <w:pPr>
              <w:rPr>
                <w:rFonts w:eastAsia="Times New Roman"/>
              </w:rPr>
            </w:pPr>
          </w:p>
        </w:tc>
      </w:tr>
      <w:tr w:rsidR="00D27E48">
        <w:trPr>
          <w:tblCellSpacing w:w="15" w:type="dxa"/>
        </w:trPr>
        <w:tc>
          <w:tcPr>
            <w:tcW w:w="0" w:type="auto"/>
            <w:shd w:val="clear" w:color="auto" w:fill="FFFFFF"/>
            <w:hideMark/>
          </w:tcPr>
          <w:p w:rsidR="00D27E48" w:rsidRDefault="00D27E48">
            <w:pPr>
              <w:rPr>
                <w:rFonts w:eastAsia="Times New Roman"/>
              </w:rPr>
            </w:pPr>
          </w:p>
        </w:tc>
        <w:tc>
          <w:tcPr>
            <w:tcW w:w="0" w:type="auto"/>
            <w:gridSpan w:val="2"/>
            <w:shd w:val="clear" w:color="auto" w:fill="FFFFFF"/>
            <w:hideMark/>
          </w:tcPr>
          <w:p w:rsidR="00D27E48" w:rsidRDefault="00D27E48">
            <w:pPr>
              <w:pStyle w:val="NormalWeb"/>
              <w:jc w:val="center"/>
            </w:pPr>
            <w:r>
              <w:rPr>
                <w:sz w:val="20"/>
                <w:szCs w:val="20"/>
              </w:rPr>
              <w:t>3 Month Period Ending December 31,</w:t>
            </w:r>
          </w:p>
        </w:tc>
        <w:tc>
          <w:tcPr>
            <w:tcW w:w="0" w:type="auto"/>
            <w:gridSpan w:val="2"/>
            <w:shd w:val="clear" w:color="auto" w:fill="FFFFFF"/>
            <w:hideMark/>
          </w:tcPr>
          <w:p w:rsidR="00D27E48" w:rsidRDefault="00D27E48">
            <w:pPr>
              <w:pStyle w:val="NormalWeb"/>
              <w:jc w:val="center"/>
            </w:pPr>
            <w:r>
              <w:rPr>
                <w:sz w:val="20"/>
                <w:szCs w:val="20"/>
              </w:rPr>
              <w:t>6 Month Period Ending December 31,</w:t>
            </w:r>
          </w:p>
        </w:tc>
      </w:tr>
      <w:tr w:rsidR="00D27E48">
        <w:trPr>
          <w:tblCellSpacing w:w="15" w:type="dxa"/>
        </w:trPr>
        <w:tc>
          <w:tcPr>
            <w:tcW w:w="0" w:type="auto"/>
            <w:shd w:val="clear" w:color="auto" w:fill="CCFFCC"/>
            <w:hideMark/>
          </w:tcPr>
          <w:p w:rsidR="00D27E48" w:rsidRDefault="00D27E48">
            <w:pPr>
              <w:rPr>
                <w:rFonts w:eastAsia="Times New Roman"/>
              </w:rPr>
            </w:pPr>
            <w:r>
              <w:rPr>
                <w:rFonts w:eastAsia="Times New Roman"/>
                <w:sz w:val="20"/>
                <w:szCs w:val="20"/>
              </w:rPr>
              <w:t> </w:t>
            </w:r>
          </w:p>
        </w:tc>
        <w:tc>
          <w:tcPr>
            <w:tcW w:w="0" w:type="auto"/>
            <w:gridSpan w:val="2"/>
            <w:shd w:val="clear" w:color="auto" w:fill="CCFFCC"/>
            <w:hideMark/>
          </w:tcPr>
          <w:p w:rsidR="00D27E48" w:rsidRDefault="00D27E48">
            <w:pPr>
              <w:pStyle w:val="NormalWeb"/>
              <w:jc w:val="center"/>
            </w:pPr>
            <w:r>
              <w:rPr>
                <w:b/>
                <w:bCs/>
                <w:sz w:val="20"/>
                <w:szCs w:val="20"/>
              </w:rPr>
              <w:t xml:space="preserve">(unaudited) </w:t>
            </w:r>
          </w:p>
        </w:tc>
        <w:tc>
          <w:tcPr>
            <w:tcW w:w="0" w:type="auto"/>
            <w:gridSpan w:val="2"/>
            <w:shd w:val="clear" w:color="auto" w:fill="CCFFCC"/>
            <w:hideMark/>
          </w:tcPr>
          <w:p w:rsidR="00D27E48" w:rsidRDefault="00D27E48">
            <w:pPr>
              <w:pStyle w:val="NormalWeb"/>
              <w:jc w:val="center"/>
            </w:pPr>
            <w:r>
              <w:rPr>
                <w:b/>
                <w:bCs/>
                <w:sz w:val="20"/>
                <w:szCs w:val="20"/>
              </w:rPr>
              <w:t xml:space="preserve">(unaudited) </w:t>
            </w:r>
          </w:p>
        </w:tc>
      </w:tr>
      <w:tr w:rsidR="00D27E48">
        <w:trPr>
          <w:tblCellSpacing w:w="15" w:type="dxa"/>
        </w:trPr>
        <w:tc>
          <w:tcPr>
            <w:tcW w:w="0" w:type="auto"/>
            <w:shd w:val="clear" w:color="auto" w:fill="FFFFFF"/>
            <w:hideMark/>
          </w:tcPr>
          <w:p w:rsidR="00D27E48" w:rsidRDefault="00D27E48">
            <w:pPr>
              <w:rPr>
                <w:rFonts w:eastAsia="Times New Roman"/>
              </w:rPr>
            </w:pPr>
            <w:r>
              <w:rPr>
                <w:rFonts w:eastAsia="Times New Roman"/>
                <w:sz w:val="20"/>
                <w:szCs w:val="20"/>
              </w:rPr>
              <w:t> </w:t>
            </w:r>
          </w:p>
        </w:tc>
        <w:tc>
          <w:tcPr>
            <w:tcW w:w="0" w:type="auto"/>
            <w:shd w:val="clear" w:color="auto" w:fill="FFFFFF"/>
            <w:hideMark/>
          </w:tcPr>
          <w:p w:rsidR="00D27E48" w:rsidRDefault="00D27E48">
            <w:pPr>
              <w:pStyle w:val="NormalWeb"/>
              <w:jc w:val="right"/>
            </w:pPr>
            <w:r>
              <w:rPr>
                <w:b/>
                <w:bCs/>
                <w:sz w:val="20"/>
                <w:szCs w:val="20"/>
              </w:rPr>
              <w:t>2011</w:t>
            </w:r>
          </w:p>
        </w:tc>
        <w:tc>
          <w:tcPr>
            <w:tcW w:w="0" w:type="auto"/>
            <w:shd w:val="clear" w:color="auto" w:fill="FFFFFF"/>
            <w:hideMark/>
          </w:tcPr>
          <w:p w:rsidR="00D27E48" w:rsidRDefault="00D27E48">
            <w:pPr>
              <w:pStyle w:val="NormalWeb"/>
              <w:jc w:val="right"/>
            </w:pPr>
            <w:r>
              <w:rPr>
                <w:b/>
                <w:bCs/>
                <w:sz w:val="20"/>
                <w:szCs w:val="20"/>
              </w:rPr>
              <w:t>2010</w:t>
            </w:r>
          </w:p>
        </w:tc>
        <w:tc>
          <w:tcPr>
            <w:tcW w:w="0" w:type="auto"/>
            <w:shd w:val="clear" w:color="auto" w:fill="FFFFFF"/>
            <w:hideMark/>
          </w:tcPr>
          <w:p w:rsidR="00D27E48" w:rsidRDefault="00D27E48">
            <w:pPr>
              <w:pStyle w:val="NormalWeb"/>
              <w:jc w:val="right"/>
            </w:pPr>
            <w:r>
              <w:rPr>
                <w:b/>
                <w:bCs/>
                <w:sz w:val="20"/>
                <w:szCs w:val="20"/>
              </w:rPr>
              <w:t>2011</w:t>
            </w:r>
          </w:p>
        </w:tc>
        <w:tc>
          <w:tcPr>
            <w:tcW w:w="0" w:type="auto"/>
            <w:shd w:val="clear" w:color="auto" w:fill="FFFFFF"/>
            <w:hideMark/>
          </w:tcPr>
          <w:p w:rsidR="00D27E48" w:rsidRDefault="00D27E48">
            <w:pPr>
              <w:pStyle w:val="NormalWeb"/>
              <w:jc w:val="right"/>
            </w:pPr>
            <w:r>
              <w:rPr>
                <w:b/>
                <w:bCs/>
                <w:sz w:val="20"/>
                <w:szCs w:val="20"/>
              </w:rPr>
              <w:t>2010</w:t>
            </w:r>
          </w:p>
        </w:tc>
      </w:tr>
      <w:tr w:rsidR="00D27E48">
        <w:trPr>
          <w:tblCellSpacing w:w="15" w:type="dxa"/>
        </w:trPr>
        <w:tc>
          <w:tcPr>
            <w:tcW w:w="0" w:type="auto"/>
            <w:shd w:val="clear" w:color="auto" w:fill="CCFFCC"/>
            <w:hideMark/>
          </w:tcPr>
          <w:p w:rsidR="00D27E48" w:rsidRDefault="00D27E48">
            <w:pPr>
              <w:rPr>
                <w:rFonts w:eastAsia="Times New Roman"/>
              </w:rPr>
            </w:pPr>
            <w:r>
              <w:rPr>
                <w:rFonts w:eastAsia="Times New Roman"/>
                <w:b/>
                <w:bCs/>
                <w:sz w:val="20"/>
                <w:szCs w:val="20"/>
              </w:rPr>
              <w:t>Cash flow from operating activities</w:t>
            </w: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r>
      <w:tr w:rsidR="00D27E48">
        <w:trPr>
          <w:tblCellSpacing w:w="15" w:type="dxa"/>
        </w:trPr>
        <w:tc>
          <w:tcPr>
            <w:tcW w:w="0" w:type="auto"/>
            <w:shd w:val="clear" w:color="auto" w:fill="FFFFFF"/>
            <w:hideMark/>
          </w:tcPr>
          <w:p w:rsidR="00D27E48" w:rsidRDefault="00D27E48">
            <w:pPr>
              <w:rPr>
                <w:rFonts w:eastAsia="Times New Roman"/>
              </w:rPr>
            </w:pPr>
            <w:r>
              <w:rPr>
                <w:rFonts w:eastAsia="Times New Roman"/>
                <w:sz w:val="20"/>
                <w:szCs w:val="20"/>
              </w:rPr>
              <w:t>Net Income (Loss)</w:t>
            </w:r>
          </w:p>
        </w:tc>
        <w:tc>
          <w:tcPr>
            <w:tcW w:w="0" w:type="auto"/>
            <w:shd w:val="clear" w:color="auto" w:fill="FFFFFF"/>
            <w:hideMark/>
          </w:tcPr>
          <w:p w:rsidR="00D27E48" w:rsidRDefault="00D27E48">
            <w:pPr>
              <w:jc w:val="right"/>
              <w:rPr>
                <w:rFonts w:eastAsia="Times New Roman"/>
              </w:rPr>
            </w:pPr>
            <w:r>
              <w:rPr>
                <w:rFonts w:eastAsia="Times New Roman"/>
                <w:sz w:val="20"/>
                <w:szCs w:val="20"/>
              </w:rPr>
              <w:t>(1,563)</w:t>
            </w:r>
          </w:p>
        </w:tc>
        <w:tc>
          <w:tcPr>
            <w:tcW w:w="0" w:type="auto"/>
            <w:shd w:val="clear" w:color="auto" w:fill="FFFFFF"/>
            <w:hideMark/>
          </w:tcPr>
          <w:p w:rsidR="00D27E48" w:rsidRDefault="00D27E48">
            <w:pPr>
              <w:jc w:val="right"/>
              <w:rPr>
                <w:rFonts w:eastAsia="Times New Roman"/>
              </w:rPr>
            </w:pPr>
            <w:r>
              <w:rPr>
                <w:rFonts w:eastAsia="Times New Roman"/>
                <w:sz w:val="20"/>
                <w:szCs w:val="20"/>
              </w:rPr>
              <w:t>6,922</w:t>
            </w:r>
          </w:p>
        </w:tc>
        <w:tc>
          <w:tcPr>
            <w:tcW w:w="0" w:type="auto"/>
            <w:shd w:val="clear" w:color="auto" w:fill="FFFFFF"/>
            <w:hideMark/>
          </w:tcPr>
          <w:p w:rsidR="00D27E48" w:rsidRDefault="00D27E48">
            <w:pPr>
              <w:jc w:val="right"/>
              <w:rPr>
                <w:rFonts w:eastAsia="Times New Roman"/>
              </w:rPr>
            </w:pPr>
            <w:r>
              <w:rPr>
                <w:rFonts w:eastAsia="Times New Roman"/>
                <w:sz w:val="20"/>
                <w:szCs w:val="20"/>
              </w:rPr>
              <w:t>2,736</w:t>
            </w:r>
          </w:p>
        </w:tc>
        <w:tc>
          <w:tcPr>
            <w:tcW w:w="0" w:type="auto"/>
            <w:shd w:val="clear" w:color="auto" w:fill="FFFFFF"/>
            <w:hideMark/>
          </w:tcPr>
          <w:p w:rsidR="00D27E48" w:rsidRDefault="00D27E48">
            <w:pPr>
              <w:jc w:val="right"/>
              <w:rPr>
                <w:rFonts w:eastAsia="Times New Roman"/>
              </w:rPr>
            </w:pPr>
            <w:r>
              <w:rPr>
                <w:rFonts w:eastAsia="Times New Roman"/>
                <w:sz w:val="20"/>
                <w:szCs w:val="20"/>
              </w:rPr>
              <w:t>5,339</w:t>
            </w:r>
          </w:p>
        </w:tc>
      </w:tr>
      <w:tr w:rsidR="00D27E48">
        <w:trPr>
          <w:tblCellSpacing w:w="15" w:type="dxa"/>
        </w:trPr>
        <w:tc>
          <w:tcPr>
            <w:tcW w:w="0" w:type="auto"/>
            <w:shd w:val="clear" w:color="auto" w:fill="CCFFCC"/>
            <w:hideMark/>
          </w:tcPr>
          <w:p w:rsidR="00D27E48" w:rsidRDefault="00D27E48">
            <w:pPr>
              <w:rPr>
                <w:rFonts w:eastAsia="Times New Roman"/>
              </w:rPr>
            </w:pPr>
            <w:r>
              <w:rPr>
                <w:rFonts w:eastAsia="Times New Roman"/>
                <w:sz w:val="20"/>
                <w:szCs w:val="20"/>
              </w:rPr>
              <w:t> </w:t>
            </w: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r>
      <w:tr w:rsidR="00D27E48">
        <w:trPr>
          <w:tblCellSpacing w:w="15" w:type="dxa"/>
        </w:trPr>
        <w:tc>
          <w:tcPr>
            <w:tcW w:w="0" w:type="auto"/>
            <w:shd w:val="clear" w:color="auto" w:fill="FFFFFF"/>
            <w:hideMark/>
          </w:tcPr>
          <w:p w:rsidR="00D27E48" w:rsidRDefault="00D27E48">
            <w:pPr>
              <w:rPr>
                <w:rFonts w:eastAsia="Times New Roman"/>
              </w:rPr>
            </w:pPr>
            <w:r>
              <w:rPr>
                <w:rFonts w:eastAsia="Times New Roman"/>
                <w:sz w:val="20"/>
                <w:szCs w:val="20"/>
              </w:rPr>
              <w:t>Adjustments to reconcile net loss to cash provided by operations</w:t>
            </w:r>
          </w:p>
        </w:tc>
        <w:tc>
          <w:tcPr>
            <w:tcW w:w="0" w:type="auto"/>
            <w:shd w:val="clear" w:color="auto" w:fill="FFFFFF"/>
            <w:hideMark/>
          </w:tcPr>
          <w:p w:rsidR="00D27E48" w:rsidRDefault="00D27E48">
            <w:pPr>
              <w:jc w:val="right"/>
              <w:rPr>
                <w:rFonts w:eastAsia="Times New Roman"/>
              </w:rPr>
            </w:pPr>
          </w:p>
        </w:tc>
        <w:tc>
          <w:tcPr>
            <w:tcW w:w="0" w:type="auto"/>
            <w:shd w:val="clear" w:color="auto" w:fill="FFFFFF"/>
            <w:hideMark/>
          </w:tcPr>
          <w:p w:rsidR="00D27E48" w:rsidRDefault="00D27E48">
            <w:pPr>
              <w:jc w:val="right"/>
              <w:rPr>
                <w:rFonts w:eastAsia="Times New Roman"/>
              </w:rPr>
            </w:pPr>
          </w:p>
        </w:tc>
        <w:tc>
          <w:tcPr>
            <w:tcW w:w="0" w:type="auto"/>
            <w:shd w:val="clear" w:color="auto" w:fill="FFFFFF"/>
            <w:hideMark/>
          </w:tcPr>
          <w:p w:rsidR="00D27E48" w:rsidRDefault="00D27E48">
            <w:pPr>
              <w:jc w:val="right"/>
              <w:rPr>
                <w:rFonts w:eastAsia="Times New Roman"/>
              </w:rPr>
            </w:pPr>
          </w:p>
        </w:tc>
        <w:tc>
          <w:tcPr>
            <w:tcW w:w="0" w:type="auto"/>
            <w:shd w:val="clear" w:color="auto" w:fill="FFFFFF"/>
            <w:hideMark/>
          </w:tcPr>
          <w:p w:rsidR="00D27E48" w:rsidRDefault="00D27E48">
            <w:pPr>
              <w:jc w:val="right"/>
              <w:rPr>
                <w:rFonts w:eastAsia="Times New Roman"/>
              </w:rPr>
            </w:pPr>
          </w:p>
        </w:tc>
      </w:tr>
      <w:tr w:rsidR="00D27E48">
        <w:trPr>
          <w:tblCellSpacing w:w="15" w:type="dxa"/>
        </w:trPr>
        <w:tc>
          <w:tcPr>
            <w:tcW w:w="0" w:type="auto"/>
            <w:shd w:val="clear" w:color="auto" w:fill="CCFFCC"/>
            <w:hideMark/>
          </w:tcPr>
          <w:p w:rsidR="00D27E48" w:rsidRDefault="00D27E48">
            <w:pPr>
              <w:rPr>
                <w:rFonts w:eastAsia="Times New Roman"/>
              </w:rPr>
            </w:pPr>
            <w:r>
              <w:rPr>
                <w:rFonts w:eastAsia="Times New Roman"/>
                <w:sz w:val="20"/>
                <w:szCs w:val="20"/>
              </w:rPr>
              <w:t>Accounts Receivable &amp; Value Added Tax Receivable</w:t>
            </w:r>
          </w:p>
        </w:tc>
        <w:tc>
          <w:tcPr>
            <w:tcW w:w="0" w:type="auto"/>
            <w:shd w:val="clear" w:color="auto" w:fill="CCFFCC"/>
            <w:hideMark/>
          </w:tcPr>
          <w:p w:rsidR="00D27E48" w:rsidRDefault="00D27E48">
            <w:pPr>
              <w:jc w:val="right"/>
              <w:rPr>
                <w:rFonts w:eastAsia="Times New Roman"/>
              </w:rPr>
            </w:pPr>
            <w:r>
              <w:rPr>
                <w:rFonts w:eastAsia="Times New Roman"/>
                <w:sz w:val="20"/>
                <w:szCs w:val="20"/>
              </w:rPr>
              <w:t>-</w:t>
            </w:r>
          </w:p>
        </w:tc>
        <w:tc>
          <w:tcPr>
            <w:tcW w:w="0" w:type="auto"/>
            <w:shd w:val="clear" w:color="auto" w:fill="CCFFCC"/>
            <w:hideMark/>
          </w:tcPr>
          <w:p w:rsidR="00D27E48" w:rsidRDefault="00D27E48">
            <w:pPr>
              <w:jc w:val="right"/>
              <w:rPr>
                <w:rFonts w:eastAsia="Times New Roman"/>
              </w:rPr>
            </w:pPr>
            <w:r>
              <w:rPr>
                <w:rFonts w:eastAsia="Times New Roman"/>
                <w:sz w:val="20"/>
                <w:szCs w:val="20"/>
              </w:rPr>
              <w:t>-</w:t>
            </w:r>
          </w:p>
        </w:tc>
        <w:tc>
          <w:tcPr>
            <w:tcW w:w="0" w:type="auto"/>
            <w:shd w:val="clear" w:color="auto" w:fill="CCFFCC"/>
            <w:hideMark/>
          </w:tcPr>
          <w:p w:rsidR="00D27E48" w:rsidRDefault="00D27E48">
            <w:pPr>
              <w:jc w:val="right"/>
              <w:rPr>
                <w:rFonts w:eastAsia="Times New Roman"/>
              </w:rPr>
            </w:pPr>
            <w:r>
              <w:rPr>
                <w:rFonts w:eastAsia="Times New Roman"/>
                <w:sz w:val="20"/>
                <w:szCs w:val="20"/>
              </w:rPr>
              <w:t>7,547</w:t>
            </w:r>
          </w:p>
        </w:tc>
        <w:tc>
          <w:tcPr>
            <w:tcW w:w="0" w:type="auto"/>
            <w:shd w:val="clear" w:color="auto" w:fill="CCFFCC"/>
            <w:hideMark/>
          </w:tcPr>
          <w:p w:rsidR="00D27E48" w:rsidRDefault="00D27E48">
            <w:pPr>
              <w:jc w:val="right"/>
              <w:rPr>
                <w:rFonts w:eastAsia="Times New Roman"/>
              </w:rPr>
            </w:pPr>
            <w:r>
              <w:rPr>
                <w:rFonts w:eastAsia="Times New Roman"/>
                <w:sz w:val="20"/>
                <w:szCs w:val="20"/>
              </w:rPr>
              <w:t>-</w:t>
            </w:r>
          </w:p>
        </w:tc>
      </w:tr>
      <w:tr w:rsidR="00D27E48">
        <w:trPr>
          <w:tblCellSpacing w:w="15" w:type="dxa"/>
        </w:trPr>
        <w:tc>
          <w:tcPr>
            <w:tcW w:w="0" w:type="auto"/>
            <w:shd w:val="clear" w:color="auto" w:fill="FFFFFF"/>
            <w:hideMark/>
          </w:tcPr>
          <w:p w:rsidR="00D27E48" w:rsidRDefault="00D27E48">
            <w:pPr>
              <w:rPr>
                <w:rFonts w:eastAsia="Times New Roman"/>
              </w:rPr>
            </w:pPr>
            <w:r>
              <w:rPr>
                <w:rFonts w:eastAsia="Times New Roman"/>
                <w:sz w:val="20"/>
                <w:szCs w:val="20"/>
              </w:rPr>
              <w:t>Accounts Payable and Accrued Expenses</w:t>
            </w:r>
          </w:p>
        </w:tc>
        <w:tc>
          <w:tcPr>
            <w:tcW w:w="0" w:type="auto"/>
            <w:shd w:val="clear" w:color="auto" w:fill="FFFFFF"/>
            <w:hideMark/>
          </w:tcPr>
          <w:p w:rsidR="00D27E48" w:rsidRDefault="00D27E48">
            <w:pPr>
              <w:jc w:val="right"/>
              <w:rPr>
                <w:rFonts w:eastAsia="Times New Roman"/>
              </w:rPr>
            </w:pPr>
            <w:r>
              <w:rPr>
                <w:rFonts w:eastAsia="Times New Roman"/>
                <w:sz w:val="20"/>
                <w:szCs w:val="20"/>
              </w:rPr>
              <w:t>7,547</w:t>
            </w:r>
          </w:p>
        </w:tc>
        <w:tc>
          <w:tcPr>
            <w:tcW w:w="0" w:type="auto"/>
            <w:shd w:val="clear" w:color="auto" w:fill="FFFFFF"/>
            <w:hideMark/>
          </w:tcPr>
          <w:p w:rsidR="00D27E48" w:rsidRDefault="00D27E48">
            <w:pPr>
              <w:jc w:val="right"/>
              <w:rPr>
                <w:rFonts w:eastAsia="Times New Roman"/>
              </w:rPr>
            </w:pPr>
            <w:r>
              <w:rPr>
                <w:rFonts w:eastAsia="Times New Roman"/>
                <w:sz w:val="20"/>
                <w:szCs w:val="20"/>
              </w:rPr>
              <w:t>-</w:t>
            </w:r>
          </w:p>
        </w:tc>
        <w:tc>
          <w:tcPr>
            <w:tcW w:w="0" w:type="auto"/>
            <w:shd w:val="clear" w:color="auto" w:fill="FFFFFF"/>
            <w:hideMark/>
          </w:tcPr>
          <w:p w:rsidR="00D27E48" w:rsidRDefault="00D27E48">
            <w:pPr>
              <w:jc w:val="right"/>
              <w:rPr>
                <w:rFonts w:eastAsia="Times New Roman"/>
              </w:rPr>
            </w:pPr>
            <w:r>
              <w:rPr>
                <w:rFonts w:eastAsia="Times New Roman"/>
                <w:sz w:val="20"/>
                <w:szCs w:val="20"/>
              </w:rPr>
              <w:t>7,547</w:t>
            </w:r>
          </w:p>
        </w:tc>
        <w:tc>
          <w:tcPr>
            <w:tcW w:w="0" w:type="auto"/>
            <w:shd w:val="clear" w:color="auto" w:fill="FFFFFF"/>
            <w:hideMark/>
          </w:tcPr>
          <w:p w:rsidR="00D27E48" w:rsidRDefault="00D27E48">
            <w:pPr>
              <w:jc w:val="right"/>
              <w:rPr>
                <w:rFonts w:eastAsia="Times New Roman"/>
              </w:rPr>
            </w:pPr>
            <w:r>
              <w:rPr>
                <w:rFonts w:eastAsia="Times New Roman"/>
                <w:sz w:val="20"/>
                <w:szCs w:val="20"/>
              </w:rPr>
              <w:t>(568)</w:t>
            </w:r>
          </w:p>
        </w:tc>
      </w:tr>
      <w:tr w:rsidR="00D27E48">
        <w:trPr>
          <w:tblCellSpacing w:w="15" w:type="dxa"/>
        </w:trPr>
        <w:tc>
          <w:tcPr>
            <w:tcW w:w="0" w:type="auto"/>
            <w:shd w:val="clear" w:color="auto" w:fill="CCFFCC"/>
            <w:hideMark/>
          </w:tcPr>
          <w:p w:rsidR="00D27E48" w:rsidRDefault="00D27E48">
            <w:pPr>
              <w:rPr>
                <w:rFonts w:eastAsia="Times New Roman"/>
              </w:rPr>
            </w:pPr>
            <w:r>
              <w:rPr>
                <w:rFonts w:eastAsia="Times New Roman"/>
                <w:sz w:val="20"/>
                <w:szCs w:val="20"/>
              </w:rPr>
              <w:t>Taxes Payable</w:t>
            </w:r>
          </w:p>
        </w:tc>
        <w:tc>
          <w:tcPr>
            <w:tcW w:w="0" w:type="auto"/>
            <w:shd w:val="clear" w:color="auto" w:fill="CCFFCC"/>
            <w:hideMark/>
          </w:tcPr>
          <w:p w:rsidR="00D27E48" w:rsidRDefault="00D27E48">
            <w:pPr>
              <w:jc w:val="right"/>
              <w:rPr>
                <w:rFonts w:eastAsia="Times New Roman"/>
              </w:rPr>
            </w:pPr>
            <w:r>
              <w:rPr>
                <w:rFonts w:eastAsia="Times New Roman"/>
                <w:sz w:val="20"/>
                <w:szCs w:val="20"/>
              </w:rPr>
              <w:t>(2,998)</w:t>
            </w:r>
          </w:p>
        </w:tc>
        <w:tc>
          <w:tcPr>
            <w:tcW w:w="0" w:type="auto"/>
            <w:shd w:val="clear" w:color="auto" w:fill="CCFFCC"/>
            <w:hideMark/>
          </w:tcPr>
          <w:p w:rsidR="00D27E48" w:rsidRDefault="00D27E48">
            <w:pPr>
              <w:jc w:val="right"/>
              <w:rPr>
                <w:rFonts w:eastAsia="Times New Roman"/>
              </w:rPr>
            </w:pPr>
            <w:r>
              <w:rPr>
                <w:rFonts w:eastAsia="Times New Roman"/>
                <w:sz w:val="20"/>
                <w:szCs w:val="20"/>
              </w:rPr>
              <w:t>(1,929)</w:t>
            </w:r>
          </w:p>
        </w:tc>
        <w:tc>
          <w:tcPr>
            <w:tcW w:w="0" w:type="auto"/>
            <w:shd w:val="clear" w:color="auto" w:fill="CCFFCC"/>
            <w:hideMark/>
          </w:tcPr>
          <w:p w:rsidR="00D27E48" w:rsidRDefault="00D27E48">
            <w:pPr>
              <w:jc w:val="right"/>
              <w:rPr>
                <w:rFonts w:eastAsia="Times New Roman"/>
              </w:rPr>
            </w:pPr>
            <w:r>
              <w:rPr>
                <w:rFonts w:eastAsia="Times New Roman"/>
                <w:sz w:val="20"/>
                <w:szCs w:val="20"/>
              </w:rPr>
              <w:t>(5,380)</w:t>
            </w:r>
          </w:p>
        </w:tc>
        <w:tc>
          <w:tcPr>
            <w:tcW w:w="0" w:type="auto"/>
            <w:shd w:val="clear" w:color="auto" w:fill="CCFFCC"/>
            <w:hideMark/>
          </w:tcPr>
          <w:p w:rsidR="00D27E48" w:rsidRDefault="00D27E48">
            <w:pPr>
              <w:jc w:val="right"/>
              <w:rPr>
                <w:rFonts w:eastAsia="Times New Roman"/>
              </w:rPr>
            </w:pPr>
            <w:r>
              <w:rPr>
                <w:rFonts w:eastAsia="Times New Roman"/>
                <w:sz w:val="20"/>
                <w:szCs w:val="20"/>
              </w:rPr>
              <w:t>(2,089)</w:t>
            </w:r>
          </w:p>
        </w:tc>
      </w:tr>
      <w:tr w:rsidR="00D27E48">
        <w:trPr>
          <w:tblCellSpacing w:w="15" w:type="dxa"/>
        </w:trPr>
        <w:tc>
          <w:tcPr>
            <w:tcW w:w="0" w:type="auto"/>
            <w:shd w:val="clear" w:color="auto" w:fill="FFFFFF"/>
            <w:hideMark/>
          </w:tcPr>
          <w:p w:rsidR="00D27E48" w:rsidRDefault="00D27E48">
            <w:pPr>
              <w:rPr>
                <w:rFonts w:eastAsia="Times New Roman"/>
              </w:rPr>
            </w:pPr>
            <w:r>
              <w:rPr>
                <w:rFonts w:eastAsia="Times New Roman"/>
                <w:sz w:val="20"/>
                <w:szCs w:val="20"/>
              </w:rPr>
              <w:t>Current Portion of Long Term Debt</w:t>
            </w:r>
          </w:p>
        </w:tc>
        <w:tc>
          <w:tcPr>
            <w:tcW w:w="0" w:type="auto"/>
            <w:shd w:val="clear" w:color="auto" w:fill="FFFFFF"/>
            <w:hideMark/>
          </w:tcPr>
          <w:p w:rsidR="00D27E48" w:rsidRDefault="00D27E48">
            <w:pPr>
              <w:jc w:val="right"/>
              <w:rPr>
                <w:rFonts w:eastAsia="Times New Roman"/>
              </w:rPr>
            </w:pPr>
            <w:r>
              <w:rPr>
                <w:rFonts w:eastAsia="Times New Roman"/>
                <w:sz w:val="20"/>
                <w:szCs w:val="20"/>
              </w:rPr>
              <w:t>(29.089)</w:t>
            </w:r>
          </w:p>
        </w:tc>
        <w:tc>
          <w:tcPr>
            <w:tcW w:w="0" w:type="auto"/>
            <w:shd w:val="clear" w:color="auto" w:fill="FFFFFF"/>
            <w:hideMark/>
          </w:tcPr>
          <w:p w:rsidR="00D27E48" w:rsidRDefault="00D27E48">
            <w:pPr>
              <w:jc w:val="right"/>
              <w:rPr>
                <w:rFonts w:eastAsia="Times New Roman"/>
              </w:rPr>
            </w:pPr>
            <w:r>
              <w:rPr>
                <w:rFonts w:eastAsia="Times New Roman"/>
                <w:sz w:val="20"/>
                <w:szCs w:val="20"/>
              </w:rPr>
              <w:t>-</w:t>
            </w:r>
          </w:p>
        </w:tc>
        <w:tc>
          <w:tcPr>
            <w:tcW w:w="0" w:type="auto"/>
            <w:shd w:val="clear" w:color="auto" w:fill="FFFFFF"/>
            <w:hideMark/>
          </w:tcPr>
          <w:p w:rsidR="00D27E48" w:rsidRDefault="00D27E48">
            <w:pPr>
              <w:jc w:val="right"/>
              <w:rPr>
                <w:rFonts w:eastAsia="Times New Roman"/>
              </w:rPr>
            </w:pPr>
            <w:r>
              <w:rPr>
                <w:rFonts w:eastAsia="Times New Roman"/>
                <w:sz w:val="20"/>
                <w:szCs w:val="20"/>
              </w:rPr>
              <w:t>(27,802)</w:t>
            </w:r>
          </w:p>
        </w:tc>
        <w:tc>
          <w:tcPr>
            <w:tcW w:w="0" w:type="auto"/>
            <w:shd w:val="clear" w:color="auto" w:fill="FFFFFF"/>
            <w:hideMark/>
          </w:tcPr>
          <w:p w:rsidR="00D27E48" w:rsidRDefault="00D27E48">
            <w:pPr>
              <w:jc w:val="right"/>
              <w:rPr>
                <w:rFonts w:eastAsia="Times New Roman"/>
              </w:rPr>
            </w:pPr>
            <w:r>
              <w:rPr>
                <w:rFonts w:eastAsia="Times New Roman"/>
                <w:sz w:val="20"/>
                <w:szCs w:val="20"/>
              </w:rPr>
              <w:t>-</w:t>
            </w:r>
          </w:p>
        </w:tc>
      </w:tr>
      <w:tr w:rsidR="00D27E48">
        <w:trPr>
          <w:tblCellSpacing w:w="15" w:type="dxa"/>
        </w:trPr>
        <w:tc>
          <w:tcPr>
            <w:tcW w:w="0" w:type="auto"/>
            <w:shd w:val="clear" w:color="auto" w:fill="CCFFCC"/>
            <w:hideMark/>
          </w:tcPr>
          <w:p w:rsidR="00D27E48" w:rsidRDefault="00D27E48">
            <w:pPr>
              <w:rPr>
                <w:rFonts w:eastAsia="Times New Roman"/>
              </w:rPr>
            </w:pPr>
            <w:r>
              <w:rPr>
                <w:rFonts w:eastAsia="Times New Roman"/>
                <w:sz w:val="20"/>
                <w:szCs w:val="20"/>
              </w:rPr>
              <w:t>Total Adjustments</w:t>
            </w:r>
          </w:p>
        </w:tc>
        <w:tc>
          <w:tcPr>
            <w:tcW w:w="0" w:type="auto"/>
            <w:shd w:val="clear" w:color="auto" w:fill="CCFFCC"/>
            <w:hideMark/>
          </w:tcPr>
          <w:p w:rsidR="00D27E48" w:rsidRDefault="00D27E48">
            <w:pPr>
              <w:jc w:val="right"/>
              <w:rPr>
                <w:rFonts w:eastAsia="Times New Roman"/>
              </w:rPr>
            </w:pPr>
            <w:r>
              <w:rPr>
                <w:rFonts w:eastAsia="Times New Roman"/>
                <w:sz w:val="20"/>
                <w:szCs w:val="20"/>
              </w:rPr>
              <w:t>(24,540)</w:t>
            </w:r>
          </w:p>
        </w:tc>
        <w:tc>
          <w:tcPr>
            <w:tcW w:w="0" w:type="auto"/>
            <w:shd w:val="clear" w:color="auto" w:fill="CCFFCC"/>
            <w:hideMark/>
          </w:tcPr>
          <w:p w:rsidR="00D27E48" w:rsidRDefault="00D27E48">
            <w:pPr>
              <w:jc w:val="right"/>
              <w:rPr>
                <w:rFonts w:eastAsia="Times New Roman"/>
              </w:rPr>
            </w:pPr>
            <w:r>
              <w:rPr>
                <w:rFonts w:eastAsia="Times New Roman"/>
                <w:sz w:val="20"/>
                <w:szCs w:val="20"/>
              </w:rPr>
              <w:t>(1,929)</w:t>
            </w:r>
          </w:p>
        </w:tc>
        <w:tc>
          <w:tcPr>
            <w:tcW w:w="0" w:type="auto"/>
            <w:shd w:val="clear" w:color="auto" w:fill="CCFFCC"/>
            <w:hideMark/>
          </w:tcPr>
          <w:p w:rsidR="00D27E48" w:rsidRDefault="00D27E48">
            <w:pPr>
              <w:jc w:val="right"/>
              <w:rPr>
                <w:rFonts w:eastAsia="Times New Roman"/>
              </w:rPr>
            </w:pPr>
            <w:r>
              <w:rPr>
                <w:rFonts w:eastAsia="Times New Roman"/>
                <w:sz w:val="20"/>
                <w:szCs w:val="20"/>
              </w:rPr>
              <w:t>(18,088)</w:t>
            </w:r>
          </w:p>
        </w:tc>
        <w:tc>
          <w:tcPr>
            <w:tcW w:w="0" w:type="auto"/>
            <w:shd w:val="clear" w:color="auto" w:fill="CCFFCC"/>
            <w:hideMark/>
          </w:tcPr>
          <w:p w:rsidR="00D27E48" w:rsidRDefault="00D27E48">
            <w:pPr>
              <w:jc w:val="right"/>
              <w:rPr>
                <w:rFonts w:eastAsia="Times New Roman"/>
              </w:rPr>
            </w:pPr>
            <w:r>
              <w:rPr>
                <w:rFonts w:eastAsia="Times New Roman"/>
                <w:sz w:val="20"/>
                <w:szCs w:val="20"/>
              </w:rPr>
              <w:t>(2,657)</w:t>
            </w:r>
          </w:p>
        </w:tc>
      </w:tr>
      <w:tr w:rsidR="00D27E48">
        <w:trPr>
          <w:tblCellSpacing w:w="15" w:type="dxa"/>
        </w:trPr>
        <w:tc>
          <w:tcPr>
            <w:tcW w:w="0" w:type="auto"/>
            <w:shd w:val="clear" w:color="auto" w:fill="CCFFCC"/>
            <w:hideMark/>
          </w:tcPr>
          <w:p w:rsidR="00D27E48" w:rsidRDefault="00D27E48">
            <w:pPr>
              <w:rPr>
                <w:rFonts w:eastAsia="Times New Roman"/>
              </w:rPr>
            </w:pP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r>
      <w:tr w:rsidR="00D27E48">
        <w:trPr>
          <w:tblCellSpacing w:w="15" w:type="dxa"/>
        </w:trPr>
        <w:tc>
          <w:tcPr>
            <w:tcW w:w="0" w:type="auto"/>
            <w:shd w:val="clear" w:color="auto" w:fill="FFFFFF"/>
            <w:hideMark/>
          </w:tcPr>
          <w:p w:rsidR="00D27E48" w:rsidRDefault="00D27E48">
            <w:pPr>
              <w:rPr>
                <w:rFonts w:eastAsia="Times New Roman"/>
              </w:rPr>
            </w:pPr>
            <w:r>
              <w:rPr>
                <w:rFonts w:eastAsia="Times New Roman"/>
                <w:sz w:val="20"/>
                <w:szCs w:val="20"/>
              </w:rPr>
              <w:t>Net Cash provided (used) by operations</w:t>
            </w:r>
          </w:p>
        </w:tc>
        <w:tc>
          <w:tcPr>
            <w:tcW w:w="0" w:type="auto"/>
            <w:shd w:val="clear" w:color="auto" w:fill="FFFFFF"/>
            <w:hideMark/>
          </w:tcPr>
          <w:p w:rsidR="00D27E48" w:rsidRDefault="00D27E48">
            <w:pPr>
              <w:jc w:val="right"/>
              <w:rPr>
                <w:rFonts w:eastAsia="Times New Roman"/>
              </w:rPr>
            </w:pPr>
            <w:r>
              <w:rPr>
                <w:rFonts w:eastAsia="Times New Roman"/>
                <w:sz w:val="20"/>
                <w:szCs w:val="20"/>
              </w:rPr>
              <w:t>(26,103)</w:t>
            </w:r>
          </w:p>
        </w:tc>
        <w:tc>
          <w:tcPr>
            <w:tcW w:w="0" w:type="auto"/>
            <w:shd w:val="clear" w:color="auto" w:fill="FFFFFF"/>
            <w:hideMark/>
          </w:tcPr>
          <w:p w:rsidR="00D27E48" w:rsidRDefault="00D27E48">
            <w:pPr>
              <w:jc w:val="right"/>
              <w:rPr>
                <w:rFonts w:eastAsia="Times New Roman"/>
              </w:rPr>
            </w:pPr>
            <w:r>
              <w:rPr>
                <w:rFonts w:eastAsia="Times New Roman"/>
                <w:sz w:val="20"/>
                <w:szCs w:val="20"/>
              </w:rPr>
              <w:t>4,993</w:t>
            </w:r>
          </w:p>
        </w:tc>
        <w:tc>
          <w:tcPr>
            <w:tcW w:w="0" w:type="auto"/>
            <w:shd w:val="clear" w:color="auto" w:fill="FFFFFF"/>
            <w:hideMark/>
          </w:tcPr>
          <w:p w:rsidR="00D27E48" w:rsidRDefault="00D27E48">
            <w:pPr>
              <w:jc w:val="right"/>
              <w:rPr>
                <w:rFonts w:eastAsia="Times New Roman"/>
              </w:rPr>
            </w:pPr>
            <w:r>
              <w:rPr>
                <w:rFonts w:eastAsia="Times New Roman"/>
                <w:sz w:val="20"/>
                <w:szCs w:val="20"/>
              </w:rPr>
              <w:t>(15,352)</w:t>
            </w:r>
          </w:p>
        </w:tc>
        <w:tc>
          <w:tcPr>
            <w:tcW w:w="0" w:type="auto"/>
            <w:shd w:val="clear" w:color="auto" w:fill="FFFFFF"/>
            <w:hideMark/>
          </w:tcPr>
          <w:p w:rsidR="00D27E48" w:rsidRDefault="00D27E48">
            <w:pPr>
              <w:jc w:val="right"/>
              <w:rPr>
                <w:rFonts w:eastAsia="Times New Roman"/>
              </w:rPr>
            </w:pPr>
            <w:r>
              <w:rPr>
                <w:rFonts w:eastAsia="Times New Roman"/>
                <w:sz w:val="20"/>
                <w:szCs w:val="20"/>
              </w:rPr>
              <w:t>2,682</w:t>
            </w:r>
          </w:p>
        </w:tc>
      </w:tr>
      <w:tr w:rsidR="00D27E48">
        <w:trPr>
          <w:tblCellSpacing w:w="15" w:type="dxa"/>
        </w:trPr>
        <w:tc>
          <w:tcPr>
            <w:tcW w:w="0" w:type="auto"/>
            <w:shd w:val="clear" w:color="auto" w:fill="CCFFCC"/>
            <w:hideMark/>
          </w:tcPr>
          <w:p w:rsidR="00D27E48" w:rsidRDefault="00D27E48">
            <w:pPr>
              <w:rPr>
                <w:rFonts w:eastAsia="Times New Roman"/>
              </w:rPr>
            </w:pPr>
            <w:r>
              <w:rPr>
                <w:rFonts w:eastAsia="Times New Roman"/>
                <w:sz w:val="20"/>
                <w:szCs w:val="20"/>
              </w:rPr>
              <w:t> </w:t>
            </w: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r>
      <w:tr w:rsidR="00D27E48">
        <w:trPr>
          <w:tblCellSpacing w:w="15" w:type="dxa"/>
        </w:trPr>
        <w:tc>
          <w:tcPr>
            <w:tcW w:w="0" w:type="auto"/>
            <w:shd w:val="clear" w:color="auto" w:fill="FFFFFF"/>
            <w:hideMark/>
          </w:tcPr>
          <w:p w:rsidR="00D27E48" w:rsidRDefault="00D27E48">
            <w:pPr>
              <w:rPr>
                <w:rFonts w:eastAsia="Times New Roman"/>
              </w:rPr>
            </w:pPr>
            <w:r>
              <w:rPr>
                <w:rFonts w:eastAsia="Times New Roman"/>
                <w:b/>
                <w:bCs/>
                <w:sz w:val="20"/>
                <w:szCs w:val="20"/>
              </w:rPr>
              <w:t>Cash Flows from financing activities:</w:t>
            </w:r>
          </w:p>
        </w:tc>
        <w:tc>
          <w:tcPr>
            <w:tcW w:w="0" w:type="auto"/>
            <w:shd w:val="clear" w:color="auto" w:fill="FFFFFF"/>
            <w:hideMark/>
          </w:tcPr>
          <w:p w:rsidR="00D27E48" w:rsidRDefault="00D27E48">
            <w:pPr>
              <w:jc w:val="right"/>
              <w:rPr>
                <w:rFonts w:eastAsia="Times New Roman"/>
              </w:rPr>
            </w:pPr>
          </w:p>
        </w:tc>
        <w:tc>
          <w:tcPr>
            <w:tcW w:w="0" w:type="auto"/>
            <w:shd w:val="clear" w:color="auto" w:fill="FFFFFF"/>
            <w:hideMark/>
          </w:tcPr>
          <w:p w:rsidR="00D27E48" w:rsidRDefault="00D27E48">
            <w:pPr>
              <w:jc w:val="right"/>
              <w:rPr>
                <w:rFonts w:eastAsia="Times New Roman"/>
              </w:rPr>
            </w:pPr>
          </w:p>
        </w:tc>
        <w:tc>
          <w:tcPr>
            <w:tcW w:w="0" w:type="auto"/>
            <w:shd w:val="clear" w:color="auto" w:fill="FFFFFF"/>
            <w:hideMark/>
          </w:tcPr>
          <w:p w:rsidR="00D27E48" w:rsidRDefault="00D27E48">
            <w:pPr>
              <w:jc w:val="right"/>
              <w:rPr>
                <w:rFonts w:eastAsia="Times New Roman"/>
              </w:rPr>
            </w:pPr>
          </w:p>
        </w:tc>
        <w:tc>
          <w:tcPr>
            <w:tcW w:w="0" w:type="auto"/>
            <w:shd w:val="clear" w:color="auto" w:fill="FFFFFF"/>
            <w:hideMark/>
          </w:tcPr>
          <w:p w:rsidR="00D27E48" w:rsidRDefault="00D27E48">
            <w:pPr>
              <w:jc w:val="right"/>
              <w:rPr>
                <w:rFonts w:eastAsia="Times New Roman"/>
              </w:rPr>
            </w:pPr>
          </w:p>
        </w:tc>
      </w:tr>
      <w:tr w:rsidR="00D27E48">
        <w:trPr>
          <w:tblCellSpacing w:w="15" w:type="dxa"/>
        </w:trPr>
        <w:tc>
          <w:tcPr>
            <w:tcW w:w="0" w:type="auto"/>
            <w:shd w:val="clear" w:color="auto" w:fill="CCFFCC"/>
            <w:hideMark/>
          </w:tcPr>
          <w:p w:rsidR="00D27E48" w:rsidRDefault="00D27E48">
            <w:pPr>
              <w:rPr>
                <w:rFonts w:eastAsia="Times New Roman"/>
              </w:rPr>
            </w:pPr>
            <w:r>
              <w:rPr>
                <w:rFonts w:eastAsia="Times New Roman"/>
                <w:sz w:val="20"/>
                <w:szCs w:val="20"/>
              </w:rPr>
              <w:t>Proceeds From:</w:t>
            </w: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r>
      <w:tr w:rsidR="00D27E48">
        <w:trPr>
          <w:tblCellSpacing w:w="15" w:type="dxa"/>
        </w:trPr>
        <w:tc>
          <w:tcPr>
            <w:tcW w:w="0" w:type="auto"/>
            <w:shd w:val="clear" w:color="auto" w:fill="FFFFFF"/>
            <w:hideMark/>
          </w:tcPr>
          <w:p w:rsidR="00D27E48" w:rsidRDefault="00D27E48">
            <w:pPr>
              <w:rPr>
                <w:rFonts w:eastAsia="Times New Roman"/>
              </w:rPr>
            </w:pPr>
            <w:r>
              <w:rPr>
                <w:rFonts w:eastAsia="Times New Roman"/>
                <w:sz w:val="20"/>
                <w:szCs w:val="20"/>
              </w:rPr>
              <w:t>Note Payable Crossfield:</w:t>
            </w:r>
          </w:p>
        </w:tc>
        <w:tc>
          <w:tcPr>
            <w:tcW w:w="0" w:type="auto"/>
            <w:shd w:val="clear" w:color="auto" w:fill="FFFFFF"/>
            <w:hideMark/>
          </w:tcPr>
          <w:p w:rsidR="00D27E48" w:rsidRDefault="00D27E48">
            <w:pPr>
              <w:jc w:val="right"/>
              <w:rPr>
                <w:rFonts w:eastAsia="Times New Roman"/>
              </w:rPr>
            </w:pPr>
            <w:r>
              <w:rPr>
                <w:rFonts w:eastAsia="Times New Roman"/>
                <w:sz w:val="20"/>
                <w:szCs w:val="20"/>
              </w:rPr>
              <w:t>-</w:t>
            </w:r>
          </w:p>
        </w:tc>
        <w:tc>
          <w:tcPr>
            <w:tcW w:w="0" w:type="auto"/>
            <w:shd w:val="clear" w:color="auto" w:fill="FFFFFF"/>
            <w:hideMark/>
          </w:tcPr>
          <w:p w:rsidR="00D27E48" w:rsidRDefault="00D27E48">
            <w:pPr>
              <w:jc w:val="right"/>
              <w:rPr>
                <w:rFonts w:eastAsia="Times New Roman"/>
              </w:rPr>
            </w:pPr>
            <w:r>
              <w:rPr>
                <w:rFonts w:eastAsia="Times New Roman"/>
                <w:sz w:val="20"/>
                <w:szCs w:val="20"/>
              </w:rPr>
              <w:t>-</w:t>
            </w:r>
          </w:p>
        </w:tc>
        <w:tc>
          <w:tcPr>
            <w:tcW w:w="0" w:type="auto"/>
            <w:shd w:val="clear" w:color="auto" w:fill="FFFFFF"/>
            <w:hideMark/>
          </w:tcPr>
          <w:p w:rsidR="00D27E48" w:rsidRDefault="00D27E48">
            <w:pPr>
              <w:jc w:val="right"/>
              <w:rPr>
                <w:rFonts w:eastAsia="Times New Roman"/>
              </w:rPr>
            </w:pPr>
            <w:r>
              <w:rPr>
                <w:rFonts w:eastAsia="Times New Roman"/>
                <w:sz w:val="20"/>
                <w:szCs w:val="20"/>
              </w:rPr>
              <w:t>-</w:t>
            </w:r>
          </w:p>
        </w:tc>
        <w:tc>
          <w:tcPr>
            <w:tcW w:w="0" w:type="auto"/>
            <w:shd w:val="clear" w:color="auto" w:fill="FFFFFF"/>
            <w:hideMark/>
          </w:tcPr>
          <w:p w:rsidR="00D27E48" w:rsidRDefault="00D27E48">
            <w:pPr>
              <w:jc w:val="right"/>
              <w:rPr>
                <w:rFonts w:eastAsia="Times New Roman"/>
              </w:rPr>
            </w:pPr>
            <w:r>
              <w:rPr>
                <w:rFonts w:eastAsia="Times New Roman"/>
                <w:sz w:val="20"/>
                <w:szCs w:val="20"/>
              </w:rPr>
              <w:t>-</w:t>
            </w:r>
          </w:p>
        </w:tc>
      </w:tr>
      <w:tr w:rsidR="00D27E48">
        <w:trPr>
          <w:tblCellSpacing w:w="15" w:type="dxa"/>
        </w:trPr>
        <w:tc>
          <w:tcPr>
            <w:tcW w:w="0" w:type="auto"/>
            <w:shd w:val="clear" w:color="auto" w:fill="CCFFCC"/>
            <w:hideMark/>
          </w:tcPr>
          <w:p w:rsidR="00D27E48" w:rsidRDefault="00D27E48">
            <w:pPr>
              <w:rPr>
                <w:rFonts w:eastAsia="Times New Roman"/>
              </w:rPr>
            </w:pPr>
            <w:r>
              <w:rPr>
                <w:rFonts w:eastAsia="Times New Roman"/>
                <w:sz w:val="20"/>
                <w:szCs w:val="20"/>
              </w:rPr>
              <w:t>Used For:</w:t>
            </w: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r>
      <w:tr w:rsidR="00D27E48">
        <w:trPr>
          <w:tblCellSpacing w:w="15" w:type="dxa"/>
        </w:trPr>
        <w:tc>
          <w:tcPr>
            <w:tcW w:w="0" w:type="auto"/>
            <w:shd w:val="clear" w:color="auto" w:fill="FFFFFF"/>
            <w:hideMark/>
          </w:tcPr>
          <w:p w:rsidR="00D27E48" w:rsidRDefault="00D27E48">
            <w:pPr>
              <w:rPr>
                <w:rFonts w:eastAsia="Times New Roman"/>
              </w:rPr>
            </w:pPr>
            <w:r>
              <w:rPr>
                <w:rFonts w:eastAsia="Times New Roman"/>
                <w:sz w:val="20"/>
                <w:szCs w:val="20"/>
              </w:rPr>
              <w:t>Long Term Debt, Subsidiary</w:t>
            </w:r>
          </w:p>
        </w:tc>
        <w:tc>
          <w:tcPr>
            <w:tcW w:w="0" w:type="auto"/>
            <w:shd w:val="clear" w:color="auto" w:fill="FFFFFF"/>
            <w:hideMark/>
          </w:tcPr>
          <w:p w:rsidR="00D27E48" w:rsidRDefault="00D27E48">
            <w:pPr>
              <w:jc w:val="right"/>
              <w:rPr>
                <w:rFonts w:eastAsia="Times New Roman"/>
              </w:rPr>
            </w:pPr>
            <w:r>
              <w:rPr>
                <w:rFonts w:eastAsia="Times New Roman"/>
                <w:sz w:val="20"/>
                <w:szCs w:val="20"/>
              </w:rPr>
              <w:t>(2,059)</w:t>
            </w:r>
          </w:p>
        </w:tc>
        <w:tc>
          <w:tcPr>
            <w:tcW w:w="0" w:type="auto"/>
            <w:shd w:val="clear" w:color="auto" w:fill="FFFFFF"/>
            <w:hideMark/>
          </w:tcPr>
          <w:p w:rsidR="00D27E48" w:rsidRDefault="00D27E48">
            <w:pPr>
              <w:jc w:val="right"/>
              <w:rPr>
                <w:rFonts w:eastAsia="Times New Roman"/>
              </w:rPr>
            </w:pPr>
            <w:r>
              <w:rPr>
                <w:rFonts w:eastAsia="Times New Roman"/>
                <w:sz w:val="20"/>
                <w:szCs w:val="20"/>
              </w:rPr>
              <w:t>(1,951)</w:t>
            </w:r>
          </w:p>
        </w:tc>
        <w:tc>
          <w:tcPr>
            <w:tcW w:w="0" w:type="auto"/>
            <w:shd w:val="clear" w:color="auto" w:fill="FFFFFF"/>
            <w:hideMark/>
          </w:tcPr>
          <w:p w:rsidR="00D27E48" w:rsidRDefault="00D27E48">
            <w:pPr>
              <w:jc w:val="right"/>
              <w:rPr>
                <w:rFonts w:eastAsia="Times New Roman"/>
              </w:rPr>
            </w:pPr>
            <w:r>
              <w:rPr>
                <w:rFonts w:eastAsia="Times New Roman"/>
                <w:sz w:val="20"/>
                <w:szCs w:val="20"/>
              </w:rPr>
              <w:t>(4,235)</w:t>
            </w:r>
          </w:p>
        </w:tc>
        <w:tc>
          <w:tcPr>
            <w:tcW w:w="0" w:type="auto"/>
            <w:shd w:val="clear" w:color="auto" w:fill="FFFFFF"/>
            <w:hideMark/>
          </w:tcPr>
          <w:p w:rsidR="00D27E48" w:rsidRDefault="00D27E48">
            <w:pPr>
              <w:jc w:val="right"/>
              <w:rPr>
                <w:rFonts w:eastAsia="Times New Roman"/>
              </w:rPr>
            </w:pPr>
            <w:r>
              <w:rPr>
                <w:rFonts w:eastAsia="Times New Roman"/>
                <w:sz w:val="20"/>
                <w:szCs w:val="20"/>
              </w:rPr>
              <w:t>(3,920)</w:t>
            </w:r>
          </w:p>
        </w:tc>
      </w:tr>
      <w:tr w:rsidR="00D27E48">
        <w:trPr>
          <w:tblCellSpacing w:w="15" w:type="dxa"/>
        </w:trPr>
        <w:tc>
          <w:tcPr>
            <w:tcW w:w="0" w:type="auto"/>
            <w:shd w:val="clear" w:color="auto" w:fill="CCFFCC"/>
            <w:hideMark/>
          </w:tcPr>
          <w:p w:rsidR="00D27E48" w:rsidRDefault="00D27E48">
            <w:pPr>
              <w:rPr>
                <w:rFonts w:eastAsia="Times New Roman"/>
              </w:rPr>
            </w:pPr>
            <w:r>
              <w:rPr>
                <w:rFonts w:eastAsia="Times New Roman"/>
                <w:b/>
                <w:bCs/>
                <w:sz w:val="20"/>
                <w:szCs w:val="20"/>
              </w:rPr>
              <w:t>Net Cash Flows used in Financing Activities:</w:t>
            </w:r>
          </w:p>
        </w:tc>
        <w:tc>
          <w:tcPr>
            <w:tcW w:w="0" w:type="auto"/>
            <w:shd w:val="clear" w:color="auto" w:fill="CCFFCC"/>
            <w:hideMark/>
          </w:tcPr>
          <w:p w:rsidR="00D27E48" w:rsidRDefault="00D27E48">
            <w:pPr>
              <w:jc w:val="right"/>
              <w:rPr>
                <w:rFonts w:eastAsia="Times New Roman"/>
              </w:rPr>
            </w:pPr>
            <w:r>
              <w:rPr>
                <w:rFonts w:eastAsia="Times New Roman"/>
                <w:sz w:val="20"/>
                <w:szCs w:val="20"/>
              </w:rPr>
              <w:t>(2,059)</w:t>
            </w:r>
          </w:p>
        </w:tc>
        <w:tc>
          <w:tcPr>
            <w:tcW w:w="0" w:type="auto"/>
            <w:shd w:val="clear" w:color="auto" w:fill="CCFFCC"/>
            <w:hideMark/>
          </w:tcPr>
          <w:p w:rsidR="00D27E48" w:rsidRDefault="00D27E48">
            <w:pPr>
              <w:jc w:val="right"/>
              <w:rPr>
                <w:rFonts w:eastAsia="Times New Roman"/>
              </w:rPr>
            </w:pPr>
            <w:r>
              <w:rPr>
                <w:rFonts w:eastAsia="Times New Roman"/>
                <w:sz w:val="20"/>
                <w:szCs w:val="20"/>
              </w:rPr>
              <w:t>(1,951)</w:t>
            </w:r>
          </w:p>
        </w:tc>
        <w:tc>
          <w:tcPr>
            <w:tcW w:w="0" w:type="auto"/>
            <w:shd w:val="clear" w:color="auto" w:fill="CCFFCC"/>
            <w:hideMark/>
          </w:tcPr>
          <w:p w:rsidR="00D27E48" w:rsidRDefault="00D27E48">
            <w:pPr>
              <w:jc w:val="right"/>
              <w:rPr>
                <w:rFonts w:eastAsia="Times New Roman"/>
              </w:rPr>
            </w:pPr>
            <w:r>
              <w:rPr>
                <w:rFonts w:eastAsia="Times New Roman"/>
                <w:sz w:val="20"/>
                <w:szCs w:val="20"/>
              </w:rPr>
              <w:t>(4,235)</w:t>
            </w:r>
          </w:p>
        </w:tc>
        <w:tc>
          <w:tcPr>
            <w:tcW w:w="0" w:type="auto"/>
            <w:shd w:val="clear" w:color="auto" w:fill="CCFFCC"/>
            <w:hideMark/>
          </w:tcPr>
          <w:p w:rsidR="00D27E48" w:rsidRDefault="00D27E48">
            <w:pPr>
              <w:jc w:val="right"/>
              <w:rPr>
                <w:rFonts w:eastAsia="Times New Roman"/>
              </w:rPr>
            </w:pPr>
            <w:r>
              <w:rPr>
                <w:rFonts w:eastAsia="Times New Roman"/>
                <w:sz w:val="20"/>
                <w:szCs w:val="20"/>
              </w:rPr>
              <w:t>(3,920)</w:t>
            </w:r>
          </w:p>
        </w:tc>
      </w:tr>
      <w:tr w:rsidR="00D27E48">
        <w:trPr>
          <w:tblCellSpacing w:w="15" w:type="dxa"/>
        </w:trPr>
        <w:tc>
          <w:tcPr>
            <w:tcW w:w="0" w:type="auto"/>
            <w:shd w:val="clear" w:color="auto" w:fill="FFFFFF"/>
            <w:hideMark/>
          </w:tcPr>
          <w:p w:rsidR="00D27E48" w:rsidRDefault="00D27E48">
            <w:pPr>
              <w:rPr>
                <w:rFonts w:eastAsia="Times New Roman"/>
              </w:rPr>
            </w:pPr>
            <w:r>
              <w:rPr>
                <w:rFonts w:eastAsia="Times New Roman"/>
                <w:sz w:val="20"/>
                <w:szCs w:val="20"/>
              </w:rPr>
              <w:t> </w:t>
            </w:r>
          </w:p>
        </w:tc>
        <w:tc>
          <w:tcPr>
            <w:tcW w:w="0" w:type="auto"/>
            <w:shd w:val="clear" w:color="auto" w:fill="FFFFFF"/>
            <w:hideMark/>
          </w:tcPr>
          <w:p w:rsidR="00D27E48" w:rsidRDefault="00D27E48">
            <w:pPr>
              <w:jc w:val="right"/>
              <w:rPr>
                <w:rFonts w:eastAsia="Times New Roman"/>
              </w:rPr>
            </w:pPr>
          </w:p>
        </w:tc>
        <w:tc>
          <w:tcPr>
            <w:tcW w:w="0" w:type="auto"/>
            <w:shd w:val="clear" w:color="auto" w:fill="FFFFFF"/>
            <w:hideMark/>
          </w:tcPr>
          <w:p w:rsidR="00D27E48" w:rsidRDefault="00D27E48">
            <w:pPr>
              <w:jc w:val="right"/>
              <w:rPr>
                <w:rFonts w:eastAsia="Times New Roman"/>
              </w:rPr>
            </w:pPr>
          </w:p>
        </w:tc>
        <w:tc>
          <w:tcPr>
            <w:tcW w:w="0" w:type="auto"/>
            <w:shd w:val="clear" w:color="auto" w:fill="FFFFFF"/>
            <w:hideMark/>
          </w:tcPr>
          <w:p w:rsidR="00D27E48" w:rsidRDefault="00D27E48">
            <w:pPr>
              <w:jc w:val="right"/>
              <w:rPr>
                <w:rFonts w:eastAsia="Times New Roman"/>
              </w:rPr>
            </w:pPr>
          </w:p>
        </w:tc>
        <w:tc>
          <w:tcPr>
            <w:tcW w:w="0" w:type="auto"/>
            <w:shd w:val="clear" w:color="auto" w:fill="FFFFFF"/>
            <w:hideMark/>
          </w:tcPr>
          <w:p w:rsidR="00D27E48" w:rsidRDefault="00D27E48">
            <w:pPr>
              <w:jc w:val="right"/>
              <w:rPr>
                <w:rFonts w:eastAsia="Times New Roman"/>
              </w:rPr>
            </w:pPr>
          </w:p>
        </w:tc>
      </w:tr>
      <w:tr w:rsidR="00D27E48">
        <w:trPr>
          <w:tblCellSpacing w:w="15" w:type="dxa"/>
        </w:trPr>
        <w:tc>
          <w:tcPr>
            <w:tcW w:w="0" w:type="auto"/>
            <w:shd w:val="clear" w:color="auto" w:fill="CCFFCC"/>
            <w:hideMark/>
          </w:tcPr>
          <w:p w:rsidR="00D27E48" w:rsidRDefault="00D27E48">
            <w:pPr>
              <w:rPr>
                <w:rFonts w:eastAsia="Times New Roman"/>
              </w:rPr>
            </w:pPr>
            <w:r>
              <w:rPr>
                <w:rFonts w:eastAsia="Times New Roman"/>
                <w:b/>
                <w:bCs/>
                <w:sz w:val="20"/>
                <w:szCs w:val="20"/>
              </w:rPr>
              <w:t>Net Increase (decrease) in Cash</w:t>
            </w:r>
          </w:p>
        </w:tc>
        <w:tc>
          <w:tcPr>
            <w:tcW w:w="0" w:type="auto"/>
            <w:shd w:val="clear" w:color="auto" w:fill="CCFFCC"/>
            <w:hideMark/>
          </w:tcPr>
          <w:p w:rsidR="00D27E48" w:rsidRDefault="00D27E48">
            <w:pPr>
              <w:jc w:val="right"/>
              <w:rPr>
                <w:rFonts w:eastAsia="Times New Roman"/>
              </w:rPr>
            </w:pPr>
            <w:r>
              <w:rPr>
                <w:rFonts w:eastAsia="Times New Roman"/>
                <w:b/>
                <w:bCs/>
                <w:sz w:val="20"/>
                <w:szCs w:val="20"/>
              </w:rPr>
              <w:t>(28,162)</w:t>
            </w:r>
          </w:p>
        </w:tc>
        <w:tc>
          <w:tcPr>
            <w:tcW w:w="0" w:type="auto"/>
            <w:shd w:val="clear" w:color="auto" w:fill="CCFFCC"/>
            <w:hideMark/>
          </w:tcPr>
          <w:p w:rsidR="00D27E48" w:rsidRDefault="00D27E48">
            <w:pPr>
              <w:jc w:val="right"/>
              <w:rPr>
                <w:rFonts w:eastAsia="Times New Roman"/>
              </w:rPr>
            </w:pPr>
            <w:r>
              <w:rPr>
                <w:rFonts w:eastAsia="Times New Roman"/>
                <w:b/>
                <w:bCs/>
                <w:sz w:val="20"/>
                <w:szCs w:val="20"/>
              </w:rPr>
              <w:t>3,042</w:t>
            </w:r>
          </w:p>
        </w:tc>
        <w:tc>
          <w:tcPr>
            <w:tcW w:w="0" w:type="auto"/>
            <w:shd w:val="clear" w:color="auto" w:fill="CCFFCC"/>
            <w:hideMark/>
          </w:tcPr>
          <w:p w:rsidR="00D27E48" w:rsidRDefault="00D27E48">
            <w:pPr>
              <w:jc w:val="right"/>
              <w:rPr>
                <w:rFonts w:eastAsia="Times New Roman"/>
              </w:rPr>
            </w:pPr>
            <w:r>
              <w:rPr>
                <w:rFonts w:eastAsia="Times New Roman"/>
                <w:b/>
                <w:bCs/>
                <w:sz w:val="20"/>
                <w:szCs w:val="20"/>
              </w:rPr>
              <w:t>(19,587)</w:t>
            </w:r>
          </w:p>
        </w:tc>
        <w:tc>
          <w:tcPr>
            <w:tcW w:w="0" w:type="auto"/>
            <w:shd w:val="clear" w:color="auto" w:fill="CCFFCC"/>
            <w:hideMark/>
          </w:tcPr>
          <w:p w:rsidR="00D27E48" w:rsidRDefault="00D27E48">
            <w:pPr>
              <w:jc w:val="right"/>
              <w:rPr>
                <w:rFonts w:eastAsia="Times New Roman"/>
              </w:rPr>
            </w:pPr>
            <w:r>
              <w:rPr>
                <w:rFonts w:eastAsia="Times New Roman"/>
                <w:b/>
                <w:bCs/>
                <w:sz w:val="20"/>
                <w:szCs w:val="20"/>
              </w:rPr>
              <w:t>(1,238)</w:t>
            </w:r>
          </w:p>
        </w:tc>
      </w:tr>
      <w:tr w:rsidR="00D27E48">
        <w:trPr>
          <w:tblCellSpacing w:w="15" w:type="dxa"/>
        </w:trPr>
        <w:tc>
          <w:tcPr>
            <w:tcW w:w="0" w:type="auto"/>
            <w:shd w:val="clear" w:color="auto" w:fill="FFFFFF"/>
            <w:hideMark/>
          </w:tcPr>
          <w:p w:rsidR="00D27E48" w:rsidRDefault="00D27E48">
            <w:pPr>
              <w:rPr>
                <w:rFonts w:eastAsia="Times New Roman"/>
              </w:rPr>
            </w:pPr>
            <w:r>
              <w:rPr>
                <w:rFonts w:eastAsia="Times New Roman"/>
                <w:sz w:val="20"/>
                <w:szCs w:val="20"/>
              </w:rPr>
              <w:t> </w:t>
            </w:r>
          </w:p>
        </w:tc>
        <w:tc>
          <w:tcPr>
            <w:tcW w:w="0" w:type="auto"/>
            <w:shd w:val="clear" w:color="auto" w:fill="FFFFFF"/>
            <w:hideMark/>
          </w:tcPr>
          <w:p w:rsidR="00D27E48" w:rsidRDefault="00D27E48">
            <w:pPr>
              <w:jc w:val="right"/>
              <w:rPr>
                <w:rFonts w:eastAsia="Times New Roman"/>
              </w:rPr>
            </w:pPr>
          </w:p>
        </w:tc>
        <w:tc>
          <w:tcPr>
            <w:tcW w:w="0" w:type="auto"/>
            <w:shd w:val="clear" w:color="auto" w:fill="FFFFFF"/>
            <w:hideMark/>
          </w:tcPr>
          <w:p w:rsidR="00D27E48" w:rsidRDefault="00D27E48">
            <w:pPr>
              <w:jc w:val="right"/>
              <w:rPr>
                <w:rFonts w:eastAsia="Times New Roman"/>
              </w:rPr>
            </w:pPr>
          </w:p>
        </w:tc>
        <w:tc>
          <w:tcPr>
            <w:tcW w:w="0" w:type="auto"/>
            <w:shd w:val="clear" w:color="auto" w:fill="FFFFFF"/>
            <w:hideMark/>
          </w:tcPr>
          <w:p w:rsidR="00D27E48" w:rsidRDefault="00D27E48">
            <w:pPr>
              <w:jc w:val="right"/>
              <w:rPr>
                <w:rFonts w:eastAsia="Times New Roman"/>
              </w:rPr>
            </w:pPr>
          </w:p>
        </w:tc>
        <w:tc>
          <w:tcPr>
            <w:tcW w:w="0" w:type="auto"/>
            <w:shd w:val="clear" w:color="auto" w:fill="FFFFFF"/>
            <w:hideMark/>
          </w:tcPr>
          <w:p w:rsidR="00D27E48" w:rsidRDefault="00D27E48">
            <w:pPr>
              <w:jc w:val="right"/>
              <w:rPr>
                <w:rFonts w:eastAsia="Times New Roman"/>
              </w:rPr>
            </w:pPr>
          </w:p>
        </w:tc>
      </w:tr>
      <w:tr w:rsidR="00D27E48">
        <w:trPr>
          <w:tblCellSpacing w:w="15" w:type="dxa"/>
        </w:trPr>
        <w:tc>
          <w:tcPr>
            <w:tcW w:w="0" w:type="auto"/>
            <w:shd w:val="clear" w:color="auto" w:fill="CCFFCC"/>
            <w:hideMark/>
          </w:tcPr>
          <w:p w:rsidR="00D27E48" w:rsidRDefault="00D27E48">
            <w:pPr>
              <w:rPr>
                <w:rFonts w:eastAsia="Times New Roman"/>
              </w:rPr>
            </w:pPr>
            <w:r>
              <w:rPr>
                <w:rFonts w:eastAsia="Times New Roman"/>
                <w:b/>
                <w:bCs/>
                <w:sz w:val="20"/>
                <w:szCs w:val="20"/>
              </w:rPr>
              <w:t>Cash Balance at beginning of Period</w:t>
            </w:r>
          </w:p>
        </w:tc>
        <w:tc>
          <w:tcPr>
            <w:tcW w:w="0" w:type="auto"/>
            <w:shd w:val="clear" w:color="auto" w:fill="CCFFCC"/>
            <w:hideMark/>
          </w:tcPr>
          <w:p w:rsidR="00D27E48" w:rsidRDefault="00D27E48">
            <w:pPr>
              <w:jc w:val="right"/>
              <w:rPr>
                <w:rFonts w:eastAsia="Times New Roman"/>
              </w:rPr>
            </w:pPr>
            <w:r>
              <w:rPr>
                <w:rFonts w:eastAsia="Times New Roman"/>
                <w:sz w:val="20"/>
                <w:szCs w:val="20"/>
              </w:rPr>
              <w:t>32,983</w:t>
            </w:r>
          </w:p>
        </w:tc>
        <w:tc>
          <w:tcPr>
            <w:tcW w:w="0" w:type="auto"/>
            <w:shd w:val="clear" w:color="auto" w:fill="CCFFCC"/>
            <w:hideMark/>
          </w:tcPr>
          <w:p w:rsidR="00D27E48" w:rsidRDefault="00D27E48">
            <w:pPr>
              <w:jc w:val="right"/>
              <w:rPr>
                <w:rFonts w:eastAsia="Times New Roman"/>
              </w:rPr>
            </w:pPr>
            <w:r>
              <w:rPr>
                <w:rFonts w:eastAsia="Times New Roman"/>
                <w:sz w:val="20"/>
                <w:szCs w:val="20"/>
              </w:rPr>
              <w:t>16,839</w:t>
            </w:r>
          </w:p>
        </w:tc>
        <w:tc>
          <w:tcPr>
            <w:tcW w:w="0" w:type="auto"/>
            <w:shd w:val="clear" w:color="auto" w:fill="CCFFCC"/>
            <w:hideMark/>
          </w:tcPr>
          <w:p w:rsidR="00D27E48" w:rsidRDefault="00D27E48">
            <w:pPr>
              <w:jc w:val="right"/>
              <w:rPr>
                <w:rFonts w:eastAsia="Times New Roman"/>
              </w:rPr>
            </w:pPr>
            <w:r>
              <w:rPr>
                <w:rFonts w:eastAsia="Times New Roman"/>
                <w:sz w:val="20"/>
                <w:szCs w:val="20"/>
              </w:rPr>
              <w:t>24,410</w:t>
            </w:r>
          </w:p>
        </w:tc>
        <w:tc>
          <w:tcPr>
            <w:tcW w:w="0" w:type="auto"/>
            <w:shd w:val="clear" w:color="auto" w:fill="CCFFCC"/>
            <w:hideMark/>
          </w:tcPr>
          <w:p w:rsidR="00D27E48" w:rsidRDefault="00D27E48">
            <w:pPr>
              <w:jc w:val="right"/>
              <w:rPr>
                <w:rFonts w:eastAsia="Times New Roman"/>
              </w:rPr>
            </w:pPr>
            <w:r>
              <w:rPr>
                <w:rFonts w:eastAsia="Times New Roman"/>
                <w:sz w:val="20"/>
                <w:szCs w:val="20"/>
              </w:rPr>
              <w:t>21,120</w:t>
            </w:r>
          </w:p>
        </w:tc>
      </w:tr>
      <w:tr w:rsidR="00D27E48">
        <w:trPr>
          <w:tblCellSpacing w:w="15" w:type="dxa"/>
        </w:trPr>
        <w:tc>
          <w:tcPr>
            <w:tcW w:w="0" w:type="auto"/>
            <w:shd w:val="clear" w:color="auto" w:fill="FFFFFF"/>
            <w:hideMark/>
          </w:tcPr>
          <w:p w:rsidR="00D27E48" w:rsidRDefault="00D27E48">
            <w:pPr>
              <w:rPr>
                <w:rFonts w:eastAsia="Times New Roman"/>
              </w:rPr>
            </w:pPr>
            <w:r>
              <w:rPr>
                <w:rFonts w:eastAsia="Times New Roman"/>
                <w:b/>
                <w:bCs/>
                <w:sz w:val="20"/>
                <w:szCs w:val="20"/>
              </w:rPr>
              <w:t>Cash Balance at End of Period</w:t>
            </w:r>
          </w:p>
        </w:tc>
        <w:tc>
          <w:tcPr>
            <w:tcW w:w="0" w:type="auto"/>
            <w:shd w:val="clear" w:color="auto" w:fill="FFFFFF"/>
            <w:hideMark/>
          </w:tcPr>
          <w:p w:rsidR="00D27E48" w:rsidRDefault="00D27E48">
            <w:pPr>
              <w:jc w:val="right"/>
              <w:rPr>
                <w:rFonts w:eastAsia="Times New Roman"/>
              </w:rPr>
            </w:pPr>
            <w:r>
              <w:rPr>
                <w:rFonts w:eastAsia="Times New Roman"/>
                <w:sz w:val="20"/>
                <w:szCs w:val="20"/>
              </w:rPr>
              <w:t>4,820</w:t>
            </w:r>
          </w:p>
        </w:tc>
        <w:tc>
          <w:tcPr>
            <w:tcW w:w="0" w:type="auto"/>
            <w:shd w:val="clear" w:color="auto" w:fill="FFFFFF"/>
            <w:hideMark/>
          </w:tcPr>
          <w:p w:rsidR="00D27E48" w:rsidRDefault="00D27E48">
            <w:pPr>
              <w:jc w:val="right"/>
              <w:rPr>
                <w:rFonts w:eastAsia="Times New Roman"/>
              </w:rPr>
            </w:pPr>
            <w:r>
              <w:rPr>
                <w:rFonts w:eastAsia="Times New Roman"/>
                <w:sz w:val="20"/>
                <w:szCs w:val="20"/>
              </w:rPr>
              <w:t>19,881</w:t>
            </w:r>
          </w:p>
        </w:tc>
        <w:tc>
          <w:tcPr>
            <w:tcW w:w="0" w:type="auto"/>
            <w:shd w:val="clear" w:color="auto" w:fill="FFFFFF"/>
            <w:hideMark/>
          </w:tcPr>
          <w:p w:rsidR="00D27E48" w:rsidRDefault="00D27E48">
            <w:pPr>
              <w:jc w:val="right"/>
              <w:rPr>
                <w:rFonts w:eastAsia="Times New Roman"/>
              </w:rPr>
            </w:pPr>
            <w:r>
              <w:rPr>
                <w:rFonts w:eastAsia="Times New Roman"/>
                <w:sz w:val="20"/>
                <w:szCs w:val="20"/>
              </w:rPr>
              <w:t>4,820</w:t>
            </w:r>
          </w:p>
        </w:tc>
        <w:tc>
          <w:tcPr>
            <w:tcW w:w="0" w:type="auto"/>
            <w:shd w:val="clear" w:color="auto" w:fill="FFFFFF"/>
            <w:hideMark/>
          </w:tcPr>
          <w:p w:rsidR="00D27E48" w:rsidRDefault="00D27E48">
            <w:pPr>
              <w:jc w:val="right"/>
              <w:rPr>
                <w:rFonts w:eastAsia="Times New Roman"/>
              </w:rPr>
            </w:pPr>
            <w:r>
              <w:rPr>
                <w:rFonts w:eastAsia="Times New Roman"/>
                <w:sz w:val="20"/>
                <w:szCs w:val="20"/>
              </w:rPr>
              <w:t>19,881</w:t>
            </w:r>
          </w:p>
        </w:tc>
      </w:tr>
      <w:tr w:rsidR="00D27E48">
        <w:trPr>
          <w:tblCellSpacing w:w="15" w:type="dxa"/>
        </w:trPr>
        <w:tc>
          <w:tcPr>
            <w:tcW w:w="0" w:type="auto"/>
            <w:shd w:val="clear" w:color="auto" w:fill="CCFFCC"/>
            <w:hideMark/>
          </w:tcPr>
          <w:p w:rsidR="00D27E48" w:rsidRDefault="00D27E48">
            <w:pPr>
              <w:rPr>
                <w:rFonts w:eastAsia="Times New Roman"/>
              </w:rPr>
            </w:pPr>
            <w:r>
              <w:rPr>
                <w:rFonts w:eastAsia="Times New Roman"/>
                <w:sz w:val="20"/>
                <w:szCs w:val="20"/>
              </w:rPr>
              <w:t> </w:t>
            </w: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c>
          <w:tcPr>
            <w:tcW w:w="0" w:type="auto"/>
            <w:shd w:val="clear" w:color="auto" w:fill="CCFFCC"/>
            <w:hideMark/>
          </w:tcPr>
          <w:p w:rsidR="00D27E48" w:rsidRDefault="00D27E48">
            <w:pPr>
              <w:jc w:val="right"/>
              <w:rPr>
                <w:rFonts w:eastAsia="Times New Roman"/>
              </w:rPr>
            </w:pPr>
          </w:p>
        </w:tc>
      </w:tr>
      <w:tr w:rsidR="00D27E48">
        <w:trPr>
          <w:tblCellSpacing w:w="15" w:type="dxa"/>
        </w:trPr>
        <w:tc>
          <w:tcPr>
            <w:tcW w:w="0" w:type="auto"/>
            <w:gridSpan w:val="5"/>
            <w:shd w:val="clear" w:color="auto" w:fill="FFFFFF"/>
            <w:hideMark/>
          </w:tcPr>
          <w:p w:rsidR="00D27E48" w:rsidRDefault="00D27E48">
            <w:pPr>
              <w:jc w:val="center"/>
              <w:rPr>
                <w:rFonts w:eastAsia="Times New Roman"/>
              </w:rPr>
            </w:pPr>
            <w:r>
              <w:rPr>
                <w:rFonts w:eastAsia="Times New Roman"/>
                <w:sz w:val="20"/>
                <w:szCs w:val="20"/>
              </w:rPr>
              <w:t> </w:t>
            </w:r>
            <w:r>
              <w:rPr>
                <w:rFonts w:eastAsia="Times New Roman"/>
                <w:b/>
                <w:bCs/>
                <w:sz w:val="20"/>
                <w:szCs w:val="20"/>
              </w:rPr>
              <w:t>See accompanying notes to financial statements.</w:t>
            </w:r>
          </w:p>
        </w:tc>
      </w:tr>
    </w:tbl>
    <w:p w:rsidR="00D27E48" w:rsidRDefault="007E7BD4">
      <w:pPr>
        <w:pStyle w:val="NormalWeb"/>
      </w:pPr>
      <w:hyperlink w:anchor="toc" w:history="1">
        <w:r w:rsidR="00D27E48">
          <w:rPr>
            <w:rStyle w:val="Hyperlink"/>
            <w:b/>
            <w:bCs/>
            <w:sz w:val="20"/>
            <w:szCs w:val="20"/>
          </w:rPr>
          <w:t>Return to Table of Contents</w:t>
        </w:r>
      </w:hyperlink>
    </w:p>
    <w:p w:rsidR="0047090F" w:rsidRDefault="007E7BD4">
      <w:pPr>
        <w:rPr>
          <w:rFonts w:eastAsia="Times New Roman"/>
        </w:rPr>
      </w:pPr>
      <w:r w:rsidRPr="007E7BD4">
        <w:rPr>
          <w:rFonts w:eastAsia="Times New Roman"/>
        </w:rPr>
        <w:pict>
          <v:rect id="_x0000_i1038" style="width:0;height:3pt" o:hralign="center" o:hrstd="t" o:hrnoshade="t" o:hr="t" fillcolor="black" stroked="f"/>
        </w:pict>
      </w:r>
    </w:p>
    <w:p w:rsidR="0047090F" w:rsidRDefault="0047090F">
      <w:pPr>
        <w:rPr>
          <w:rFonts w:eastAsia="Times New Roman"/>
        </w:rPr>
      </w:pPr>
      <w:r>
        <w:rPr>
          <w:rFonts w:eastAsia="Times New Roman"/>
        </w:rPr>
        <w:br w:type="page"/>
      </w:r>
    </w:p>
    <w:p w:rsidR="00D27E48" w:rsidRDefault="00D27E48">
      <w:pPr>
        <w:pStyle w:val="NormalWeb"/>
      </w:pPr>
      <w:bookmarkStart w:id="1" w:name="notes"/>
      <w:bookmarkEnd w:id="1"/>
      <w:r>
        <w:rPr>
          <w:b/>
          <w:bCs/>
          <w:sz w:val="20"/>
          <w:szCs w:val="20"/>
        </w:rPr>
        <w:lastRenderedPageBreak/>
        <w:t>NOTE 1- ORGANIZATION AND LINE OF BUSINESS</w:t>
      </w:r>
    </w:p>
    <w:p w:rsidR="00D27E48" w:rsidRDefault="00D27E48">
      <w:pPr>
        <w:pStyle w:val="NormalWeb"/>
      </w:pPr>
      <w:r>
        <w:rPr>
          <w:b/>
          <w:bCs/>
        </w:rPr>
        <w:t>LINE OF BUSINESS</w:t>
      </w:r>
    </w:p>
    <w:p w:rsidR="00D27E48" w:rsidRPr="00D27E48" w:rsidRDefault="00D27E48">
      <w:pPr>
        <w:pStyle w:val="NormalWeb"/>
        <w:rPr>
          <w:sz w:val="18"/>
          <w:szCs w:val="18"/>
        </w:rPr>
      </w:pPr>
      <w:r w:rsidRPr="00D27E48">
        <w:rPr>
          <w:sz w:val="18"/>
          <w:szCs w:val="18"/>
        </w:rPr>
        <w:t>Organization:</w:t>
      </w:r>
    </w:p>
    <w:p w:rsidR="00D27E48" w:rsidRPr="00D27E48" w:rsidRDefault="00D27E48">
      <w:pPr>
        <w:pStyle w:val="NormalWeb"/>
        <w:rPr>
          <w:sz w:val="18"/>
          <w:szCs w:val="18"/>
        </w:rPr>
      </w:pPr>
      <w:r w:rsidRPr="00D27E48">
        <w:rPr>
          <w:sz w:val="18"/>
          <w:szCs w:val="18"/>
        </w:rPr>
        <w:t xml:space="preserve">Advanced Oxygen Technologies, Inc. (formerly </w:t>
      </w:r>
      <w:proofErr w:type="spellStart"/>
      <w:r w:rsidRPr="00D27E48">
        <w:rPr>
          <w:sz w:val="18"/>
          <w:szCs w:val="18"/>
        </w:rPr>
        <w:t>Aquanautic</w:t>
      </w:r>
      <w:proofErr w:type="spellEnd"/>
      <w:r w:rsidRPr="00D27E48">
        <w:rPr>
          <w:sz w:val="18"/>
          <w:szCs w:val="18"/>
        </w:rPr>
        <w:t xml:space="preserve"> Corporation) (the "Company") was originally formed as a specialty materials company in the development stage (as defined by the Financial Accounting Standards Board ("FASB") in Statement of Financial Accounting Standards ("SFAS") no. 7, "Accounting and Reporting by Development Stage Enterprises"). The Company's core technology consisted of a variety of materials, which had a high affinity for oxygen. In 1993 the Company discontinued those operations.</w:t>
      </w:r>
    </w:p>
    <w:p w:rsidR="00D27E48" w:rsidRPr="00D27E48" w:rsidRDefault="00D27E48">
      <w:pPr>
        <w:pStyle w:val="NormalWeb"/>
        <w:rPr>
          <w:sz w:val="18"/>
          <w:szCs w:val="18"/>
        </w:rPr>
      </w:pPr>
      <w:r w:rsidRPr="00D27E48">
        <w:rPr>
          <w:sz w:val="18"/>
          <w:szCs w:val="18"/>
        </w:rPr>
        <w:t>Lines of Business:</w:t>
      </w:r>
    </w:p>
    <w:p w:rsidR="00D27E48" w:rsidRPr="00D27E48" w:rsidRDefault="00D27E48">
      <w:pPr>
        <w:pStyle w:val="NormalWeb"/>
        <w:rPr>
          <w:sz w:val="18"/>
          <w:szCs w:val="18"/>
        </w:rPr>
      </w:pPr>
      <w:r w:rsidRPr="00D27E48">
        <w:rPr>
          <w:sz w:val="18"/>
          <w:szCs w:val="18"/>
        </w:rPr>
        <w:t>The Company's operations began again in 1997. The Company, through its wholly owned subsidiary ANV owns income producing commercial real estate leased until 2026. The real estate consists solely of the land with no buildings or improvements ("Land"). All improvements on the Land are those of the tenant.</w:t>
      </w:r>
    </w:p>
    <w:p w:rsidR="00D27E48" w:rsidRPr="00D27E48" w:rsidRDefault="00D27E48">
      <w:pPr>
        <w:pStyle w:val="NormalWeb"/>
        <w:rPr>
          <w:sz w:val="18"/>
          <w:szCs w:val="18"/>
        </w:rPr>
      </w:pPr>
      <w:r w:rsidRPr="00D27E48">
        <w:rPr>
          <w:b/>
          <w:bCs/>
          <w:sz w:val="18"/>
          <w:szCs w:val="18"/>
        </w:rPr>
        <w:t>NOTE 2 - SUMMARY OF SIGNIFICANT ACCOUNTING POLICIES</w:t>
      </w:r>
      <w:proofErr w:type="gramStart"/>
      <w:r w:rsidRPr="00D27E48">
        <w:rPr>
          <w:b/>
          <w:bCs/>
          <w:sz w:val="18"/>
          <w:szCs w:val="18"/>
        </w:rPr>
        <w:t>:</w:t>
      </w:r>
      <w:proofErr w:type="gramEnd"/>
      <w:r w:rsidRPr="00D27E48">
        <w:rPr>
          <w:sz w:val="18"/>
          <w:szCs w:val="18"/>
        </w:rPr>
        <w:br/>
      </w:r>
      <w:r w:rsidRPr="00D27E48">
        <w:rPr>
          <w:sz w:val="18"/>
          <w:szCs w:val="18"/>
        </w:rPr>
        <w:br/>
      </w:r>
      <w:r w:rsidRPr="00D27E48">
        <w:rPr>
          <w:i/>
          <w:iCs/>
          <w:sz w:val="18"/>
          <w:szCs w:val="18"/>
        </w:rPr>
        <w:t>Revenue Recognition</w:t>
      </w:r>
      <w:r w:rsidRPr="00D27E48">
        <w:rPr>
          <w:sz w:val="18"/>
          <w:szCs w:val="18"/>
        </w:rPr>
        <w:t>:</w:t>
      </w:r>
    </w:p>
    <w:p w:rsidR="00D27E48" w:rsidRPr="00D27E48" w:rsidRDefault="00D27E48">
      <w:pPr>
        <w:pStyle w:val="NormalWeb"/>
        <w:rPr>
          <w:sz w:val="18"/>
          <w:szCs w:val="18"/>
        </w:rPr>
      </w:pPr>
      <w:r w:rsidRPr="00D27E48">
        <w:rPr>
          <w:i/>
          <w:iCs/>
          <w:sz w:val="18"/>
          <w:szCs w:val="18"/>
        </w:rPr>
        <w:t xml:space="preserve">Recognition of rental income: </w:t>
      </w:r>
      <w:r w:rsidRPr="00D27E48">
        <w:rPr>
          <w:sz w:val="18"/>
          <w:szCs w:val="18"/>
        </w:rPr>
        <w:t>Rental income for commercial property leases is recognized on a straight-line basis over the respective lease terms.</w:t>
      </w:r>
    </w:p>
    <w:p w:rsidR="00D27E48" w:rsidRPr="00D27E48" w:rsidRDefault="00D27E48">
      <w:pPr>
        <w:pStyle w:val="NormalWeb"/>
        <w:rPr>
          <w:sz w:val="18"/>
          <w:szCs w:val="18"/>
        </w:rPr>
      </w:pPr>
      <w:r w:rsidRPr="00D27E48">
        <w:rPr>
          <w:i/>
          <w:iCs/>
          <w:sz w:val="18"/>
          <w:szCs w:val="18"/>
        </w:rPr>
        <w:t>Real Estate Accounting Principles</w:t>
      </w:r>
      <w:r w:rsidRPr="00D27E48">
        <w:rPr>
          <w:sz w:val="18"/>
          <w:szCs w:val="18"/>
        </w:rPr>
        <w:t>: The Company treats the valuation of its real estate in accordance with FASB Statement No. 157, Fair Value Measurements, which provides for the companies accounting valuation of real estate. Statement 157 defines fair value as the price that would be received to sell an asset or paid to transfer a liability in an orderly transaction between market participants at the measurement date. The Company has valued its real estate using the three valuation approaches defined in FASB Statement No. 157: The market approach, which uses observable prices and other relevant information derived from market transactions involving identical or comparable assets or liabilities, The income approach, which uses valuation technique to convert future benefits or costs, usually in the form of cash flows, into a present-value amount. Examples of an income approach include the discounted cash flow method and the direct capitalization method, and the cost approach, which uses estimates of the cost to replace an asset’s service capacity.</w:t>
      </w:r>
    </w:p>
    <w:p w:rsidR="00D27E48" w:rsidRPr="00D27E48" w:rsidRDefault="00D27E48">
      <w:pPr>
        <w:rPr>
          <w:rFonts w:eastAsia="Times New Roman"/>
          <w:sz w:val="18"/>
          <w:szCs w:val="18"/>
        </w:rPr>
      </w:pPr>
      <w:r w:rsidRPr="00D27E48">
        <w:rPr>
          <w:rFonts w:eastAsia="Times New Roman"/>
          <w:i/>
          <w:iCs/>
          <w:sz w:val="18"/>
          <w:szCs w:val="18"/>
        </w:rPr>
        <w:t>Revenue recognition on the sale of real estate:</w:t>
      </w:r>
      <w:r w:rsidRPr="00D27E48">
        <w:rPr>
          <w:rFonts w:eastAsia="Times New Roman"/>
          <w:sz w:val="18"/>
          <w:szCs w:val="18"/>
        </w:rPr>
        <w:t xml:space="preserve"> </w:t>
      </w:r>
    </w:p>
    <w:p w:rsidR="00D27E48" w:rsidRPr="00D27E48" w:rsidRDefault="00D27E48">
      <w:pPr>
        <w:pStyle w:val="NormalWeb"/>
        <w:rPr>
          <w:sz w:val="18"/>
          <w:szCs w:val="18"/>
        </w:rPr>
      </w:pPr>
      <w:r w:rsidRPr="00D27E48">
        <w:rPr>
          <w:sz w:val="18"/>
          <w:szCs w:val="18"/>
        </w:rPr>
        <w:t xml:space="preserve">Sales of real estate are recognized when and to the extent permitted by Statement of Financial Accounting Standards No. 66, “Accounting for Sales of Real Estate” (“SFAS No. 66”), as amended by SFAS No. 144. Until the requirements of SFAS No. 66 for full profit recognition have been met, transactions are accounted for using </w:t>
      </w:r>
      <w:proofErr w:type="gramStart"/>
      <w:r w:rsidRPr="00D27E48">
        <w:rPr>
          <w:sz w:val="18"/>
          <w:szCs w:val="18"/>
        </w:rPr>
        <w:t>either the</w:t>
      </w:r>
      <w:proofErr w:type="gramEnd"/>
      <w:r w:rsidRPr="00D27E48">
        <w:rPr>
          <w:sz w:val="18"/>
          <w:szCs w:val="18"/>
        </w:rPr>
        <w:t xml:space="preserve"> deposit, the installment, the cost recovery, or the financing method, whichever is appropriate.</w:t>
      </w:r>
    </w:p>
    <w:p w:rsidR="00D27E48" w:rsidRPr="00D27E48" w:rsidRDefault="00D27E48">
      <w:pPr>
        <w:spacing w:before="100" w:beforeAutospacing="1" w:after="240"/>
        <w:rPr>
          <w:sz w:val="18"/>
          <w:szCs w:val="18"/>
        </w:rPr>
      </w:pPr>
      <w:r w:rsidRPr="00D27E48">
        <w:rPr>
          <w:b/>
          <w:bCs/>
          <w:i/>
          <w:iCs/>
          <w:sz w:val="18"/>
          <w:szCs w:val="18"/>
        </w:rPr>
        <w:t>Real Estate Investments</w:t>
      </w:r>
      <w:r w:rsidRPr="00D27E48">
        <w:rPr>
          <w:b/>
          <w:bCs/>
          <w:i/>
          <w:iCs/>
          <w:sz w:val="18"/>
          <w:szCs w:val="18"/>
        </w:rPr>
        <w:br/>
      </w:r>
      <w:r w:rsidRPr="00D27E48">
        <w:rPr>
          <w:sz w:val="18"/>
          <w:szCs w:val="18"/>
        </w:rPr>
        <w:br/>
      </w:r>
      <w:r w:rsidRPr="00D27E48">
        <w:rPr>
          <w:i/>
          <w:iCs/>
          <w:sz w:val="18"/>
          <w:szCs w:val="18"/>
        </w:rPr>
        <w:t>Depreciation and Amortization</w:t>
      </w:r>
    </w:p>
    <w:p w:rsidR="00D27E48" w:rsidRPr="00D27E48" w:rsidRDefault="00D27E48">
      <w:pPr>
        <w:spacing w:before="100" w:beforeAutospacing="1" w:after="240"/>
        <w:rPr>
          <w:sz w:val="18"/>
          <w:szCs w:val="18"/>
        </w:rPr>
      </w:pPr>
      <w:r w:rsidRPr="00D27E48">
        <w:rPr>
          <w:sz w:val="18"/>
          <w:szCs w:val="18"/>
        </w:rPr>
        <w:t>Real estate costs related to the acquisition and improvement of properties are capitalized and amortized over the expected useful life of the asset on a straight-line basis. Repair and maintenance costs are charged to expense as incurred and significant replacements and betterments are capitalized. Repair and maintenance costs include all costs that do not extend the useful life of the real estate asset. The Company considers the period of future benefit of an asset to determine its appropriate useful life. The Company anticipates the estimated useful lives of its assets by class to be generally as follows: land improvements: three to 40 years, buildings and building improvements: three to 40 years, and furniture and equipment: one to 20 years.</w:t>
      </w:r>
    </w:p>
    <w:p w:rsidR="00D27E48" w:rsidRPr="00D27E48" w:rsidRDefault="007E7BD4">
      <w:pPr>
        <w:rPr>
          <w:rFonts w:eastAsia="Times New Roman"/>
          <w:sz w:val="18"/>
          <w:szCs w:val="18"/>
        </w:rPr>
      </w:pPr>
      <w:hyperlink w:anchor="toc" w:history="1">
        <w:r w:rsidR="00D27E48" w:rsidRPr="00D27E48">
          <w:rPr>
            <w:rStyle w:val="Hyperlink"/>
            <w:rFonts w:eastAsia="Times New Roman"/>
            <w:b/>
            <w:bCs/>
            <w:sz w:val="18"/>
            <w:szCs w:val="18"/>
          </w:rPr>
          <w:t>Return to Table of Contents</w:t>
        </w:r>
      </w:hyperlink>
      <w:r w:rsidR="00D27E48" w:rsidRPr="00D27E48">
        <w:rPr>
          <w:rFonts w:eastAsia="Times New Roman"/>
          <w:sz w:val="18"/>
          <w:szCs w:val="18"/>
        </w:rPr>
        <w:t xml:space="preserve"> </w:t>
      </w:r>
    </w:p>
    <w:p w:rsidR="00D27E48" w:rsidRDefault="007E7BD4">
      <w:pPr>
        <w:rPr>
          <w:rFonts w:eastAsia="Times New Roman"/>
          <w:sz w:val="20"/>
          <w:szCs w:val="20"/>
        </w:rPr>
      </w:pPr>
      <w:r w:rsidRPr="007E7BD4">
        <w:rPr>
          <w:rFonts w:eastAsia="Times New Roman"/>
          <w:sz w:val="20"/>
          <w:szCs w:val="20"/>
        </w:rPr>
        <w:pict>
          <v:rect id="_x0000_i1039" style="width:0;height:3pt" o:hralign="center" o:hrstd="t" o:hrnoshade="t" o:hr="t" fillcolor="black" stroked="f"/>
        </w:pict>
      </w:r>
    </w:p>
    <w:p w:rsidR="00D27E48" w:rsidRDefault="00D27E48">
      <w:pPr>
        <w:rPr>
          <w:rFonts w:eastAsia="Times New Roman"/>
          <w:sz w:val="20"/>
          <w:szCs w:val="20"/>
        </w:rPr>
      </w:pPr>
      <w:r>
        <w:rPr>
          <w:rFonts w:eastAsia="Times New Roman"/>
          <w:sz w:val="20"/>
          <w:szCs w:val="20"/>
        </w:rPr>
        <w:br w:type="page"/>
      </w:r>
    </w:p>
    <w:p w:rsidR="00D27E48" w:rsidRPr="00D27E48" w:rsidRDefault="00D27E48">
      <w:pPr>
        <w:spacing w:before="100" w:beforeAutospacing="1" w:after="240"/>
        <w:rPr>
          <w:sz w:val="18"/>
          <w:szCs w:val="18"/>
        </w:rPr>
      </w:pPr>
      <w:r w:rsidRPr="00D27E48">
        <w:rPr>
          <w:i/>
          <w:iCs/>
          <w:sz w:val="18"/>
          <w:szCs w:val="18"/>
        </w:rPr>
        <w:lastRenderedPageBreak/>
        <w:t>Impairment of Real Estate Investments</w:t>
      </w:r>
    </w:p>
    <w:p w:rsidR="00D27E48" w:rsidRPr="00D27E48" w:rsidRDefault="00D27E48">
      <w:pPr>
        <w:spacing w:before="100" w:beforeAutospacing="1" w:after="100" w:afterAutospacing="1"/>
        <w:rPr>
          <w:sz w:val="18"/>
          <w:szCs w:val="18"/>
        </w:rPr>
      </w:pPr>
      <w:r w:rsidRPr="00D27E48">
        <w:rPr>
          <w:sz w:val="18"/>
          <w:szCs w:val="18"/>
        </w:rPr>
        <w:t xml:space="preserve">The Company continually monitors events and changes in circumstances that could indicate that the carrying amounts of its real estate investments may not be recoverable or realized. When indicators of potential impairment suggest that the carrying value of real estate investments may not be recoverable, the Company assesses the recoverability by estimating whether the Company will recover the carrying value of its real estate investments through its undiscounted future cash flows and the eventual disposition of the investment. If, based on this analysis, the Company does not believe that it will be able to recover the carrying value of its real estate </w:t>
      </w:r>
      <w:proofErr w:type="gramStart"/>
      <w:r w:rsidRPr="00D27E48">
        <w:rPr>
          <w:sz w:val="18"/>
          <w:szCs w:val="18"/>
        </w:rPr>
        <w:t>investments,</w:t>
      </w:r>
      <w:proofErr w:type="gramEnd"/>
      <w:r w:rsidRPr="00D27E48">
        <w:rPr>
          <w:sz w:val="18"/>
          <w:szCs w:val="18"/>
        </w:rPr>
        <w:t xml:space="preserve"> the Company would record an impairment loss to the extent that the carrying value exceeds the estimated fair value of its real estate investments. The Company recorded no impairment loss on its real estate investments during the period ending December 31, </w:t>
      </w:r>
      <w:proofErr w:type="gramStart"/>
      <w:r w:rsidRPr="00D27E48">
        <w:rPr>
          <w:sz w:val="18"/>
          <w:szCs w:val="18"/>
        </w:rPr>
        <w:t>2011 .</w:t>
      </w:r>
      <w:proofErr w:type="gramEnd"/>
    </w:p>
    <w:p w:rsidR="00D27E48" w:rsidRPr="00D27E48" w:rsidRDefault="00D27E48">
      <w:pPr>
        <w:rPr>
          <w:rFonts w:eastAsia="Times New Roman"/>
          <w:sz w:val="18"/>
          <w:szCs w:val="18"/>
        </w:rPr>
      </w:pPr>
      <w:r w:rsidRPr="00D27E48">
        <w:rPr>
          <w:rFonts w:eastAsia="Times New Roman"/>
          <w:i/>
          <w:iCs/>
          <w:sz w:val="18"/>
          <w:szCs w:val="18"/>
        </w:rPr>
        <w:t>Interest Recognition on Notes Receivable</w:t>
      </w:r>
    </w:p>
    <w:p w:rsidR="00D27E48" w:rsidRPr="00D27E48" w:rsidRDefault="00D27E48">
      <w:pPr>
        <w:pStyle w:val="NormalWeb"/>
        <w:rPr>
          <w:sz w:val="18"/>
          <w:szCs w:val="18"/>
        </w:rPr>
      </w:pPr>
      <w:r w:rsidRPr="00D27E48">
        <w:rPr>
          <w:sz w:val="18"/>
          <w:szCs w:val="18"/>
        </w:rPr>
        <w:t>Interest income is not recognized on notes receivable that have been delinquent for 60 days or more. In addition, accrued but unpaid interest income is only recognized to the extent that the net realizable value of the underlying collateral exceeds the carrying value of the receivable.</w:t>
      </w:r>
    </w:p>
    <w:p w:rsidR="00D27E48" w:rsidRPr="00D27E48" w:rsidRDefault="00D27E48">
      <w:pPr>
        <w:pStyle w:val="NormalWeb"/>
        <w:rPr>
          <w:sz w:val="18"/>
          <w:szCs w:val="18"/>
        </w:rPr>
      </w:pPr>
      <w:r w:rsidRPr="00D27E48">
        <w:rPr>
          <w:i/>
          <w:iCs/>
          <w:sz w:val="18"/>
          <w:szCs w:val="18"/>
        </w:rPr>
        <w:t>Foreign currency translation:</w:t>
      </w:r>
    </w:p>
    <w:p w:rsidR="00D27E48" w:rsidRPr="00D27E48" w:rsidRDefault="00D27E48">
      <w:pPr>
        <w:pStyle w:val="NormalWeb"/>
        <w:rPr>
          <w:sz w:val="18"/>
          <w:szCs w:val="18"/>
        </w:rPr>
      </w:pPr>
      <w:r w:rsidRPr="00D27E48">
        <w:rPr>
          <w:sz w:val="18"/>
          <w:szCs w:val="18"/>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r w:rsidRPr="00D27E48">
        <w:rPr>
          <w:sz w:val="18"/>
          <w:szCs w:val="18"/>
        </w:rPr>
        <w:br/>
      </w:r>
      <w:r w:rsidRPr="00D27E48">
        <w:rPr>
          <w:sz w:val="18"/>
          <w:szCs w:val="18"/>
        </w:rPr>
        <w:br/>
      </w:r>
      <w:r w:rsidRPr="00D27E48">
        <w:rPr>
          <w:i/>
          <w:iCs/>
          <w:sz w:val="18"/>
          <w:szCs w:val="18"/>
        </w:rPr>
        <w:t>Income Taxes:</w:t>
      </w:r>
    </w:p>
    <w:p w:rsidR="00D27E48" w:rsidRPr="00D27E48" w:rsidRDefault="00D27E48">
      <w:pPr>
        <w:pStyle w:val="NormalWeb"/>
        <w:rPr>
          <w:sz w:val="18"/>
          <w:szCs w:val="18"/>
        </w:rPr>
      </w:pPr>
      <w:r w:rsidRPr="00D27E48">
        <w:rPr>
          <w:sz w:val="18"/>
          <w:szCs w:val="18"/>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r w:rsidRPr="00D27E48">
        <w:rPr>
          <w:sz w:val="18"/>
          <w:szCs w:val="18"/>
        </w:rPr>
        <w:br/>
      </w:r>
      <w:r w:rsidRPr="00D27E48">
        <w:rPr>
          <w:sz w:val="18"/>
          <w:szCs w:val="18"/>
        </w:rPr>
        <w:br/>
      </w:r>
      <w:r w:rsidRPr="00D27E48">
        <w:rPr>
          <w:i/>
          <w:iCs/>
          <w:sz w:val="18"/>
          <w:szCs w:val="18"/>
        </w:rPr>
        <w:t>Net Earnings per Share:</w:t>
      </w:r>
    </w:p>
    <w:p w:rsidR="00D27E48" w:rsidRPr="00D27E48" w:rsidRDefault="00D27E48">
      <w:pPr>
        <w:pStyle w:val="NormalWeb"/>
        <w:rPr>
          <w:sz w:val="18"/>
          <w:szCs w:val="18"/>
        </w:rPr>
      </w:pPr>
      <w:r w:rsidRPr="00D27E48">
        <w:rPr>
          <w:sz w:val="18"/>
          <w:szCs w:val="18"/>
        </w:rPr>
        <w:t xml:space="preserve">The Company adopted SFAS No. 128, "Earnings per Share". </w:t>
      </w:r>
      <w:proofErr w:type="gramStart"/>
      <w:r w:rsidRPr="00D27E48">
        <w:rPr>
          <w:sz w:val="18"/>
          <w:szCs w:val="18"/>
        </w:rPr>
        <w:t>Basic earnings per share is</w:t>
      </w:r>
      <w:proofErr w:type="gramEnd"/>
      <w:r w:rsidRPr="00D27E48">
        <w:rPr>
          <w:sz w:val="18"/>
          <w:szCs w:val="18"/>
        </w:rPr>
        <w:t xml:space="preserve">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r w:rsidRPr="00D27E48">
        <w:rPr>
          <w:sz w:val="18"/>
          <w:szCs w:val="18"/>
        </w:rPr>
        <w:br/>
      </w:r>
      <w:r w:rsidRPr="00D27E48">
        <w:rPr>
          <w:sz w:val="18"/>
          <w:szCs w:val="18"/>
        </w:rPr>
        <w:br/>
      </w:r>
      <w:r w:rsidRPr="00D27E48">
        <w:rPr>
          <w:i/>
          <w:iCs/>
          <w:sz w:val="18"/>
          <w:szCs w:val="18"/>
        </w:rPr>
        <w:t>Cash and Cash Equivalents:</w:t>
      </w:r>
    </w:p>
    <w:p w:rsidR="00D27E48" w:rsidRPr="00D27E48" w:rsidRDefault="00D27E48">
      <w:pPr>
        <w:pStyle w:val="NormalWeb"/>
        <w:rPr>
          <w:sz w:val="18"/>
          <w:szCs w:val="18"/>
        </w:rPr>
      </w:pPr>
      <w:r w:rsidRPr="00D27E48">
        <w:rPr>
          <w:sz w:val="18"/>
          <w:szCs w:val="18"/>
        </w:rPr>
        <w:t>For purposes of the statement of cash flows, the Company considers all highly-liquid investments purchased with original maturities of three months or less to be cash equivalents.</w:t>
      </w:r>
      <w:r w:rsidRPr="00D27E48">
        <w:rPr>
          <w:sz w:val="18"/>
          <w:szCs w:val="18"/>
        </w:rPr>
        <w:br/>
      </w:r>
      <w:r w:rsidRPr="00D27E48">
        <w:rPr>
          <w:sz w:val="18"/>
          <w:szCs w:val="18"/>
        </w:rPr>
        <w:br/>
        <w:t>The Company maintains its cash in bank deposit accounts which, at December 31, 2011 did not exceed federally insured limits. The Company has not experienced any losses in such accounts and believes that it is not exposed to any significant credit risk on such amounts.</w:t>
      </w:r>
      <w:r w:rsidRPr="00D27E48">
        <w:rPr>
          <w:sz w:val="18"/>
          <w:szCs w:val="18"/>
        </w:rPr>
        <w:br/>
      </w:r>
      <w:r w:rsidRPr="00D27E48">
        <w:rPr>
          <w:sz w:val="18"/>
          <w:szCs w:val="18"/>
        </w:rPr>
        <w:br/>
      </w:r>
      <w:r w:rsidRPr="00D27E48">
        <w:rPr>
          <w:i/>
          <w:iCs/>
          <w:sz w:val="18"/>
          <w:szCs w:val="18"/>
        </w:rPr>
        <w:t>Estimates:</w:t>
      </w:r>
    </w:p>
    <w:p w:rsidR="00D27E48" w:rsidRPr="00D27E48" w:rsidRDefault="00D27E48">
      <w:pPr>
        <w:pStyle w:val="NormalWeb"/>
        <w:rPr>
          <w:sz w:val="18"/>
          <w:szCs w:val="18"/>
        </w:rPr>
      </w:pPr>
      <w:r w:rsidRPr="00D27E48">
        <w:rPr>
          <w:sz w:val="18"/>
          <w:szCs w:val="18"/>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r w:rsidRPr="00D27E48">
        <w:rPr>
          <w:sz w:val="18"/>
          <w:szCs w:val="18"/>
        </w:rPr>
        <w:br/>
      </w:r>
      <w:r w:rsidRPr="00D27E48">
        <w:rPr>
          <w:sz w:val="18"/>
          <w:szCs w:val="18"/>
        </w:rPr>
        <w:br/>
      </w:r>
      <w:r w:rsidRPr="00D27E48">
        <w:rPr>
          <w:i/>
          <w:iCs/>
          <w:sz w:val="18"/>
          <w:szCs w:val="18"/>
        </w:rPr>
        <w:t>Concentrations of Credit Risk:</w:t>
      </w:r>
    </w:p>
    <w:p w:rsidR="00D27E48" w:rsidRPr="00D27E48" w:rsidRDefault="00D27E48">
      <w:pPr>
        <w:pStyle w:val="NormalWeb"/>
        <w:rPr>
          <w:sz w:val="18"/>
          <w:szCs w:val="18"/>
        </w:rPr>
      </w:pPr>
      <w:r w:rsidRPr="00D27E48">
        <w:rPr>
          <w:sz w:val="18"/>
          <w:szCs w:val="18"/>
        </w:rPr>
        <w:t xml:space="preserve">Financial instruments that potentially subject the Company to major credit risk consist principally of a single subsidiary of Anton Nielsen </w:t>
      </w:r>
      <w:proofErr w:type="spellStart"/>
      <w:r w:rsidRPr="00D27E48">
        <w:rPr>
          <w:sz w:val="18"/>
          <w:szCs w:val="18"/>
        </w:rPr>
        <w:t>Vojens</w:t>
      </w:r>
      <w:proofErr w:type="spellEnd"/>
      <w:r w:rsidRPr="00D27E48">
        <w:rPr>
          <w:sz w:val="18"/>
          <w:szCs w:val="18"/>
        </w:rPr>
        <w:t xml:space="preserve"> </w:t>
      </w:r>
      <w:proofErr w:type="spellStart"/>
      <w:r w:rsidRPr="00D27E48">
        <w:rPr>
          <w:sz w:val="18"/>
          <w:szCs w:val="18"/>
        </w:rPr>
        <w:t>ApS</w:t>
      </w:r>
      <w:proofErr w:type="spellEnd"/>
      <w:r w:rsidRPr="00D27E48">
        <w:rPr>
          <w:sz w:val="18"/>
          <w:szCs w:val="18"/>
        </w:rPr>
        <w:t xml:space="preserve"> and its customer concentration.</w:t>
      </w:r>
    </w:p>
    <w:p w:rsidR="00D27E48" w:rsidRPr="00D27E48" w:rsidRDefault="007E7BD4">
      <w:pPr>
        <w:rPr>
          <w:rFonts w:eastAsia="Times New Roman"/>
          <w:sz w:val="18"/>
          <w:szCs w:val="18"/>
        </w:rPr>
      </w:pPr>
      <w:hyperlink w:anchor="toc" w:history="1">
        <w:r w:rsidR="00D27E48" w:rsidRPr="00D27E48">
          <w:rPr>
            <w:rStyle w:val="Hyperlink"/>
            <w:rFonts w:eastAsia="Times New Roman"/>
            <w:b/>
            <w:bCs/>
            <w:sz w:val="18"/>
            <w:szCs w:val="18"/>
          </w:rPr>
          <w:t>Return to Table of Contents</w:t>
        </w:r>
      </w:hyperlink>
      <w:r w:rsidR="00D27E48" w:rsidRPr="00D27E48">
        <w:rPr>
          <w:rFonts w:eastAsia="Times New Roman"/>
          <w:sz w:val="18"/>
          <w:szCs w:val="18"/>
        </w:rPr>
        <w:t xml:space="preserve"> </w:t>
      </w:r>
    </w:p>
    <w:p w:rsidR="00D27E48" w:rsidRDefault="007E7BD4">
      <w:pPr>
        <w:rPr>
          <w:rFonts w:eastAsia="Times New Roman"/>
          <w:sz w:val="18"/>
          <w:szCs w:val="18"/>
        </w:rPr>
      </w:pPr>
      <w:r w:rsidRPr="007E7BD4">
        <w:rPr>
          <w:rFonts w:eastAsia="Times New Roman"/>
          <w:sz w:val="18"/>
          <w:szCs w:val="18"/>
        </w:rPr>
        <w:pict>
          <v:rect id="_x0000_i1040" style="width:0;height:3pt" o:hralign="center" o:hrstd="t" o:hrnoshade="t" o:hr="t" fillcolor="black" stroked="f"/>
        </w:pict>
      </w:r>
    </w:p>
    <w:p w:rsidR="00D27E48" w:rsidRDefault="00D27E48">
      <w:pPr>
        <w:rPr>
          <w:rFonts w:eastAsia="Times New Roman"/>
          <w:sz w:val="18"/>
          <w:szCs w:val="18"/>
        </w:rPr>
      </w:pPr>
      <w:r>
        <w:rPr>
          <w:rFonts w:eastAsia="Times New Roman"/>
          <w:sz w:val="18"/>
          <w:szCs w:val="18"/>
        </w:rPr>
        <w:br w:type="page"/>
      </w:r>
    </w:p>
    <w:p w:rsidR="00D27E48" w:rsidRPr="00D27E48" w:rsidRDefault="00D27E48">
      <w:pPr>
        <w:pStyle w:val="NormalWeb"/>
        <w:spacing w:after="240" w:afterAutospacing="0"/>
        <w:rPr>
          <w:sz w:val="18"/>
          <w:szCs w:val="18"/>
        </w:rPr>
      </w:pPr>
      <w:r w:rsidRPr="00D27E48">
        <w:rPr>
          <w:i/>
          <w:iCs/>
          <w:sz w:val="18"/>
          <w:szCs w:val="18"/>
        </w:rPr>
        <w:lastRenderedPageBreak/>
        <w:t>Recently Issued Accounting Standards</w:t>
      </w:r>
    </w:p>
    <w:p w:rsidR="00D27E48" w:rsidRPr="00D27E48" w:rsidRDefault="00D27E48">
      <w:pPr>
        <w:pStyle w:val="NormalWeb"/>
        <w:rPr>
          <w:sz w:val="18"/>
          <w:szCs w:val="18"/>
        </w:rPr>
      </w:pPr>
      <w:r w:rsidRPr="00D27E48">
        <w:rPr>
          <w:sz w:val="18"/>
          <w:szCs w:val="18"/>
        </w:rPr>
        <w:t>In February 2006, the FASB issued SFAS No. 155, “Accounting for Certain Hybrid Financial Instruments an Amendment of FASB Statements No. 133 and 140” (“SFAS No. 155”). The purpose of SFAS No. 155 is to simplify the accounting for certain hybrid financial instruments by permitting fair value re-measurement for any hybrid financial instrument that contains an embedded derivative that otherwise would require bifurcation. SFAS No. 155 was effective for all financial instruments acquired or issued after the beginning of an entity’s first fiscal year that begins after September 15, 2006. The Company believes the adoption of SFAS No. 155 had no material impact on its cash flows, results of operations, financial position or liquidity</w:t>
      </w:r>
      <w:proofErr w:type="gramStart"/>
      <w:r w:rsidRPr="00D27E48">
        <w:rPr>
          <w:sz w:val="18"/>
          <w:szCs w:val="18"/>
        </w:rPr>
        <w:t>..</w:t>
      </w:r>
      <w:proofErr w:type="gramEnd"/>
    </w:p>
    <w:p w:rsidR="00D27E48" w:rsidRPr="00D27E48" w:rsidRDefault="00D27E48">
      <w:pPr>
        <w:pStyle w:val="NormalWeb"/>
        <w:rPr>
          <w:sz w:val="18"/>
          <w:szCs w:val="18"/>
        </w:rPr>
      </w:pPr>
      <w:r w:rsidRPr="00D27E48">
        <w:rPr>
          <w:sz w:val="18"/>
          <w:szCs w:val="18"/>
        </w:rPr>
        <w:t xml:space="preserve">In March 2006, the FASB issued SFAS No. 156, “Accounting for Servicing of Financial Assets </w:t>
      </w:r>
      <w:proofErr w:type="gramStart"/>
      <w:r w:rsidRPr="00D27E48">
        <w:rPr>
          <w:sz w:val="18"/>
          <w:szCs w:val="18"/>
        </w:rPr>
        <w:t>“ an</w:t>
      </w:r>
      <w:proofErr w:type="gramEnd"/>
      <w:r w:rsidRPr="00D27E48">
        <w:rPr>
          <w:sz w:val="18"/>
          <w:szCs w:val="18"/>
        </w:rPr>
        <w:t xml:space="preserve"> Amendment of FASB Statement No. 140” (“SFAS No. 156”). SFAS No. 156 requires recognition of a servicing asset or a servicing liability each time an entity undertakes an obligation to service a financial asset by entering into a servicing contract. SFAS No. 156 also requires that all separately recognized servicing assets and servicing liabilities be initially measured at fair value and subsequently measured at fair value at each reporting date. SFAS No. 156 was effective as of the beginning of any entity’s first fiscal year that begins after September 15, 2006. The Company believes that the adoption of SFAS No. 156 had no material impact on its cash flows, results of operations, financial position or liquidity.</w:t>
      </w:r>
    </w:p>
    <w:p w:rsidR="00D27E48" w:rsidRPr="00D27E48" w:rsidRDefault="00D27E48">
      <w:pPr>
        <w:pStyle w:val="NormalWeb"/>
        <w:spacing w:after="240" w:afterAutospacing="0"/>
        <w:rPr>
          <w:sz w:val="18"/>
          <w:szCs w:val="18"/>
        </w:rPr>
      </w:pPr>
      <w:r w:rsidRPr="00D27E48">
        <w:rPr>
          <w:sz w:val="18"/>
          <w:szCs w:val="18"/>
        </w:rPr>
        <w:t>In June 2006, FASB issued FIN No. 48, “Accounting for Uncertainty Taxes”. The interpretation applies to all tax positions related to income taxes subject to FASB Statement No. 109, “Accounting for Income Taxes”. FIN No. 48 clarifies the accounting for uncertainty in income taxes by prescribing a minimum recognition threshold in determining if a tax position should be reflected in the financial statements. Only tax positions that meet the “more likely than not” recognition threshold may be recognized. The interpretation also provides guidance on classification, interest and penalties, accounting in interim periods, disclosure, and transition requirements for uncertain tax positions. FIN No. 48 was effective for the Company’s fiscal year ending June 30, 2007. The Company believes that there were no material tax positions that resulted in a material impact upon implementation of FIN No. 48</w:t>
      </w:r>
      <w:proofErr w:type="gramStart"/>
      <w:r w:rsidRPr="00D27E48">
        <w:rPr>
          <w:sz w:val="18"/>
          <w:szCs w:val="18"/>
        </w:rPr>
        <w:t>..</w:t>
      </w:r>
      <w:proofErr w:type="gramEnd"/>
      <w:r w:rsidRPr="00D27E48">
        <w:rPr>
          <w:sz w:val="18"/>
          <w:szCs w:val="18"/>
        </w:rPr>
        <w:br/>
      </w:r>
      <w:r w:rsidRPr="00D27E48">
        <w:rPr>
          <w:sz w:val="18"/>
          <w:szCs w:val="18"/>
        </w:rPr>
        <w:br/>
        <w:t xml:space="preserve">In September 2006, the FASB issued SFAS No. 157, “Fair Value Measurements”. This standard establishes a single authoritative definition of fair </w:t>
      </w:r>
      <w:proofErr w:type="gramStart"/>
      <w:r w:rsidRPr="00D27E48">
        <w:rPr>
          <w:sz w:val="18"/>
          <w:szCs w:val="18"/>
        </w:rPr>
        <w:t>value,</w:t>
      </w:r>
      <w:proofErr w:type="gramEnd"/>
      <w:r w:rsidRPr="00D27E48">
        <w:rPr>
          <w:sz w:val="18"/>
          <w:szCs w:val="18"/>
        </w:rPr>
        <w:t xml:space="preserve"> sets out a framework for measuring fair value and expands disclosures about fair value measurements. SFAS No. 157 applies to fair value measurements already required or permitted by existing standards. SFAS No. 157 will be effective for the Company’s fiscal year ending June 30, 2009. The Company is currently evaluating the requirements of SFAS No. 157 and has not yet determined the impact on its financial condition and results of operations.</w:t>
      </w:r>
    </w:p>
    <w:p w:rsidR="00D27E48" w:rsidRPr="00D27E48" w:rsidRDefault="00D27E48">
      <w:pPr>
        <w:pStyle w:val="NormalWeb"/>
        <w:rPr>
          <w:sz w:val="18"/>
          <w:szCs w:val="18"/>
        </w:rPr>
      </w:pPr>
      <w:r w:rsidRPr="00D27E48">
        <w:rPr>
          <w:sz w:val="18"/>
          <w:szCs w:val="18"/>
        </w:rPr>
        <w:t>In September 2006, the FASB issued SFAS No. 158, “Employers’ Accounting for Defined Benefit Pension and other Postretirement Plans - an amendment of FASB Statement No. 87, 88, 106 and 132R”. This pronouncement requires an employer to make certain recognitions, measurements, and disclosures regarding defined benefit postretirement plans. The Company does not have any defined benefit postretirement plans and SFAS No. 158 will not have any impact on its financial condition and results of operations.</w:t>
      </w:r>
    </w:p>
    <w:p w:rsidR="00D27E48" w:rsidRPr="00D27E48" w:rsidRDefault="00D27E48">
      <w:pPr>
        <w:pStyle w:val="NormalWeb"/>
        <w:rPr>
          <w:sz w:val="18"/>
          <w:szCs w:val="18"/>
        </w:rPr>
      </w:pPr>
      <w:r w:rsidRPr="00D27E48">
        <w:rPr>
          <w:sz w:val="18"/>
          <w:szCs w:val="18"/>
        </w:rPr>
        <w:t>In September 2006, the Securities and Exchange Commission issued Staff Accounting Bulletin No. 108 “Considering the Effects of Prior Year Misstatements in Current Year Financial Statements” (“SAB 108”). SAB 108 provides guidance on consideration of the effects of prior year misstatements in quantifying current year misstatements for the purpose of a materiality assessment. SAB 108 is effective for fiscal years ending after November 15, 2006. The adoption of SAB 108 did not have an impact on the Company’s consolidated financial statements.</w:t>
      </w:r>
      <w:r w:rsidRPr="00D27E48">
        <w:rPr>
          <w:sz w:val="18"/>
          <w:szCs w:val="18"/>
        </w:rPr>
        <w:br/>
      </w:r>
      <w:r w:rsidRPr="00D27E48">
        <w:rPr>
          <w:sz w:val="18"/>
          <w:szCs w:val="18"/>
        </w:rPr>
        <w:br/>
        <w:t>In February 2007, the FASB issued SFAS No 159, “The Fair Value Option for Financial Assets and Financial Liabilities” (“SFAS 159”) which permits entities to choose to measure many financial instruments and certain other items at fair value that are not currently required to be measured at fair value. SFAS 159 was effective for us on July 1, 2008. The adoption of SFAS 159 did not have an impact on the Company’s consolidated financial statements.</w:t>
      </w:r>
    </w:p>
    <w:p w:rsidR="00D27E48" w:rsidRDefault="00D27E48">
      <w:pPr>
        <w:pStyle w:val="NormalWeb"/>
      </w:pPr>
      <w:r>
        <w:rPr>
          <w:b/>
          <w:bCs/>
          <w:sz w:val="20"/>
          <w:szCs w:val="20"/>
        </w:rPr>
        <w:t>NOTE 3 - MAJOR CUSTOMER:</w:t>
      </w:r>
    </w:p>
    <w:p w:rsidR="00D27E48" w:rsidRPr="00384028" w:rsidRDefault="00D27E48">
      <w:pPr>
        <w:pStyle w:val="NormalWeb"/>
        <w:rPr>
          <w:sz w:val="18"/>
          <w:szCs w:val="18"/>
        </w:rPr>
      </w:pPr>
      <w:r w:rsidRPr="00384028">
        <w:rPr>
          <w:sz w:val="18"/>
          <w:szCs w:val="18"/>
        </w:rPr>
        <w:t xml:space="preserve">The Company's subsidiary, Anton Nielsen </w:t>
      </w:r>
      <w:proofErr w:type="spellStart"/>
      <w:r w:rsidRPr="00384028">
        <w:rPr>
          <w:sz w:val="18"/>
          <w:szCs w:val="18"/>
        </w:rPr>
        <w:t>Vojens</w:t>
      </w:r>
      <w:proofErr w:type="spellEnd"/>
      <w:r w:rsidRPr="00384028">
        <w:rPr>
          <w:sz w:val="18"/>
          <w:szCs w:val="18"/>
        </w:rPr>
        <w:t xml:space="preserve">, </w:t>
      </w:r>
      <w:proofErr w:type="spellStart"/>
      <w:r w:rsidRPr="00384028">
        <w:rPr>
          <w:sz w:val="18"/>
          <w:szCs w:val="18"/>
        </w:rPr>
        <w:t>ApS</w:t>
      </w:r>
      <w:proofErr w:type="spellEnd"/>
      <w:r w:rsidRPr="00384028">
        <w:rPr>
          <w:sz w:val="18"/>
          <w:szCs w:val="18"/>
        </w:rPr>
        <w:t xml:space="preserve"> has sales to two major customers who were non related parts. For the period ending December 31, 2011, June 30, 2011, and June 30, 2010 the major customer concentrations were as follows: </w:t>
      </w:r>
    </w:p>
    <w:tbl>
      <w:tblPr>
        <w:tblW w:w="3536" w:type="pct"/>
        <w:tblCellSpacing w:w="15" w:type="dxa"/>
        <w:tblCellMar>
          <w:left w:w="0" w:type="dxa"/>
          <w:right w:w="0" w:type="dxa"/>
        </w:tblCellMar>
        <w:tblLook w:val="04A0"/>
      </w:tblPr>
      <w:tblGrid>
        <w:gridCol w:w="3219"/>
        <w:gridCol w:w="1470"/>
        <w:gridCol w:w="1470"/>
        <w:gridCol w:w="1521"/>
      </w:tblGrid>
      <w:tr w:rsidR="00D27E48" w:rsidRPr="00384028" w:rsidTr="00384028">
        <w:trPr>
          <w:tblCellSpacing w:w="15" w:type="dxa"/>
        </w:trPr>
        <w:tc>
          <w:tcPr>
            <w:tcW w:w="2090" w:type="pct"/>
            <w:shd w:val="clear" w:color="auto" w:fill="CCFFCC"/>
            <w:vAlign w:val="center"/>
            <w:hideMark/>
          </w:tcPr>
          <w:p w:rsidR="00D27E48" w:rsidRPr="00384028" w:rsidRDefault="00D27E48">
            <w:pPr>
              <w:rPr>
                <w:rFonts w:eastAsia="Times New Roman"/>
                <w:sz w:val="18"/>
                <w:szCs w:val="18"/>
              </w:rPr>
            </w:pPr>
          </w:p>
        </w:tc>
        <w:tc>
          <w:tcPr>
            <w:tcW w:w="2852" w:type="pct"/>
            <w:gridSpan w:val="3"/>
            <w:shd w:val="clear" w:color="auto" w:fill="CCFFCC"/>
            <w:vAlign w:val="center"/>
            <w:hideMark/>
          </w:tcPr>
          <w:p w:rsidR="00D27E48" w:rsidRPr="00384028" w:rsidRDefault="00D27E48">
            <w:pPr>
              <w:jc w:val="center"/>
              <w:rPr>
                <w:rFonts w:eastAsia="Times New Roman"/>
                <w:sz w:val="18"/>
                <w:szCs w:val="18"/>
              </w:rPr>
            </w:pPr>
            <w:r w:rsidRPr="00384028">
              <w:rPr>
                <w:rFonts w:eastAsia="Times New Roman"/>
                <w:b/>
                <w:bCs/>
                <w:sz w:val="18"/>
                <w:szCs w:val="18"/>
              </w:rPr>
              <w:t xml:space="preserve">Percent of Sales </w:t>
            </w:r>
            <w:r w:rsidRPr="00384028">
              <w:rPr>
                <w:rFonts w:eastAsia="Times New Roman"/>
                <w:sz w:val="18"/>
                <w:szCs w:val="18"/>
              </w:rPr>
              <w:br/>
            </w:r>
            <w:r w:rsidRPr="00384028">
              <w:rPr>
                <w:rFonts w:eastAsia="Times New Roman"/>
                <w:b/>
                <w:bCs/>
                <w:sz w:val="18"/>
                <w:szCs w:val="18"/>
              </w:rPr>
              <w:t>for the Period ending</w:t>
            </w:r>
          </w:p>
        </w:tc>
      </w:tr>
      <w:tr w:rsidR="00D27E48" w:rsidRPr="00384028" w:rsidTr="00384028">
        <w:trPr>
          <w:tblCellSpacing w:w="15" w:type="dxa"/>
        </w:trPr>
        <w:tc>
          <w:tcPr>
            <w:tcW w:w="2090" w:type="pct"/>
            <w:shd w:val="clear" w:color="auto" w:fill="FFFFFF"/>
            <w:vAlign w:val="center"/>
            <w:hideMark/>
          </w:tcPr>
          <w:p w:rsidR="00D27E48" w:rsidRPr="00384028" w:rsidRDefault="00D27E48">
            <w:pPr>
              <w:rPr>
                <w:rFonts w:eastAsia="Times New Roman"/>
                <w:sz w:val="18"/>
                <w:szCs w:val="18"/>
              </w:rPr>
            </w:pPr>
          </w:p>
        </w:tc>
        <w:tc>
          <w:tcPr>
            <w:tcW w:w="938" w:type="pct"/>
            <w:shd w:val="clear" w:color="auto" w:fill="FFFFFF"/>
            <w:vAlign w:val="center"/>
            <w:hideMark/>
          </w:tcPr>
          <w:p w:rsidR="00D27E48" w:rsidRPr="00384028" w:rsidRDefault="00D27E48">
            <w:pPr>
              <w:jc w:val="center"/>
              <w:rPr>
                <w:rFonts w:eastAsia="Times New Roman"/>
                <w:sz w:val="18"/>
                <w:szCs w:val="18"/>
              </w:rPr>
            </w:pPr>
            <w:r w:rsidRPr="00384028">
              <w:rPr>
                <w:rFonts w:eastAsia="Times New Roman"/>
                <w:b/>
                <w:bCs/>
                <w:sz w:val="18"/>
                <w:szCs w:val="18"/>
              </w:rPr>
              <w:t>December 31,</w:t>
            </w:r>
          </w:p>
        </w:tc>
        <w:tc>
          <w:tcPr>
            <w:tcW w:w="1895" w:type="pct"/>
            <w:gridSpan w:val="2"/>
            <w:shd w:val="clear" w:color="auto" w:fill="FFFFFF"/>
            <w:vAlign w:val="center"/>
            <w:hideMark/>
          </w:tcPr>
          <w:p w:rsidR="00D27E48" w:rsidRPr="00384028" w:rsidRDefault="00D27E48">
            <w:pPr>
              <w:jc w:val="center"/>
              <w:rPr>
                <w:rFonts w:eastAsia="Times New Roman"/>
                <w:sz w:val="18"/>
                <w:szCs w:val="18"/>
              </w:rPr>
            </w:pPr>
            <w:r w:rsidRPr="00384028">
              <w:rPr>
                <w:rFonts w:eastAsia="Times New Roman"/>
                <w:b/>
                <w:bCs/>
                <w:sz w:val="18"/>
                <w:szCs w:val="18"/>
              </w:rPr>
              <w:t>June 30,</w:t>
            </w:r>
          </w:p>
        </w:tc>
      </w:tr>
      <w:tr w:rsidR="00384028" w:rsidRPr="00384028" w:rsidTr="00384028">
        <w:trPr>
          <w:tblCellSpacing w:w="15" w:type="dxa"/>
        </w:trPr>
        <w:tc>
          <w:tcPr>
            <w:tcW w:w="2090" w:type="pct"/>
            <w:shd w:val="clear" w:color="auto" w:fill="FFFFFF"/>
            <w:vAlign w:val="center"/>
            <w:hideMark/>
          </w:tcPr>
          <w:p w:rsidR="00D27E48" w:rsidRPr="00384028" w:rsidRDefault="00D27E48">
            <w:pPr>
              <w:jc w:val="center"/>
              <w:rPr>
                <w:rFonts w:eastAsia="Times New Roman"/>
                <w:sz w:val="18"/>
                <w:szCs w:val="18"/>
              </w:rPr>
            </w:pPr>
            <w:r w:rsidRPr="00384028">
              <w:rPr>
                <w:rFonts w:eastAsia="Times New Roman"/>
                <w:b/>
                <w:bCs/>
                <w:sz w:val="18"/>
                <w:szCs w:val="18"/>
              </w:rPr>
              <w:t>Customer</w:t>
            </w:r>
          </w:p>
        </w:tc>
        <w:tc>
          <w:tcPr>
            <w:tcW w:w="938" w:type="pct"/>
            <w:shd w:val="clear" w:color="auto" w:fill="FFFFFF"/>
            <w:vAlign w:val="center"/>
            <w:hideMark/>
          </w:tcPr>
          <w:p w:rsidR="00D27E48" w:rsidRPr="00384028" w:rsidRDefault="00D27E48">
            <w:pPr>
              <w:jc w:val="right"/>
              <w:rPr>
                <w:rFonts w:eastAsia="Times New Roman"/>
                <w:sz w:val="18"/>
                <w:szCs w:val="18"/>
              </w:rPr>
            </w:pPr>
            <w:r w:rsidRPr="00384028">
              <w:rPr>
                <w:rFonts w:eastAsia="Times New Roman"/>
                <w:b/>
                <w:bCs/>
                <w:sz w:val="18"/>
                <w:szCs w:val="18"/>
                <w:u w:val="single"/>
              </w:rPr>
              <w:t>2011</w:t>
            </w:r>
          </w:p>
        </w:tc>
        <w:tc>
          <w:tcPr>
            <w:tcW w:w="938" w:type="pct"/>
            <w:shd w:val="clear" w:color="auto" w:fill="FFFFFF"/>
            <w:vAlign w:val="center"/>
            <w:hideMark/>
          </w:tcPr>
          <w:p w:rsidR="00D27E48" w:rsidRPr="00384028" w:rsidRDefault="00D27E48">
            <w:pPr>
              <w:jc w:val="right"/>
              <w:rPr>
                <w:rFonts w:eastAsia="Times New Roman"/>
                <w:sz w:val="18"/>
                <w:szCs w:val="18"/>
              </w:rPr>
            </w:pPr>
            <w:r w:rsidRPr="00384028">
              <w:rPr>
                <w:rFonts w:eastAsia="Times New Roman"/>
                <w:b/>
                <w:bCs/>
                <w:sz w:val="18"/>
                <w:szCs w:val="18"/>
                <w:u w:val="single"/>
              </w:rPr>
              <w:t>2011</w:t>
            </w:r>
          </w:p>
        </w:tc>
        <w:tc>
          <w:tcPr>
            <w:tcW w:w="938" w:type="pct"/>
            <w:shd w:val="clear" w:color="auto" w:fill="FFFFFF"/>
            <w:vAlign w:val="center"/>
            <w:hideMark/>
          </w:tcPr>
          <w:p w:rsidR="00D27E48" w:rsidRPr="00384028" w:rsidRDefault="00D27E48">
            <w:pPr>
              <w:jc w:val="right"/>
              <w:rPr>
                <w:rFonts w:eastAsia="Times New Roman"/>
                <w:sz w:val="18"/>
                <w:szCs w:val="18"/>
              </w:rPr>
            </w:pPr>
            <w:r w:rsidRPr="00384028">
              <w:rPr>
                <w:rFonts w:eastAsia="Times New Roman"/>
                <w:b/>
                <w:bCs/>
                <w:sz w:val="18"/>
                <w:szCs w:val="18"/>
                <w:u w:val="single"/>
              </w:rPr>
              <w:t>2010</w:t>
            </w:r>
          </w:p>
        </w:tc>
      </w:tr>
      <w:tr w:rsidR="00384028" w:rsidRPr="00384028" w:rsidTr="00384028">
        <w:trPr>
          <w:tblCellSpacing w:w="15" w:type="dxa"/>
        </w:trPr>
        <w:tc>
          <w:tcPr>
            <w:tcW w:w="2090" w:type="pct"/>
            <w:shd w:val="clear" w:color="auto" w:fill="CCFFCC"/>
            <w:vAlign w:val="center"/>
            <w:hideMark/>
          </w:tcPr>
          <w:p w:rsidR="00D27E48" w:rsidRPr="00384028" w:rsidRDefault="00D27E48">
            <w:pPr>
              <w:jc w:val="center"/>
              <w:rPr>
                <w:rFonts w:eastAsia="Times New Roman"/>
                <w:sz w:val="18"/>
                <w:szCs w:val="18"/>
              </w:rPr>
            </w:pPr>
            <w:r w:rsidRPr="00384028">
              <w:rPr>
                <w:rFonts w:eastAsia="Times New Roman"/>
                <w:sz w:val="18"/>
                <w:szCs w:val="18"/>
              </w:rPr>
              <w:t>A</w:t>
            </w:r>
          </w:p>
        </w:tc>
        <w:tc>
          <w:tcPr>
            <w:tcW w:w="938" w:type="pct"/>
            <w:shd w:val="clear" w:color="auto" w:fill="CCFFCC"/>
            <w:vAlign w:val="center"/>
            <w:hideMark/>
          </w:tcPr>
          <w:p w:rsidR="00D27E48" w:rsidRPr="00384028" w:rsidRDefault="00D27E48">
            <w:pPr>
              <w:jc w:val="right"/>
              <w:rPr>
                <w:rFonts w:eastAsia="Times New Roman"/>
                <w:sz w:val="18"/>
                <w:szCs w:val="18"/>
              </w:rPr>
            </w:pPr>
            <w:r w:rsidRPr="00384028">
              <w:rPr>
                <w:rFonts w:eastAsia="Times New Roman"/>
                <w:sz w:val="18"/>
                <w:szCs w:val="18"/>
              </w:rPr>
              <w:t>100%</w:t>
            </w:r>
          </w:p>
        </w:tc>
        <w:tc>
          <w:tcPr>
            <w:tcW w:w="938" w:type="pct"/>
            <w:shd w:val="clear" w:color="auto" w:fill="CCFFCC"/>
            <w:vAlign w:val="center"/>
            <w:hideMark/>
          </w:tcPr>
          <w:p w:rsidR="00D27E48" w:rsidRPr="00384028" w:rsidRDefault="00D27E48">
            <w:pPr>
              <w:jc w:val="right"/>
              <w:rPr>
                <w:rFonts w:eastAsia="Times New Roman"/>
                <w:sz w:val="18"/>
                <w:szCs w:val="18"/>
              </w:rPr>
            </w:pPr>
            <w:r w:rsidRPr="00384028">
              <w:rPr>
                <w:rFonts w:eastAsia="Times New Roman"/>
                <w:sz w:val="18"/>
                <w:szCs w:val="18"/>
              </w:rPr>
              <w:t>100%</w:t>
            </w:r>
          </w:p>
        </w:tc>
        <w:tc>
          <w:tcPr>
            <w:tcW w:w="938" w:type="pct"/>
            <w:shd w:val="clear" w:color="auto" w:fill="CCFFCC"/>
            <w:vAlign w:val="center"/>
            <w:hideMark/>
          </w:tcPr>
          <w:p w:rsidR="00D27E48" w:rsidRPr="00384028" w:rsidRDefault="00D27E48">
            <w:pPr>
              <w:jc w:val="right"/>
              <w:rPr>
                <w:rFonts w:eastAsia="Times New Roman"/>
                <w:sz w:val="18"/>
                <w:szCs w:val="18"/>
              </w:rPr>
            </w:pPr>
            <w:r w:rsidRPr="00384028">
              <w:rPr>
                <w:rFonts w:eastAsia="Times New Roman"/>
                <w:sz w:val="18"/>
                <w:szCs w:val="18"/>
              </w:rPr>
              <w:t>100%</w:t>
            </w:r>
          </w:p>
        </w:tc>
      </w:tr>
      <w:tr w:rsidR="00384028" w:rsidRPr="00384028" w:rsidTr="00384028">
        <w:trPr>
          <w:tblCellSpacing w:w="15" w:type="dxa"/>
        </w:trPr>
        <w:tc>
          <w:tcPr>
            <w:tcW w:w="2090" w:type="pct"/>
            <w:shd w:val="clear" w:color="auto" w:fill="FFFFFF"/>
            <w:vAlign w:val="center"/>
            <w:hideMark/>
          </w:tcPr>
          <w:p w:rsidR="00D27E48" w:rsidRPr="00384028" w:rsidRDefault="00D27E48">
            <w:pPr>
              <w:jc w:val="center"/>
              <w:rPr>
                <w:rFonts w:eastAsia="Times New Roman"/>
                <w:sz w:val="18"/>
                <w:szCs w:val="18"/>
              </w:rPr>
            </w:pPr>
            <w:r w:rsidRPr="00384028">
              <w:rPr>
                <w:rFonts w:eastAsia="Times New Roman"/>
                <w:sz w:val="18"/>
                <w:szCs w:val="18"/>
              </w:rPr>
              <w:t>B</w:t>
            </w:r>
          </w:p>
        </w:tc>
        <w:tc>
          <w:tcPr>
            <w:tcW w:w="938" w:type="pct"/>
            <w:shd w:val="clear" w:color="auto" w:fill="FFFFFF"/>
            <w:vAlign w:val="center"/>
            <w:hideMark/>
          </w:tcPr>
          <w:p w:rsidR="00D27E48" w:rsidRPr="00384028" w:rsidRDefault="00D27E48">
            <w:pPr>
              <w:jc w:val="right"/>
              <w:rPr>
                <w:rFonts w:eastAsia="Times New Roman"/>
                <w:sz w:val="18"/>
                <w:szCs w:val="18"/>
              </w:rPr>
            </w:pPr>
            <w:r w:rsidRPr="00384028">
              <w:rPr>
                <w:rFonts w:eastAsia="Times New Roman"/>
                <w:sz w:val="18"/>
                <w:szCs w:val="18"/>
              </w:rPr>
              <w:t>0%</w:t>
            </w:r>
          </w:p>
        </w:tc>
        <w:tc>
          <w:tcPr>
            <w:tcW w:w="938" w:type="pct"/>
            <w:shd w:val="clear" w:color="auto" w:fill="FFFFFF"/>
            <w:vAlign w:val="center"/>
            <w:hideMark/>
          </w:tcPr>
          <w:p w:rsidR="00D27E48" w:rsidRPr="00384028" w:rsidRDefault="00D27E48">
            <w:pPr>
              <w:jc w:val="right"/>
              <w:rPr>
                <w:rFonts w:eastAsia="Times New Roman"/>
                <w:sz w:val="18"/>
                <w:szCs w:val="18"/>
              </w:rPr>
            </w:pPr>
            <w:r w:rsidRPr="00384028">
              <w:rPr>
                <w:rFonts w:eastAsia="Times New Roman"/>
                <w:sz w:val="18"/>
                <w:szCs w:val="18"/>
              </w:rPr>
              <w:t>0%</w:t>
            </w:r>
          </w:p>
        </w:tc>
        <w:tc>
          <w:tcPr>
            <w:tcW w:w="938" w:type="pct"/>
            <w:shd w:val="clear" w:color="auto" w:fill="FFFFFF"/>
            <w:vAlign w:val="center"/>
            <w:hideMark/>
          </w:tcPr>
          <w:p w:rsidR="00D27E48" w:rsidRPr="00384028" w:rsidRDefault="00D27E48">
            <w:pPr>
              <w:jc w:val="right"/>
              <w:rPr>
                <w:rFonts w:eastAsia="Times New Roman"/>
                <w:sz w:val="18"/>
                <w:szCs w:val="18"/>
              </w:rPr>
            </w:pPr>
            <w:r w:rsidRPr="00384028">
              <w:rPr>
                <w:rFonts w:eastAsia="Times New Roman"/>
                <w:sz w:val="18"/>
                <w:szCs w:val="18"/>
              </w:rPr>
              <w:t>0%</w:t>
            </w:r>
          </w:p>
        </w:tc>
      </w:tr>
      <w:tr w:rsidR="00384028" w:rsidRPr="00384028" w:rsidTr="00384028">
        <w:trPr>
          <w:tblCellSpacing w:w="15" w:type="dxa"/>
        </w:trPr>
        <w:tc>
          <w:tcPr>
            <w:tcW w:w="2090" w:type="pct"/>
            <w:shd w:val="clear" w:color="auto" w:fill="CCFFCC"/>
            <w:vAlign w:val="center"/>
            <w:hideMark/>
          </w:tcPr>
          <w:p w:rsidR="00D27E48" w:rsidRPr="00384028" w:rsidRDefault="007E7BD4">
            <w:pPr>
              <w:jc w:val="right"/>
              <w:rPr>
                <w:rFonts w:eastAsia="Times New Roman"/>
                <w:sz w:val="18"/>
                <w:szCs w:val="18"/>
              </w:rPr>
            </w:pPr>
            <w:r w:rsidRPr="007E7BD4">
              <w:rPr>
                <w:rFonts w:eastAsia="Times New Roman"/>
                <w:sz w:val="18"/>
                <w:szCs w:val="18"/>
              </w:rPr>
              <w:pict>
                <v:rect id="_x0000_i1041" style="width:0;height:1.5pt" o:hralign="center" o:hrstd="t" o:hr="t" fillcolor="#aca899" stroked="f"/>
              </w:pict>
            </w:r>
          </w:p>
        </w:tc>
        <w:tc>
          <w:tcPr>
            <w:tcW w:w="938" w:type="pct"/>
            <w:shd w:val="clear" w:color="auto" w:fill="CCFFCC"/>
            <w:vAlign w:val="center"/>
            <w:hideMark/>
          </w:tcPr>
          <w:p w:rsidR="00D27E48" w:rsidRPr="00384028" w:rsidRDefault="007E7BD4">
            <w:pPr>
              <w:rPr>
                <w:rFonts w:eastAsia="Times New Roman"/>
                <w:sz w:val="18"/>
                <w:szCs w:val="18"/>
              </w:rPr>
            </w:pPr>
            <w:r w:rsidRPr="007E7BD4">
              <w:rPr>
                <w:rFonts w:eastAsia="Times New Roman"/>
                <w:sz w:val="18"/>
                <w:szCs w:val="18"/>
              </w:rPr>
              <w:pict>
                <v:rect id="_x0000_i1042" style="width:0;height:1.5pt" o:hralign="center" o:hrstd="t" o:hr="t" fillcolor="#aca899" stroked="f"/>
              </w:pict>
            </w:r>
          </w:p>
        </w:tc>
        <w:tc>
          <w:tcPr>
            <w:tcW w:w="938" w:type="pct"/>
            <w:shd w:val="clear" w:color="auto" w:fill="CCFFCC"/>
            <w:vAlign w:val="center"/>
            <w:hideMark/>
          </w:tcPr>
          <w:p w:rsidR="00D27E48" w:rsidRPr="00384028" w:rsidRDefault="007E7BD4">
            <w:pPr>
              <w:jc w:val="right"/>
              <w:rPr>
                <w:rFonts w:eastAsia="Times New Roman"/>
                <w:sz w:val="18"/>
                <w:szCs w:val="18"/>
              </w:rPr>
            </w:pPr>
            <w:r w:rsidRPr="007E7BD4">
              <w:rPr>
                <w:rFonts w:eastAsia="Times New Roman"/>
                <w:sz w:val="18"/>
                <w:szCs w:val="18"/>
              </w:rPr>
              <w:pict>
                <v:rect id="_x0000_i1043" style="width:0;height:1.5pt" o:hralign="center" o:hrstd="t" o:hr="t" fillcolor="#aca899" stroked="f"/>
              </w:pict>
            </w:r>
          </w:p>
        </w:tc>
        <w:tc>
          <w:tcPr>
            <w:tcW w:w="938" w:type="pct"/>
            <w:shd w:val="clear" w:color="auto" w:fill="CCFFCC"/>
            <w:vAlign w:val="center"/>
            <w:hideMark/>
          </w:tcPr>
          <w:p w:rsidR="00D27E48" w:rsidRPr="00384028" w:rsidRDefault="007E7BD4">
            <w:pPr>
              <w:jc w:val="right"/>
              <w:rPr>
                <w:rFonts w:eastAsia="Times New Roman"/>
                <w:sz w:val="18"/>
                <w:szCs w:val="18"/>
              </w:rPr>
            </w:pPr>
            <w:r w:rsidRPr="007E7BD4">
              <w:rPr>
                <w:rFonts w:eastAsia="Times New Roman"/>
                <w:sz w:val="18"/>
                <w:szCs w:val="18"/>
              </w:rPr>
              <w:pict>
                <v:rect id="_x0000_i1044" style="width:0;height:1.5pt" o:hralign="center" o:hrstd="t" o:hr="t" fillcolor="#aca899" stroked="f"/>
              </w:pict>
            </w:r>
          </w:p>
        </w:tc>
      </w:tr>
      <w:tr w:rsidR="00384028" w:rsidRPr="00384028" w:rsidTr="00384028">
        <w:trPr>
          <w:tblCellSpacing w:w="15" w:type="dxa"/>
        </w:trPr>
        <w:tc>
          <w:tcPr>
            <w:tcW w:w="2090" w:type="pct"/>
            <w:shd w:val="clear" w:color="auto" w:fill="FFFFFF"/>
            <w:vAlign w:val="center"/>
            <w:hideMark/>
          </w:tcPr>
          <w:p w:rsidR="00D27E48" w:rsidRPr="00384028" w:rsidRDefault="00D27E48">
            <w:pPr>
              <w:jc w:val="right"/>
              <w:rPr>
                <w:rFonts w:eastAsia="Times New Roman"/>
                <w:sz w:val="18"/>
                <w:szCs w:val="18"/>
              </w:rPr>
            </w:pPr>
            <w:r w:rsidRPr="00384028">
              <w:rPr>
                <w:rFonts w:eastAsia="Times New Roman"/>
                <w:b/>
                <w:bCs/>
                <w:sz w:val="18"/>
                <w:szCs w:val="18"/>
              </w:rPr>
              <w:t>Total Sales from Major Customers</w:t>
            </w:r>
          </w:p>
        </w:tc>
        <w:tc>
          <w:tcPr>
            <w:tcW w:w="938" w:type="pct"/>
            <w:shd w:val="clear" w:color="auto" w:fill="FFFFFF"/>
            <w:vAlign w:val="center"/>
            <w:hideMark/>
          </w:tcPr>
          <w:p w:rsidR="00D27E48" w:rsidRPr="00384028" w:rsidRDefault="00D27E48">
            <w:pPr>
              <w:jc w:val="right"/>
              <w:rPr>
                <w:rFonts w:eastAsia="Times New Roman"/>
                <w:sz w:val="18"/>
                <w:szCs w:val="18"/>
              </w:rPr>
            </w:pPr>
            <w:r w:rsidRPr="00384028">
              <w:rPr>
                <w:rFonts w:eastAsia="Times New Roman"/>
                <w:b/>
                <w:bCs/>
                <w:sz w:val="18"/>
                <w:szCs w:val="18"/>
              </w:rPr>
              <w:t>100%</w:t>
            </w:r>
          </w:p>
        </w:tc>
        <w:tc>
          <w:tcPr>
            <w:tcW w:w="938" w:type="pct"/>
            <w:shd w:val="clear" w:color="auto" w:fill="FFFFFF"/>
            <w:vAlign w:val="center"/>
            <w:hideMark/>
          </w:tcPr>
          <w:p w:rsidR="00D27E48" w:rsidRPr="00384028" w:rsidRDefault="00D27E48">
            <w:pPr>
              <w:jc w:val="right"/>
              <w:rPr>
                <w:rFonts w:eastAsia="Times New Roman"/>
                <w:sz w:val="18"/>
                <w:szCs w:val="18"/>
              </w:rPr>
            </w:pPr>
            <w:r w:rsidRPr="00384028">
              <w:rPr>
                <w:rFonts w:eastAsia="Times New Roman"/>
                <w:b/>
                <w:bCs/>
                <w:sz w:val="18"/>
                <w:szCs w:val="18"/>
              </w:rPr>
              <w:t>100%</w:t>
            </w:r>
          </w:p>
        </w:tc>
        <w:tc>
          <w:tcPr>
            <w:tcW w:w="938" w:type="pct"/>
            <w:shd w:val="clear" w:color="auto" w:fill="FFFFFF"/>
            <w:vAlign w:val="center"/>
            <w:hideMark/>
          </w:tcPr>
          <w:p w:rsidR="00D27E48" w:rsidRPr="00384028" w:rsidRDefault="00D27E48">
            <w:pPr>
              <w:jc w:val="right"/>
              <w:rPr>
                <w:rFonts w:eastAsia="Times New Roman"/>
                <w:sz w:val="18"/>
                <w:szCs w:val="18"/>
              </w:rPr>
            </w:pPr>
            <w:r w:rsidRPr="00384028">
              <w:rPr>
                <w:rFonts w:eastAsia="Times New Roman"/>
                <w:b/>
                <w:bCs/>
                <w:sz w:val="18"/>
                <w:szCs w:val="18"/>
              </w:rPr>
              <w:t>100%</w:t>
            </w:r>
          </w:p>
        </w:tc>
      </w:tr>
    </w:tbl>
    <w:p w:rsidR="00384028" w:rsidRPr="00D27E48" w:rsidRDefault="00384028" w:rsidP="00384028">
      <w:pPr>
        <w:pStyle w:val="NormalWeb"/>
        <w:rPr>
          <w:sz w:val="18"/>
          <w:szCs w:val="18"/>
        </w:rPr>
      </w:pPr>
    </w:p>
    <w:p w:rsidR="00384028" w:rsidRPr="00D27E48" w:rsidRDefault="007E7BD4" w:rsidP="00384028">
      <w:pPr>
        <w:rPr>
          <w:rFonts w:eastAsia="Times New Roman"/>
          <w:sz w:val="18"/>
          <w:szCs w:val="18"/>
        </w:rPr>
      </w:pPr>
      <w:hyperlink w:anchor="toc" w:history="1">
        <w:r w:rsidR="00384028" w:rsidRPr="00D27E48">
          <w:rPr>
            <w:rStyle w:val="Hyperlink"/>
            <w:rFonts w:eastAsia="Times New Roman"/>
            <w:b/>
            <w:bCs/>
            <w:sz w:val="18"/>
            <w:szCs w:val="18"/>
          </w:rPr>
          <w:t>Return to Table of Contents</w:t>
        </w:r>
      </w:hyperlink>
      <w:r w:rsidR="00384028" w:rsidRPr="00D27E48">
        <w:rPr>
          <w:rFonts w:eastAsia="Times New Roman"/>
          <w:sz w:val="18"/>
          <w:szCs w:val="18"/>
        </w:rPr>
        <w:t xml:space="preserve"> </w:t>
      </w:r>
    </w:p>
    <w:p w:rsidR="00384028" w:rsidRPr="00384028" w:rsidRDefault="007E7BD4" w:rsidP="00384028">
      <w:pPr>
        <w:rPr>
          <w:rFonts w:eastAsia="Times New Roman"/>
          <w:sz w:val="18"/>
          <w:szCs w:val="18"/>
        </w:rPr>
      </w:pPr>
      <w:r w:rsidRPr="007E7BD4">
        <w:rPr>
          <w:rFonts w:eastAsia="Times New Roman"/>
          <w:sz w:val="18"/>
          <w:szCs w:val="18"/>
        </w:rPr>
        <w:pict>
          <v:rect id="_x0000_i1045" style="width:0;height:3pt" o:hralign="center" o:hrstd="t" o:hrnoshade="t" o:hr="t" fillcolor="black" stroked="f"/>
        </w:pict>
      </w:r>
    </w:p>
    <w:p w:rsidR="00D27E48" w:rsidRDefault="00D27E48">
      <w:pPr>
        <w:spacing w:before="100" w:beforeAutospacing="1" w:after="100" w:afterAutospacing="1"/>
      </w:pPr>
      <w:r>
        <w:rPr>
          <w:b/>
          <w:bCs/>
          <w:sz w:val="20"/>
          <w:szCs w:val="20"/>
        </w:rPr>
        <w:lastRenderedPageBreak/>
        <w:t xml:space="preserve">NOTE 4 - LAND AND </w:t>
      </w:r>
      <w:proofErr w:type="gramStart"/>
      <w:r>
        <w:rPr>
          <w:b/>
          <w:bCs/>
          <w:sz w:val="20"/>
          <w:szCs w:val="20"/>
        </w:rPr>
        <w:t>BUILDINGS :</w:t>
      </w:r>
      <w:proofErr w:type="gramEnd"/>
    </w:p>
    <w:p w:rsidR="00D27E48" w:rsidRPr="00384028" w:rsidRDefault="00D27E48">
      <w:pPr>
        <w:rPr>
          <w:rFonts w:eastAsia="Times New Roman"/>
          <w:sz w:val="18"/>
          <w:szCs w:val="18"/>
        </w:rPr>
      </w:pPr>
      <w:r w:rsidRPr="00384028">
        <w:rPr>
          <w:rFonts w:eastAsia="Times New Roman"/>
          <w:sz w:val="18"/>
          <w:szCs w:val="18"/>
        </w:rPr>
        <w:t xml:space="preserve">The Land owned by the Company's wholly owned subsidiary constitutes the largest asset of the Company. During the period ending December 31, 2011 the Company recorded no change in the value of the Land. The value of the Land of the Company was as follows: </w:t>
      </w:r>
    </w:p>
    <w:tbl>
      <w:tblPr>
        <w:tblW w:w="2500" w:type="pct"/>
        <w:tblCellSpacing w:w="15" w:type="dxa"/>
        <w:tblCellMar>
          <w:left w:w="0" w:type="dxa"/>
          <w:right w:w="0" w:type="dxa"/>
        </w:tblCellMar>
        <w:tblLook w:val="04A0"/>
      </w:tblPr>
      <w:tblGrid>
        <w:gridCol w:w="1485"/>
        <w:gridCol w:w="1470"/>
        <w:gridCol w:w="1470"/>
        <w:gridCol w:w="1485"/>
      </w:tblGrid>
      <w:tr w:rsidR="00D27E48" w:rsidRPr="00384028">
        <w:trPr>
          <w:tblCellSpacing w:w="15" w:type="dxa"/>
        </w:trPr>
        <w:tc>
          <w:tcPr>
            <w:tcW w:w="2500" w:type="pct"/>
            <w:shd w:val="clear" w:color="auto" w:fill="CCFFCC"/>
            <w:vAlign w:val="center"/>
            <w:hideMark/>
          </w:tcPr>
          <w:p w:rsidR="00D27E48" w:rsidRPr="00384028" w:rsidRDefault="00D27E48">
            <w:pPr>
              <w:rPr>
                <w:rFonts w:eastAsia="Times New Roman"/>
                <w:sz w:val="18"/>
                <w:szCs w:val="18"/>
              </w:rPr>
            </w:pPr>
          </w:p>
        </w:tc>
        <w:tc>
          <w:tcPr>
            <w:tcW w:w="0" w:type="auto"/>
            <w:gridSpan w:val="3"/>
            <w:shd w:val="clear" w:color="auto" w:fill="CCFFCC"/>
            <w:vAlign w:val="center"/>
            <w:hideMark/>
          </w:tcPr>
          <w:p w:rsidR="00D27E48" w:rsidRPr="00384028" w:rsidRDefault="00D27E48">
            <w:pPr>
              <w:jc w:val="center"/>
              <w:rPr>
                <w:rFonts w:eastAsia="Times New Roman"/>
                <w:sz w:val="18"/>
                <w:szCs w:val="18"/>
              </w:rPr>
            </w:pPr>
            <w:r w:rsidRPr="00384028">
              <w:rPr>
                <w:rFonts w:eastAsia="Times New Roman"/>
                <w:b/>
                <w:bCs/>
                <w:sz w:val="18"/>
                <w:szCs w:val="18"/>
              </w:rPr>
              <w:t>Value of Land,</w:t>
            </w:r>
          </w:p>
        </w:tc>
      </w:tr>
      <w:tr w:rsidR="00D27E48" w:rsidRPr="00384028">
        <w:trPr>
          <w:tblCellSpacing w:w="15" w:type="dxa"/>
        </w:trPr>
        <w:tc>
          <w:tcPr>
            <w:tcW w:w="2500" w:type="pct"/>
            <w:shd w:val="clear" w:color="auto" w:fill="CCFFCC"/>
            <w:vAlign w:val="center"/>
            <w:hideMark/>
          </w:tcPr>
          <w:p w:rsidR="00D27E48" w:rsidRPr="00384028" w:rsidRDefault="00D27E48">
            <w:pPr>
              <w:rPr>
                <w:rFonts w:eastAsia="Times New Roman"/>
                <w:sz w:val="18"/>
                <w:szCs w:val="18"/>
              </w:rPr>
            </w:pPr>
          </w:p>
        </w:tc>
        <w:tc>
          <w:tcPr>
            <w:tcW w:w="0" w:type="auto"/>
            <w:shd w:val="clear" w:color="auto" w:fill="CCFFCC"/>
            <w:vAlign w:val="center"/>
            <w:hideMark/>
          </w:tcPr>
          <w:p w:rsidR="00D27E48" w:rsidRPr="00384028" w:rsidRDefault="00D27E48">
            <w:pPr>
              <w:rPr>
                <w:rFonts w:eastAsia="Times New Roman"/>
                <w:sz w:val="18"/>
                <w:szCs w:val="18"/>
              </w:rPr>
            </w:pPr>
          </w:p>
        </w:tc>
        <w:tc>
          <w:tcPr>
            <w:tcW w:w="0" w:type="auto"/>
            <w:gridSpan w:val="2"/>
            <w:shd w:val="clear" w:color="auto" w:fill="CCFFCC"/>
            <w:vAlign w:val="center"/>
            <w:hideMark/>
          </w:tcPr>
          <w:p w:rsidR="00D27E48" w:rsidRPr="00384028" w:rsidRDefault="00D27E48">
            <w:pPr>
              <w:jc w:val="center"/>
              <w:rPr>
                <w:rFonts w:eastAsia="Times New Roman"/>
                <w:sz w:val="18"/>
                <w:szCs w:val="18"/>
              </w:rPr>
            </w:pPr>
            <w:r w:rsidRPr="00384028">
              <w:rPr>
                <w:rFonts w:eastAsia="Times New Roman"/>
                <w:b/>
                <w:bCs/>
                <w:sz w:val="18"/>
                <w:szCs w:val="18"/>
              </w:rPr>
              <w:t>June 30,</w:t>
            </w:r>
          </w:p>
        </w:tc>
      </w:tr>
      <w:tr w:rsidR="00D27E48" w:rsidRPr="00384028">
        <w:trPr>
          <w:tblCellSpacing w:w="15" w:type="dxa"/>
        </w:trPr>
        <w:tc>
          <w:tcPr>
            <w:tcW w:w="0" w:type="auto"/>
            <w:shd w:val="clear" w:color="auto" w:fill="FFFFFF"/>
            <w:vAlign w:val="center"/>
            <w:hideMark/>
          </w:tcPr>
          <w:p w:rsidR="00D27E48" w:rsidRPr="00384028" w:rsidRDefault="00D27E48">
            <w:pPr>
              <w:rPr>
                <w:rFonts w:eastAsia="Times New Roman"/>
                <w:sz w:val="18"/>
                <w:szCs w:val="18"/>
              </w:rPr>
            </w:pPr>
          </w:p>
        </w:tc>
        <w:tc>
          <w:tcPr>
            <w:tcW w:w="1000" w:type="pct"/>
            <w:shd w:val="clear" w:color="auto" w:fill="FFFFFF"/>
            <w:vAlign w:val="center"/>
            <w:hideMark/>
          </w:tcPr>
          <w:p w:rsidR="00D27E48" w:rsidRPr="00384028" w:rsidRDefault="00D27E48">
            <w:pPr>
              <w:jc w:val="center"/>
              <w:rPr>
                <w:rFonts w:eastAsia="Times New Roman"/>
                <w:sz w:val="18"/>
                <w:szCs w:val="18"/>
              </w:rPr>
            </w:pPr>
            <w:r w:rsidRPr="00384028">
              <w:rPr>
                <w:rFonts w:eastAsia="Times New Roman"/>
                <w:b/>
                <w:bCs/>
                <w:sz w:val="18"/>
                <w:szCs w:val="18"/>
              </w:rPr>
              <w:t>December 31, 2011</w:t>
            </w:r>
          </w:p>
        </w:tc>
        <w:tc>
          <w:tcPr>
            <w:tcW w:w="0" w:type="auto"/>
            <w:shd w:val="clear" w:color="auto" w:fill="FFFFFF"/>
            <w:vAlign w:val="center"/>
            <w:hideMark/>
          </w:tcPr>
          <w:p w:rsidR="00D27E48" w:rsidRPr="00384028" w:rsidRDefault="00D27E48">
            <w:pPr>
              <w:jc w:val="center"/>
              <w:rPr>
                <w:rFonts w:eastAsia="Times New Roman"/>
                <w:sz w:val="18"/>
                <w:szCs w:val="18"/>
              </w:rPr>
            </w:pPr>
            <w:r w:rsidRPr="00384028">
              <w:rPr>
                <w:rFonts w:eastAsia="Times New Roman"/>
                <w:b/>
                <w:bCs/>
                <w:sz w:val="18"/>
                <w:szCs w:val="18"/>
                <w:u w:val="single"/>
              </w:rPr>
              <w:t>2011</w:t>
            </w:r>
          </w:p>
        </w:tc>
        <w:tc>
          <w:tcPr>
            <w:tcW w:w="0" w:type="auto"/>
            <w:shd w:val="clear" w:color="auto" w:fill="FFFFFF"/>
            <w:vAlign w:val="center"/>
            <w:hideMark/>
          </w:tcPr>
          <w:p w:rsidR="00D27E48" w:rsidRPr="00384028" w:rsidRDefault="00D27E48">
            <w:pPr>
              <w:jc w:val="center"/>
              <w:rPr>
                <w:rFonts w:eastAsia="Times New Roman"/>
                <w:sz w:val="18"/>
                <w:szCs w:val="18"/>
              </w:rPr>
            </w:pPr>
            <w:r w:rsidRPr="00384028">
              <w:rPr>
                <w:rFonts w:eastAsia="Times New Roman"/>
                <w:b/>
                <w:bCs/>
                <w:sz w:val="18"/>
                <w:szCs w:val="18"/>
                <w:u w:val="single"/>
              </w:rPr>
              <w:t>2010</w:t>
            </w:r>
          </w:p>
        </w:tc>
      </w:tr>
      <w:tr w:rsidR="00D27E48" w:rsidRPr="00384028">
        <w:trPr>
          <w:tblCellSpacing w:w="15" w:type="dxa"/>
        </w:trPr>
        <w:tc>
          <w:tcPr>
            <w:tcW w:w="0" w:type="auto"/>
            <w:shd w:val="clear" w:color="auto" w:fill="CCFFCC"/>
            <w:vAlign w:val="center"/>
            <w:hideMark/>
          </w:tcPr>
          <w:p w:rsidR="00D27E48" w:rsidRPr="00384028" w:rsidRDefault="00D27E48">
            <w:pPr>
              <w:jc w:val="center"/>
              <w:rPr>
                <w:rFonts w:eastAsia="Times New Roman"/>
                <w:sz w:val="18"/>
                <w:szCs w:val="18"/>
              </w:rPr>
            </w:pPr>
            <w:r w:rsidRPr="00384028">
              <w:rPr>
                <w:rFonts w:eastAsia="Times New Roman"/>
                <w:sz w:val="18"/>
                <w:szCs w:val="18"/>
              </w:rPr>
              <w:t>US Dollars</w:t>
            </w:r>
          </w:p>
        </w:tc>
        <w:tc>
          <w:tcPr>
            <w:tcW w:w="0" w:type="auto"/>
            <w:shd w:val="clear" w:color="auto" w:fill="CCFFCC"/>
            <w:vAlign w:val="center"/>
            <w:hideMark/>
          </w:tcPr>
          <w:p w:rsidR="00D27E48" w:rsidRPr="00384028" w:rsidRDefault="00D27E48">
            <w:pPr>
              <w:jc w:val="right"/>
              <w:rPr>
                <w:rFonts w:eastAsia="Times New Roman"/>
                <w:sz w:val="18"/>
                <w:szCs w:val="18"/>
              </w:rPr>
            </w:pPr>
            <w:r w:rsidRPr="00384028">
              <w:rPr>
                <w:rFonts w:eastAsia="Times New Roman"/>
                <w:sz w:val="18"/>
                <w:szCs w:val="18"/>
              </w:rPr>
              <w:t>$622,642</w:t>
            </w:r>
          </w:p>
        </w:tc>
        <w:tc>
          <w:tcPr>
            <w:tcW w:w="0" w:type="auto"/>
            <w:shd w:val="clear" w:color="auto" w:fill="CCFFCC"/>
            <w:vAlign w:val="center"/>
            <w:hideMark/>
          </w:tcPr>
          <w:p w:rsidR="00D27E48" w:rsidRPr="00384028" w:rsidRDefault="00D27E48">
            <w:pPr>
              <w:jc w:val="right"/>
              <w:rPr>
                <w:rFonts w:eastAsia="Times New Roman"/>
                <w:sz w:val="18"/>
                <w:szCs w:val="18"/>
              </w:rPr>
            </w:pPr>
            <w:r w:rsidRPr="00384028">
              <w:rPr>
                <w:rFonts w:eastAsia="Times New Roman"/>
                <w:sz w:val="18"/>
                <w:szCs w:val="18"/>
              </w:rPr>
              <w:t>$622,642</w:t>
            </w:r>
          </w:p>
        </w:tc>
        <w:tc>
          <w:tcPr>
            <w:tcW w:w="0" w:type="auto"/>
            <w:shd w:val="clear" w:color="auto" w:fill="CCFFCC"/>
            <w:vAlign w:val="center"/>
            <w:hideMark/>
          </w:tcPr>
          <w:p w:rsidR="00D27E48" w:rsidRPr="00384028" w:rsidRDefault="00D27E48">
            <w:pPr>
              <w:jc w:val="right"/>
              <w:rPr>
                <w:rFonts w:eastAsia="Times New Roman"/>
                <w:sz w:val="18"/>
                <w:szCs w:val="18"/>
              </w:rPr>
            </w:pPr>
            <w:r w:rsidRPr="00384028">
              <w:rPr>
                <w:rFonts w:eastAsia="Times New Roman"/>
                <w:sz w:val="18"/>
                <w:szCs w:val="18"/>
              </w:rPr>
              <w:t>$525,000</w:t>
            </w:r>
          </w:p>
        </w:tc>
      </w:tr>
      <w:tr w:rsidR="00D27E48">
        <w:trPr>
          <w:tblCellSpacing w:w="15" w:type="dxa"/>
        </w:trPr>
        <w:tc>
          <w:tcPr>
            <w:tcW w:w="0" w:type="auto"/>
            <w:shd w:val="clear" w:color="auto" w:fill="CCFFCC"/>
            <w:vAlign w:val="center"/>
            <w:hideMark/>
          </w:tcPr>
          <w:p w:rsidR="00D27E48" w:rsidRDefault="007E7BD4">
            <w:pPr>
              <w:jc w:val="right"/>
              <w:rPr>
                <w:rFonts w:eastAsia="Times New Roman"/>
                <w:sz w:val="20"/>
                <w:szCs w:val="20"/>
              </w:rPr>
            </w:pPr>
            <w:r w:rsidRPr="007E7BD4">
              <w:rPr>
                <w:rFonts w:eastAsia="Times New Roman"/>
                <w:sz w:val="20"/>
                <w:szCs w:val="20"/>
              </w:rPr>
              <w:pict>
                <v:rect id="_x0000_i1046" style="width:0;height:1.5pt" o:hralign="center" o:hrstd="t" o:hr="t" fillcolor="#aca899" stroked="f"/>
              </w:pict>
            </w:r>
          </w:p>
        </w:tc>
        <w:tc>
          <w:tcPr>
            <w:tcW w:w="0" w:type="auto"/>
            <w:shd w:val="clear" w:color="auto" w:fill="CCFFCC"/>
            <w:vAlign w:val="center"/>
            <w:hideMark/>
          </w:tcPr>
          <w:p w:rsidR="00D27E48" w:rsidRDefault="007E7BD4">
            <w:pPr>
              <w:rPr>
                <w:rFonts w:eastAsia="Times New Roman"/>
              </w:rPr>
            </w:pPr>
            <w:r w:rsidRPr="007E7BD4">
              <w:rPr>
                <w:rFonts w:eastAsia="Times New Roman"/>
              </w:rPr>
              <w:pict>
                <v:rect id="_x0000_i1047" style="width:0;height:1.5pt" o:hralign="center" o:hrstd="t" o:hr="t" fillcolor="#aca899" stroked="f"/>
              </w:pict>
            </w:r>
          </w:p>
        </w:tc>
        <w:tc>
          <w:tcPr>
            <w:tcW w:w="0" w:type="auto"/>
            <w:shd w:val="clear" w:color="auto" w:fill="CCFFCC"/>
            <w:vAlign w:val="center"/>
            <w:hideMark/>
          </w:tcPr>
          <w:p w:rsidR="00D27E48" w:rsidRDefault="007E7BD4">
            <w:pPr>
              <w:jc w:val="right"/>
              <w:rPr>
                <w:rFonts w:eastAsia="Times New Roman"/>
                <w:sz w:val="20"/>
                <w:szCs w:val="20"/>
              </w:rPr>
            </w:pPr>
            <w:r w:rsidRPr="007E7BD4">
              <w:rPr>
                <w:rFonts w:eastAsia="Times New Roman"/>
                <w:sz w:val="20"/>
                <w:szCs w:val="20"/>
              </w:rPr>
              <w:pict>
                <v:rect id="_x0000_i1048" style="width:0;height:1.5pt" o:hralign="center" o:hrstd="t" o:hr="t" fillcolor="#aca899" stroked="f"/>
              </w:pict>
            </w:r>
          </w:p>
        </w:tc>
        <w:tc>
          <w:tcPr>
            <w:tcW w:w="0" w:type="auto"/>
            <w:shd w:val="clear" w:color="auto" w:fill="CCFFCC"/>
            <w:vAlign w:val="center"/>
            <w:hideMark/>
          </w:tcPr>
          <w:p w:rsidR="00D27E48" w:rsidRDefault="007E7BD4">
            <w:pPr>
              <w:jc w:val="right"/>
              <w:rPr>
                <w:rFonts w:eastAsia="Times New Roman"/>
                <w:sz w:val="20"/>
                <w:szCs w:val="20"/>
              </w:rPr>
            </w:pPr>
            <w:r w:rsidRPr="007E7BD4">
              <w:rPr>
                <w:rFonts w:eastAsia="Times New Roman"/>
                <w:sz w:val="20"/>
                <w:szCs w:val="20"/>
              </w:rPr>
              <w:pict>
                <v:rect id="_x0000_i1049" style="width:0;height:1.5pt" o:hralign="center" o:hrstd="t" o:hr="t" fillcolor="#aca899" stroked="f"/>
              </w:pict>
            </w:r>
          </w:p>
        </w:tc>
      </w:tr>
    </w:tbl>
    <w:p w:rsidR="00D27E48" w:rsidRDefault="00D27E48">
      <w:pPr>
        <w:pStyle w:val="NormalWeb"/>
      </w:pPr>
      <w:r>
        <w:rPr>
          <w:b/>
          <w:bCs/>
          <w:sz w:val="20"/>
          <w:szCs w:val="20"/>
        </w:rPr>
        <w:t xml:space="preserve">NOTE 5 - RELATED PARTY TRANSACTIONS ANTON NIELSEN VOJENS, </w:t>
      </w:r>
      <w:proofErr w:type="spellStart"/>
      <w:r>
        <w:rPr>
          <w:b/>
          <w:bCs/>
          <w:sz w:val="20"/>
          <w:szCs w:val="20"/>
        </w:rPr>
        <w:t>ApS</w:t>
      </w:r>
      <w:proofErr w:type="spellEnd"/>
      <w:r>
        <w:rPr>
          <w:b/>
          <w:bCs/>
          <w:sz w:val="20"/>
          <w:szCs w:val="20"/>
        </w:rPr>
        <w:br/>
      </w:r>
      <w:r>
        <w:rPr>
          <w:sz w:val="20"/>
          <w:szCs w:val="20"/>
        </w:rPr>
        <w:br/>
      </w:r>
      <w:r w:rsidRPr="00384028">
        <w:rPr>
          <w:sz w:val="18"/>
          <w:szCs w:val="18"/>
        </w:rPr>
        <w:t xml:space="preserve">The Company purchased Anton Nielsen </w:t>
      </w:r>
      <w:proofErr w:type="spellStart"/>
      <w:r w:rsidRPr="00384028">
        <w:rPr>
          <w:sz w:val="18"/>
          <w:szCs w:val="18"/>
        </w:rPr>
        <w:t>Vojens</w:t>
      </w:r>
      <w:proofErr w:type="spellEnd"/>
      <w:r w:rsidRPr="00384028">
        <w:rPr>
          <w:sz w:val="18"/>
          <w:szCs w:val="18"/>
        </w:rPr>
        <w:t xml:space="preserve"> </w:t>
      </w:r>
      <w:proofErr w:type="spellStart"/>
      <w:r w:rsidRPr="00384028">
        <w:rPr>
          <w:sz w:val="18"/>
          <w:szCs w:val="18"/>
        </w:rPr>
        <w:t>ApS</w:t>
      </w:r>
      <w:proofErr w:type="spellEnd"/>
      <w:r w:rsidRPr="00384028">
        <w:rPr>
          <w:sz w:val="18"/>
          <w:szCs w:val="18"/>
        </w:rPr>
        <w:t xml:space="preserve"> from a previous shareholder of the Company, </w:t>
      </w:r>
      <w:proofErr w:type="spellStart"/>
      <w:r w:rsidRPr="00384028">
        <w:rPr>
          <w:sz w:val="18"/>
          <w:szCs w:val="18"/>
        </w:rPr>
        <w:t>Borkwood</w:t>
      </w:r>
      <w:proofErr w:type="spellEnd"/>
      <w:r w:rsidRPr="00384028">
        <w:rPr>
          <w:sz w:val="18"/>
          <w:szCs w:val="18"/>
        </w:rPr>
        <w:t xml:space="preserve"> Development LTD ("</w:t>
      </w:r>
      <w:proofErr w:type="spellStart"/>
      <w:r w:rsidRPr="00384028">
        <w:rPr>
          <w:sz w:val="18"/>
          <w:szCs w:val="18"/>
        </w:rPr>
        <w:t>Borkwood</w:t>
      </w:r>
      <w:proofErr w:type="spellEnd"/>
      <w:r w:rsidRPr="00384028">
        <w:rPr>
          <w:sz w:val="18"/>
          <w:szCs w:val="18"/>
        </w:rPr>
        <w:t xml:space="preserve">"). At the time of the acquisition, even though </w:t>
      </w:r>
      <w:proofErr w:type="spellStart"/>
      <w:r w:rsidRPr="00384028">
        <w:rPr>
          <w:sz w:val="18"/>
          <w:szCs w:val="18"/>
        </w:rPr>
        <w:t>Borkwood</w:t>
      </w:r>
      <w:proofErr w:type="spellEnd"/>
      <w:r w:rsidRPr="00384028">
        <w:rPr>
          <w:sz w:val="18"/>
          <w:szCs w:val="18"/>
        </w:rPr>
        <w:t xml:space="preserve"> was not a shareholder, AOXY, a director of </w:t>
      </w:r>
      <w:proofErr w:type="spellStart"/>
      <w:r w:rsidRPr="00384028">
        <w:rPr>
          <w:sz w:val="18"/>
          <w:szCs w:val="18"/>
        </w:rPr>
        <w:t>Borkwood</w:t>
      </w:r>
      <w:proofErr w:type="spellEnd"/>
      <w:r w:rsidRPr="00384028">
        <w:rPr>
          <w:sz w:val="18"/>
          <w:szCs w:val="18"/>
        </w:rPr>
        <w:t xml:space="preserve"> </w:t>
      </w:r>
      <w:proofErr w:type="spellStart"/>
      <w:r w:rsidRPr="00384028">
        <w:rPr>
          <w:sz w:val="18"/>
          <w:szCs w:val="18"/>
        </w:rPr>
        <w:t>Aage</w:t>
      </w:r>
      <w:proofErr w:type="spellEnd"/>
      <w:r w:rsidRPr="00384028">
        <w:rPr>
          <w:sz w:val="18"/>
          <w:szCs w:val="18"/>
        </w:rPr>
        <w:t xml:space="preserve"> Madsen was an officer of Anton Nielsen </w:t>
      </w:r>
      <w:proofErr w:type="spellStart"/>
      <w:r w:rsidRPr="00384028">
        <w:rPr>
          <w:sz w:val="18"/>
          <w:szCs w:val="18"/>
        </w:rPr>
        <w:t>Vojens</w:t>
      </w:r>
      <w:proofErr w:type="spellEnd"/>
      <w:r w:rsidRPr="00384028">
        <w:rPr>
          <w:sz w:val="18"/>
          <w:szCs w:val="18"/>
        </w:rPr>
        <w:t xml:space="preserve"> </w:t>
      </w:r>
      <w:proofErr w:type="spellStart"/>
      <w:r w:rsidRPr="00384028">
        <w:rPr>
          <w:sz w:val="18"/>
          <w:szCs w:val="18"/>
        </w:rPr>
        <w:t>ApS</w:t>
      </w:r>
      <w:proofErr w:type="spellEnd"/>
      <w:r w:rsidRPr="00384028">
        <w:rPr>
          <w:sz w:val="18"/>
          <w:szCs w:val="18"/>
        </w:rPr>
        <w:t xml:space="preserve">. </w:t>
      </w:r>
      <w:proofErr w:type="spellStart"/>
      <w:r w:rsidRPr="00384028">
        <w:rPr>
          <w:sz w:val="18"/>
          <w:szCs w:val="18"/>
        </w:rPr>
        <w:t>Aage</w:t>
      </w:r>
      <w:proofErr w:type="spellEnd"/>
      <w:r w:rsidRPr="00384028">
        <w:rPr>
          <w:sz w:val="18"/>
          <w:szCs w:val="18"/>
        </w:rPr>
        <w:t xml:space="preserve"> Madsen was a director of Anton Nielsen </w:t>
      </w:r>
      <w:proofErr w:type="spellStart"/>
      <w:r w:rsidRPr="00384028">
        <w:rPr>
          <w:sz w:val="18"/>
          <w:szCs w:val="18"/>
        </w:rPr>
        <w:t>Vojens</w:t>
      </w:r>
      <w:proofErr w:type="spellEnd"/>
      <w:r w:rsidRPr="00384028">
        <w:rPr>
          <w:sz w:val="18"/>
          <w:szCs w:val="18"/>
        </w:rPr>
        <w:t xml:space="preserve"> until May 25, 2007 and from there forward, there were no related parties between AOXY and </w:t>
      </w:r>
      <w:proofErr w:type="spellStart"/>
      <w:r w:rsidRPr="00384028">
        <w:rPr>
          <w:sz w:val="18"/>
          <w:szCs w:val="18"/>
        </w:rPr>
        <w:t>Borkwood</w:t>
      </w:r>
      <w:proofErr w:type="spellEnd"/>
      <w:r w:rsidRPr="00384028">
        <w:rPr>
          <w:sz w:val="18"/>
          <w:szCs w:val="18"/>
        </w:rPr>
        <w:t xml:space="preserve"> Development LTD. The Company had an outstanding balance of long term debt to </w:t>
      </w:r>
      <w:proofErr w:type="spellStart"/>
      <w:r w:rsidRPr="00384028">
        <w:rPr>
          <w:sz w:val="18"/>
          <w:szCs w:val="18"/>
        </w:rPr>
        <w:t>Borkwood</w:t>
      </w:r>
      <w:proofErr w:type="spellEnd"/>
      <w:r w:rsidRPr="00384028">
        <w:rPr>
          <w:sz w:val="18"/>
          <w:szCs w:val="18"/>
        </w:rPr>
        <w:t xml:space="preserve"> Development LTD at December 31, 2011 was $</w:t>
      </w:r>
      <w:proofErr w:type="gramStart"/>
      <w:r w:rsidRPr="00384028">
        <w:rPr>
          <w:sz w:val="18"/>
          <w:szCs w:val="18"/>
        </w:rPr>
        <w:t>138,173 .</w:t>
      </w:r>
      <w:proofErr w:type="gramEnd"/>
    </w:p>
    <w:p w:rsidR="00D27E48" w:rsidRDefault="00D27E48">
      <w:pPr>
        <w:pStyle w:val="NormalWeb"/>
      </w:pPr>
      <w:r>
        <w:rPr>
          <w:b/>
          <w:bCs/>
          <w:sz w:val="20"/>
          <w:szCs w:val="20"/>
        </w:rPr>
        <w:t>NOTE 6 - COMMITMENTS AND CONTINGENCIES:</w:t>
      </w:r>
    </w:p>
    <w:p w:rsidR="00D27E48" w:rsidRPr="00384028" w:rsidRDefault="00D27E48">
      <w:pPr>
        <w:pStyle w:val="NormalWeb"/>
        <w:rPr>
          <w:sz w:val="18"/>
          <w:szCs w:val="18"/>
        </w:rPr>
      </w:pPr>
      <w:r w:rsidRPr="00384028">
        <w:rPr>
          <w:i/>
          <w:iCs/>
          <w:sz w:val="18"/>
          <w:szCs w:val="18"/>
        </w:rPr>
        <w:t>Commitments</w:t>
      </w:r>
      <w:r w:rsidRPr="00384028">
        <w:rPr>
          <w:sz w:val="18"/>
          <w:szCs w:val="18"/>
        </w:rPr>
        <w:t>:</w:t>
      </w:r>
    </w:p>
    <w:p w:rsidR="00D27E48" w:rsidRPr="00384028" w:rsidRDefault="00D27E48">
      <w:pPr>
        <w:pStyle w:val="NormalWeb"/>
        <w:rPr>
          <w:sz w:val="18"/>
          <w:szCs w:val="18"/>
        </w:rPr>
      </w:pPr>
      <w:r w:rsidRPr="00384028">
        <w:rPr>
          <w:sz w:val="18"/>
          <w:szCs w:val="18"/>
        </w:rPr>
        <w:t xml:space="preserve">The Company has issued a promissory note ("Note") for $650,000, payable to the </w:t>
      </w:r>
      <w:proofErr w:type="spellStart"/>
      <w:r w:rsidRPr="00384028">
        <w:rPr>
          <w:sz w:val="18"/>
          <w:szCs w:val="18"/>
        </w:rPr>
        <w:t>Borkwood</w:t>
      </w:r>
      <w:proofErr w:type="spellEnd"/>
      <w:r w:rsidRPr="00384028">
        <w:rPr>
          <w:sz w:val="18"/>
          <w:szCs w:val="18"/>
        </w:rPr>
        <w:t xml:space="preserve"> Development Ltd, a previous shareholder of the Company ("Seller"), payable and amortized monthly and carrying </w:t>
      </w:r>
      <w:proofErr w:type="gramStart"/>
      <w:r w:rsidRPr="00384028">
        <w:rPr>
          <w:sz w:val="18"/>
          <w:szCs w:val="18"/>
        </w:rPr>
        <w:t>a</w:t>
      </w:r>
      <w:proofErr w:type="gramEnd"/>
      <w:r w:rsidRPr="00384028">
        <w:rPr>
          <w:sz w:val="18"/>
          <w:szCs w:val="18"/>
        </w:rPr>
        <w:t xml:space="preserve"> interest at 5% per year. The Company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 diluted shares calculated on the conversion Date, equal to the lesser of : a) Six hundred and Fifty thousand (650,000) or the Purchase Price minus the principal payments made by the buyer, </w:t>
      </w:r>
      <w:proofErr w:type="spellStart"/>
      <w:r w:rsidRPr="00384028">
        <w:rPr>
          <w:sz w:val="18"/>
          <w:szCs w:val="18"/>
        </w:rPr>
        <w:t>which ever</w:t>
      </w:r>
      <w:proofErr w:type="spellEnd"/>
      <w:r w:rsidRPr="00384028">
        <w:rPr>
          <w:sz w:val="18"/>
          <w:szCs w:val="18"/>
        </w:rPr>
        <w:t xml:space="preserve"> is greater, divided by the previous ten day closing price of AOXY as quoted on the national exchange, or b) Fifteen million shares, </w:t>
      </w:r>
      <w:proofErr w:type="spellStart"/>
      <w:r w:rsidRPr="00384028">
        <w:rPr>
          <w:sz w:val="18"/>
          <w:szCs w:val="18"/>
        </w:rPr>
        <w:t>which ever</w:t>
      </w:r>
      <w:proofErr w:type="spellEnd"/>
      <w:r w:rsidRPr="00384028">
        <w:rPr>
          <w:sz w:val="18"/>
          <w:szCs w:val="18"/>
        </w:rPr>
        <w:t xml:space="preserve"> is lesser. The Note has been extended until July 1, 2012 and interest waived through the period ending June 30, 2011.</w:t>
      </w:r>
    </w:p>
    <w:p w:rsidR="00D27E48" w:rsidRPr="00384028" w:rsidRDefault="00D27E48">
      <w:pPr>
        <w:pStyle w:val="NormalWeb"/>
        <w:rPr>
          <w:sz w:val="18"/>
          <w:szCs w:val="18"/>
        </w:rPr>
      </w:pPr>
      <w:r w:rsidRPr="00384028">
        <w:rPr>
          <w:sz w:val="18"/>
          <w:szCs w:val="18"/>
        </w:rPr>
        <w:t xml:space="preserve">The Company's wholly owned subsidiary Anton Nielsen </w:t>
      </w:r>
      <w:proofErr w:type="spellStart"/>
      <w:r w:rsidRPr="00384028">
        <w:rPr>
          <w:sz w:val="18"/>
          <w:szCs w:val="18"/>
        </w:rPr>
        <w:t>Vojens</w:t>
      </w:r>
      <w:proofErr w:type="spellEnd"/>
      <w:r w:rsidRPr="00384028">
        <w:rPr>
          <w:sz w:val="18"/>
          <w:szCs w:val="18"/>
        </w:rPr>
        <w:t xml:space="preserve">, </w:t>
      </w:r>
      <w:proofErr w:type="spellStart"/>
      <w:r w:rsidRPr="00384028">
        <w:rPr>
          <w:sz w:val="18"/>
          <w:szCs w:val="18"/>
        </w:rPr>
        <w:t>ApS</w:t>
      </w:r>
      <w:proofErr w:type="spellEnd"/>
      <w:r w:rsidRPr="00384028">
        <w:rPr>
          <w:sz w:val="18"/>
          <w:szCs w:val="18"/>
        </w:rPr>
        <w:t xml:space="preserve"> has a note payable with a bank. The original amount of the note was </w:t>
      </w:r>
      <w:proofErr w:type="spellStart"/>
      <w:r w:rsidRPr="00384028">
        <w:rPr>
          <w:sz w:val="18"/>
          <w:szCs w:val="18"/>
        </w:rPr>
        <w:t>kr</w:t>
      </w:r>
      <w:proofErr w:type="spellEnd"/>
      <w:r w:rsidRPr="00384028">
        <w:rPr>
          <w:sz w:val="18"/>
          <w:szCs w:val="18"/>
        </w:rPr>
        <w:t xml:space="preserve"> 750,000 Danish </w:t>
      </w:r>
      <w:proofErr w:type="spellStart"/>
      <w:r w:rsidRPr="00384028">
        <w:rPr>
          <w:sz w:val="18"/>
          <w:szCs w:val="18"/>
        </w:rPr>
        <w:t>Krone</w:t>
      </w:r>
      <w:proofErr w:type="spellEnd"/>
      <w:r w:rsidRPr="00384028">
        <w:rPr>
          <w:sz w:val="18"/>
          <w:szCs w:val="18"/>
        </w:rPr>
        <w:t xml:space="preserve"> (</w:t>
      </w:r>
      <w:proofErr w:type="spellStart"/>
      <w:r w:rsidRPr="00384028">
        <w:rPr>
          <w:sz w:val="18"/>
          <w:szCs w:val="18"/>
        </w:rPr>
        <w:t>kr</w:t>
      </w:r>
      <w:proofErr w:type="spellEnd"/>
      <w:r w:rsidRPr="00384028">
        <w:rPr>
          <w:sz w:val="18"/>
          <w:szCs w:val="18"/>
        </w:rPr>
        <w:t xml:space="preserve">). The note is unsecured and uncollateralized, with a 7.00% interest rate and </w:t>
      </w:r>
      <w:proofErr w:type="gramStart"/>
      <w:r w:rsidRPr="00384028">
        <w:rPr>
          <w:sz w:val="18"/>
          <w:szCs w:val="18"/>
        </w:rPr>
        <w:t>a 9</w:t>
      </w:r>
      <w:proofErr w:type="gramEnd"/>
      <w:r w:rsidRPr="00384028">
        <w:rPr>
          <w:sz w:val="18"/>
          <w:szCs w:val="18"/>
        </w:rPr>
        <w:t xml:space="preserve"> years left on the term. The balances on the note as of December 31, 2011 and December 31, 2010 were $73,510 and $ 70,901 respectively and the yearly payments are fixed at </w:t>
      </w:r>
      <w:proofErr w:type="spellStart"/>
      <w:r w:rsidRPr="00384028">
        <w:rPr>
          <w:sz w:val="18"/>
          <w:szCs w:val="18"/>
        </w:rPr>
        <w:t>kr</w:t>
      </w:r>
      <w:proofErr w:type="spellEnd"/>
      <w:r w:rsidRPr="00384028">
        <w:rPr>
          <w:sz w:val="18"/>
          <w:szCs w:val="18"/>
        </w:rPr>
        <w:t xml:space="preserve"> 75,000.</w:t>
      </w:r>
    </w:p>
    <w:p w:rsidR="00D27E48" w:rsidRDefault="00D27E48">
      <w:pPr>
        <w:pStyle w:val="NormalWeb"/>
      </w:pPr>
      <w:r>
        <w:rPr>
          <w:b/>
          <w:bCs/>
          <w:sz w:val="20"/>
          <w:szCs w:val="20"/>
        </w:rPr>
        <w:t>NOTE 7 - DUE TO AFFILIATE</w:t>
      </w:r>
    </w:p>
    <w:p w:rsidR="00D27E48" w:rsidRPr="00384028" w:rsidRDefault="00D27E48">
      <w:pPr>
        <w:pStyle w:val="NormalWeb"/>
        <w:rPr>
          <w:sz w:val="18"/>
          <w:szCs w:val="18"/>
        </w:rPr>
      </w:pPr>
      <w:r w:rsidRPr="00384028">
        <w:rPr>
          <w:i/>
          <w:iCs/>
          <w:sz w:val="18"/>
          <w:szCs w:val="18"/>
        </w:rPr>
        <w:t>Due to affiliate consisted of:</w:t>
      </w:r>
      <w:r w:rsidRPr="00384028">
        <w:rPr>
          <w:sz w:val="18"/>
          <w:szCs w:val="18"/>
        </w:rPr>
        <w:t xml:space="preserve"> Advances payable to </w:t>
      </w:r>
      <w:proofErr w:type="spellStart"/>
      <w:r w:rsidRPr="00384028">
        <w:rPr>
          <w:sz w:val="18"/>
          <w:szCs w:val="18"/>
        </w:rPr>
        <w:t>Crossfields</w:t>
      </w:r>
      <w:proofErr w:type="spellEnd"/>
      <w:r w:rsidRPr="00384028">
        <w:rPr>
          <w:sz w:val="18"/>
          <w:szCs w:val="18"/>
        </w:rPr>
        <w:t xml:space="preserve">, Inc., a related party, which are not collateralized, non-interest bearing, and payable upon demand, however, the Company did not expect to make payment within one year. During the 3 month period ended December 31, 2011 and 2010 the Company had borrowed $0 and had balances of $38,793 and $36,458 respectively, from affiliates and officers to meet expenses. The balances were not collateralized, were non-interest bearing and were payable on demand. </w:t>
      </w:r>
    </w:p>
    <w:p w:rsidR="00D27E48" w:rsidRPr="00384028" w:rsidRDefault="00D27E48">
      <w:pPr>
        <w:pStyle w:val="NormalWeb"/>
        <w:rPr>
          <w:sz w:val="18"/>
          <w:szCs w:val="18"/>
        </w:rPr>
      </w:pPr>
      <w:r>
        <w:rPr>
          <w:b/>
          <w:bCs/>
          <w:sz w:val="20"/>
          <w:szCs w:val="20"/>
        </w:rPr>
        <w:t>NOTE 8 - INCOME TAXES</w:t>
      </w:r>
      <w:r>
        <w:rPr>
          <w:sz w:val="20"/>
          <w:szCs w:val="20"/>
        </w:rPr>
        <w:br/>
      </w:r>
      <w:r>
        <w:rPr>
          <w:sz w:val="20"/>
          <w:szCs w:val="20"/>
        </w:rPr>
        <w:br/>
      </w:r>
      <w:r w:rsidRPr="00384028">
        <w:rPr>
          <w:sz w:val="18"/>
          <w:szCs w:val="18"/>
        </w:rPr>
        <w:t xml:space="preserve">As of December 31, 2011, the Company had federal and state net operating loss </w:t>
      </w:r>
      <w:proofErr w:type="spellStart"/>
      <w:r w:rsidRPr="00384028">
        <w:rPr>
          <w:sz w:val="18"/>
          <w:szCs w:val="18"/>
        </w:rPr>
        <w:t>carryforwards</w:t>
      </w:r>
      <w:proofErr w:type="spellEnd"/>
      <w:r w:rsidRPr="00384028">
        <w:rPr>
          <w:sz w:val="18"/>
          <w:szCs w:val="18"/>
        </w:rPr>
        <w:t xml:space="preserve"> of approximately $12,400,000 of which approximately $1,600,000 may be utilized to offset future taxable income. Section 382 of the Internal Revenue Code imposes substantial restrictions on the utilization of net operating loss and tax credit </w:t>
      </w:r>
      <w:proofErr w:type="spellStart"/>
      <w:r w:rsidRPr="00384028">
        <w:rPr>
          <w:sz w:val="18"/>
          <w:szCs w:val="18"/>
        </w:rPr>
        <w:t>carryforwards</w:t>
      </w:r>
      <w:proofErr w:type="spellEnd"/>
      <w:r w:rsidRPr="00384028">
        <w:rPr>
          <w:sz w:val="18"/>
          <w:szCs w:val="18"/>
        </w:rPr>
        <w:t xml:space="preserve"> when a change in ownership occurs. No deferred tax debits have been recorded because it is considered unlikely that they will be realized. The loss </w:t>
      </w:r>
      <w:proofErr w:type="spellStart"/>
      <w:r w:rsidRPr="00384028">
        <w:rPr>
          <w:sz w:val="18"/>
          <w:szCs w:val="18"/>
        </w:rPr>
        <w:t>carryforwards</w:t>
      </w:r>
      <w:proofErr w:type="spellEnd"/>
      <w:r w:rsidRPr="00384028">
        <w:rPr>
          <w:sz w:val="18"/>
          <w:szCs w:val="18"/>
        </w:rPr>
        <w:t xml:space="preserve"> will expire during the fiscal years ended June 30 as follows:</w:t>
      </w:r>
    </w:p>
    <w:p w:rsidR="00384028" w:rsidRPr="00D27E48" w:rsidRDefault="00384028" w:rsidP="00384028">
      <w:pPr>
        <w:pStyle w:val="NormalWeb"/>
        <w:rPr>
          <w:sz w:val="18"/>
          <w:szCs w:val="18"/>
        </w:rPr>
      </w:pPr>
    </w:p>
    <w:p w:rsidR="00384028" w:rsidRPr="00D27E48" w:rsidRDefault="007E7BD4" w:rsidP="00384028">
      <w:pPr>
        <w:rPr>
          <w:rFonts w:eastAsia="Times New Roman"/>
          <w:sz w:val="18"/>
          <w:szCs w:val="18"/>
        </w:rPr>
      </w:pPr>
      <w:hyperlink w:anchor="toc" w:history="1">
        <w:r w:rsidR="00384028" w:rsidRPr="00D27E48">
          <w:rPr>
            <w:rStyle w:val="Hyperlink"/>
            <w:rFonts w:eastAsia="Times New Roman"/>
            <w:b/>
            <w:bCs/>
            <w:sz w:val="18"/>
            <w:szCs w:val="18"/>
          </w:rPr>
          <w:t>Return to Table of Contents</w:t>
        </w:r>
      </w:hyperlink>
      <w:r w:rsidR="00384028" w:rsidRPr="00D27E48">
        <w:rPr>
          <w:rFonts w:eastAsia="Times New Roman"/>
          <w:sz w:val="18"/>
          <w:szCs w:val="18"/>
        </w:rPr>
        <w:t xml:space="preserve"> </w:t>
      </w:r>
    </w:p>
    <w:p w:rsidR="00384028" w:rsidRDefault="007E7BD4" w:rsidP="00384028">
      <w:pPr>
        <w:rPr>
          <w:rFonts w:eastAsia="Times New Roman"/>
          <w:sz w:val="18"/>
          <w:szCs w:val="18"/>
        </w:rPr>
      </w:pPr>
      <w:r w:rsidRPr="007E7BD4">
        <w:rPr>
          <w:rFonts w:eastAsia="Times New Roman"/>
          <w:sz w:val="18"/>
          <w:szCs w:val="18"/>
        </w:rPr>
        <w:pict>
          <v:rect id="_x0000_i1050" style="width:0;height:3pt" o:hralign="center" o:hrstd="t" o:hrnoshade="t" o:hr="t" fillcolor="black" stroked="f"/>
        </w:pict>
      </w:r>
    </w:p>
    <w:p w:rsidR="00384028" w:rsidRDefault="00384028" w:rsidP="00384028">
      <w:pPr>
        <w:pStyle w:val="NormalWeb"/>
      </w:pPr>
      <w:r>
        <w:rPr>
          <w:rFonts w:eastAsia="Times New Roman"/>
          <w:sz w:val="18"/>
          <w:szCs w:val="18"/>
        </w:rPr>
        <w:br w:type="page"/>
      </w:r>
    </w:p>
    <w:tbl>
      <w:tblPr>
        <w:tblW w:w="33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72"/>
        <w:gridCol w:w="2318"/>
      </w:tblGrid>
      <w:tr w:rsidR="00D27E4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D27E48" w:rsidRDefault="00D27E48">
            <w:pPr>
              <w:rPr>
                <w:rFonts w:eastAsia="Times New Roman"/>
              </w:rPr>
            </w:pPr>
            <w:r>
              <w:rPr>
                <w:rFonts w:eastAsia="Times New Roman"/>
                <w:sz w:val="20"/>
                <w:szCs w:val="20"/>
              </w:rPr>
              <w:lastRenderedPageBreak/>
              <w:t>Year</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D27E48" w:rsidRDefault="00D27E48">
            <w:pPr>
              <w:jc w:val="right"/>
              <w:rPr>
                <w:rFonts w:eastAsia="Times New Roman"/>
              </w:rPr>
            </w:pPr>
            <w:r>
              <w:rPr>
                <w:rFonts w:eastAsia="Times New Roman"/>
                <w:sz w:val="20"/>
                <w:szCs w:val="20"/>
              </w:rPr>
              <w:t>Amount</w:t>
            </w:r>
          </w:p>
        </w:tc>
      </w:tr>
      <w:tr w:rsidR="00D27E4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27E48" w:rsidRDefault="00D27E48">
            <w:pPr>
              <w:rPr>
                <w:rFonts w:eastAsia="Times New Roman"/>
              </w:rPr>
            </w:pPr>
            <w:r>
              <w:rPr>
                <w:rFonts w:eastAsia="Times New Roman"/>
                <w:sz w:val="20"/>
                <w:szCs w:val="20"/>
              </w:rPr>
              <w:t>2012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27E48" w:rsidRDefault="00D27E48">
            <w:pPr>
              <w:jc w:val="right"/>
              <w:rPr>
                <w:rFonts w:eastAsia="Times New Roman"/>
              </w:rPr>
            </w:pPr>
            <w:r>
              <w:rPr>
                <w:rFonts w:eastAsia="Times New Roman"/>
                <w:sz w:val="20"/>
                <w:szCs w:val="20"/>
              </w:rPr>
              <w:t>$464,000</w:t>
            </w:r>
          </w:p>
        </w:tc>
      </w:tr>
      <w:tr w:rsidR="00D27E4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D27E48" w:rsidRDefault="00D27E48">
            <w:pPr>
              <w:rPr>
                <w:rFonts w:eastAsia="Times New Roman"/>
              </w:rPr>
            </w:pPr>
            <w:r>
              <w:rPr>
                <w:rFonts w:eastAsia="Times New Roman"/>
                <w:sz w:val="20"/>
                <w:szCs w:val="20"/>
              </w:rPr>
              <w:t>2018</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D27E48" w:rsidRDefault="00D27E48">
            <w:pPr>
              <w:jc w:val="right"/>
              <w:rPr>
                <w:rFonts w:eastAsia="Times New Roman"/>
              </w:rPr>
            </w:pPr>
            <w:r>
              <w:rPr>
                <w:rFonts w:eastAsia="Times New Roman"/>
                <w:sz w:val="20"/>
                <w:szCs w:val="20"/>
              </w:rPr>
              <w:t>236,000</w:t>
            </w:r>
          </w:p>
        </w:tc>
      </w:tr>
      <w:tr w:rsidR="00D27E4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27E48" w:rsidRDefault="00D27E48">
            <w:pPr>
              <w:rPr>
                <w:rFonts w:eastAsia="Times New Roman"/>
              </w:rPr>
            </w:pPr>
            <w:r>
              <w:rPr>
                <w:rFonts w:eastAsia="Times New Roman"/>
                <w:sz w:val="20"/>
                <w:szCs w:val="20"/>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27E48" w:rsidRDefault="00D27E48">
            <w:pPr>
              <w:jc w:val="right"/>
              <w:rPr>
                <w:rFonts w:eastAsia="Times New Roman"/>
              </w:rPr>
            </w:pPr>
            <w:r>
              <w:rPr>
                <w:rFonts w:eastAsia="Times New Roman"/>
                <w:sz w:val="20"/>
                <w:szCs w:val="20"/>
              </w:rPr>
              <w:t>548,000</w:t>
            </w:r>
          </w:p>
        </w:tc>
      </w:tr>
      <w:tr w:rsidR="00D27E4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D27E48" w:rsidRDefault="00D27E48">
            <w:pPr>
              <w:rPr>
                <w:rFonts w:eastAsia="Times New Roman"/>
              </w:rPr>
            </w:pPr>
            <w:r>
              <w:rPr>
                <w:rFonts w:eastAsia="Times New Roman"/>
                <w:sz w:val="20"/>
                <w:szCs w:val="20"/>
              </w:rPr>
              <w:t>2020</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D27E48" w:rsidRDefault="00D27E48">
            <w:pPr>
              <w:jc w:val="right"/>
              <w:rPr>
                <w:rFonts w:eastAsia="Times New Roman"/>
              </w:rPr>
            </w:pPr>
            <w:r>
              <w:rPr>
                <w:rFonts w:eastAsia="Times New Roman"/>
                <w:sz w:val="20"/>
                <w:szCs w:val="20"/>
              </w:rPr>
              <w:t>351,000</w:t>
            </w:r>
          </w:p>
        </w:tc>
      </w:tr>
      <w:tr w:rsidR="00D27E4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27E48" w:rsidRDefault="00D27E48">
            <w:pPr>
              <w:rPr>
                <w:rFonts w:eastAsia="Times New Roman"/>
              </w:rPr>
            </w:pPr>
            <w:r>
              <w:rPr>
                <w:rFonts w:eastAsia="Times New Roman"/>
                <w:sz w:val="20"/>
                <w:szCs w:val="20"/>
                <w:u w:val="single"/>
              </w:rPr>
              <w:t>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27E48" w:rsidRDefault="00D27E48">
            <w:pPr>
              <w:jc w:val="right"/>
              <w:rPr>
                <w:rFonts w:eastAsia="Times New Roman"/>
              </w:rPr>
            </w:pPr>
            <w:r>
              <w:rPr>
                <w:rFonts w:eastAsia="Times New Roman"/>
                <w:sz w:val="20"/>
                <w:szCs w:val="20"/>
                <w:u w:val="single"/>
              </w:rPr>
              <w:t>29,000</w:t>
            </w:r>
          </w:p>
        </w:tc>
      </w:tr>
      <w:tr w:rsidR="00D27E4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D27E48" w:rsidRDefault="00D27E48">
            <w:pPr>
              <w:rPr>
                <w:rFonts w:eastAsia="Times New Roman"/>
              </w:rPr>
            </w:pPr>
            <w:r>
              <w:rPr>
                <w:rFonts w:eastAsia="Times New Roman"/>
                <w:sz w:val="20"/>
                <w:szCs w:val="20"/>
              </w:rPr>
              <w:t>Total</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D27E48" w:rsidRDefault="00D27E48">
            <w:pPr>
              <w:jc w:val="right"/>
              <w:rPr>
                <w:rFonts w:eastAsia="Times New Roman"/>
              </w:rPr>
            </w:pPr>
            <w:r>
              <w:rPr>
                <w:rFonts w:eastAsia="Times New Roman"/>
                <w:sz w:val="20"/>
                <w:szCs w:val="20"/>
              </w:rPr>
              <w:t>$ 1,628,000</w:t>
            </w:r>
          </w:p>
        </w:tc>
      </w:tr>
    </w:tbl>
    <w:p w:rsidR="00D27E48" w:rsidRPr="00384028" w:rsidRDefault="00D27E48">
      <w:pPr>
        <w:pStyle w:val="NormalWeb"/>
        <w:rPr>
          <w:sz w:val="18"/>
          <w:szCs w:val="18"/>
        </w:rPr>
      </w:pPr>
      <w:r w:rsidRPr="00384028">
        <w:rPr>
          <w:sz w:val="18"/>
          <w:szCs w:val="18"/>
        </w:rPr>
        <w:t>The overall effective tax rate differs from the federal statutory tax rate of 34% due to operating losses and other deferred assets not providing benefit for income tax purposes.</w:t>
      </w:r>
    </w:p>
    <w:p w:rsidR="00D27E48" w:rsidRDefault="00D27E48">
      <w:pPr>
        <w:pStyle w:val="NormalWeb"/>
      </w:pPr>
      <w:r>
        <w:rPr>
          <w:b/>
          <w:bCs/>
          <w:sz w:val="20"/>
          <w:szCs w:val="20"/>
        </w:rPr>
        <w:t>NOTE 9 - SHAREHOLDERS' EQUITY:</w:t>
      </w:r>
    </w:p>
    <w:p w:rsidR="00D27E48" w:rsidRPr="00384028" w:rsidRDefault="00D27E48">
      <w:pPr>
        <w:pStyle w:val="NormalWeb"/>
        <w:rPr>
          <w:sz w:val="18"/>
          <w:szCs w:val="18"/>
        </w:rPr>
      </w:pPr>
      <w:r w:rsidRPr="00384028">
        <w:rPr>
          <w:sz w:val="18"/>
          <w:szCs w:val="18"/>
        </w:rPr>
        <w:t>Preferred Stock:</w:t>
      </w:r>
    </w:p>
    <w:p w:rsidR="00D27E48" w:rsidRPr="00384028" w:rsidRDefault="00D27E48">
      <w:pPr>
        <w:pStyle w:val="NormalWeb"/>
        <w:rPr>
          <w:sz w:val="18"/>
          <w:szCs w:val="18"/>
        </w:rPr>
      </w:pPr>
      <w:r w:rsidRPr="00384028">
        <w:rPr>
          <w:sz w:val="18"/>
          <w:szCs w:val="18"/>
        </w:rPr>
        <w:t>The Company is authorized to issue 10,000,000 shares of $0.01 par value preferred stock. The Company may issue any class of preferred shares in series. The board of directors has the authority to establish and designate series and to fix the number of shares included in each such series.</w:t>
      </w:r>
    </w:p>
    <w:p w:rsidR="00D27E48" w:rsidRPr="00384028" w:rsidRDefault="00D27E48">
      <w:pPr>
        <w:pStyle w:val="NormalWeb"/>
        <w:rPr>
          <w:sz w:val="18"/>
          <w:szCs w:val="18"/>
        </w:rPr>
      </w:pPr>
      <w:r w:rsidRPr="00384028">
        <w:rPr>
          <w:sz w:val="18"/>
          <w:szCs w:val="18"/>
        </w:rPr>
        <w:t>Series 2 Convertible Preferred Stock:</w:t>
      </w:r>
    </w:p>
    <w:p w:rsidR="00D27E48" w:rsidRPr="00384028" w:rsidRDefault="00D27E48">
      <w:pPr>
        <w:pStyle w:val="NormalWeb"/>
        <w:rPr>
          <w:sz w:val="18"/>
          <w:szCs w:val="18"/>
        </w:rPr>
      </w:pPr>
      <w:r w:rsidRPr="00384028">
        <w:rPr>
          <w:sz w:val="18"/>
          <w:szCs w:val="18"/>
        </w:rPr>
        <w:t>Each Series 2 preferred share is convertible into two shares of common stock at the option of the holder. Each Series 2 preferred share also includes one warrant to purchase two common shares for $5.00. The warrants are exercisable over a three-year period. In the event of the liquidation of the Company, holders of Series 2 preferred stock would be entitled to receive $5.00 per share, plus any unpaid dividends declared on the Series 2 preferred stock from the funds remaining after the Company's creditors, including directors, have been paid. There have been no dividends declared.</w:t>
      </w:r>
    </w:p>
    <w:p w:rsidR="00D27E48" w:rsidRPr="00384028" w:rsidRDefault="00D27E48">
      <w:pPr>
        <w:pStyle w:val="NormalWeb"/>
        <w:rPr>
          <w:sz w:val="18"/>
          <w:szCs w:val="18"/>
        </w:rPr>
      </w:pPr>
      <w:r w:rsidRPr="00384028">
        <w:rPr>
          <w:sz w:val="18"/>
          <w:szCs w:val="18"/>
        </w:rPr>
        <w:t>During November 1997, 172,000 shares of Series 2 preferred stock were converted into 344,000 shares of the Company's common stock.</w:t>
      </w:r>
    </w:p>
    <w:p w:rsidR="00D27E48" w:rsidRPr="00384028" w:rsidRDefault="00D27E48">
      <w:pPr>
        <w:pStyle w:val="NormalWeb"/>
        <w:rPr>
          <w:sz w:val="18"/>
          <w:szCs w:val="18"/>
        </w:rPr>
      </w:pPr>
      <w:r w:rsidRPr="00384028">
        <w:rPr>
          <w:sz w:val="18"/>
          <w:szCs w:val="18"/>
        </w:rPr>
        <w:t>Series 4 Convertible Preferred Stock:</w:t>
      </w:r>
    </w:p>
    <w:p w:rsidR="00D27E48" w:rsidRDefault="00D27E48">
      <w:pPr>
        <w:pStyle w:val="NormalWeb"/>
      </w:pPr>
      <w:r w:rsidRPr="00384028">
        <w:rPr>
          <w:sz w:val="18"/>
          <w:szCs w:val="18"/>
        </w:rPr>
        <w:t xml:space="preserve">The shares are collectively convertible to common stock of the Company on March 5, 2004, in an amount equal to the greater of a.)290,000 shares divided by the ten day closing price, prior to the date of acquisition of IPS, of the Company's common stock as quoted on the national exchange and not to exceed twenty million shares, or b.) </w:t>
      </w:r>
      <w:proofErr w:type="gramStart"/>
      <w:r w:rsidRPr="00384028">
        <w:rPr>
          <w:sz w:val="18"/>
          <w:szCs w:val="18"/>
        </w:rPr>
        <w:t>six</w:t>
      </w:r>
      <w:proofErr w:type="gramEnd"/>
      <w:r w:rsidRPr="00384028">
        <w:rPr>
          <w:sz w:val="18"/>
          <w:szCs w:val="18"/>
        </w:rPr>
        <w:t xml:space="preserve"> million shares.</w:t>
      </w:r>
    </w:p>
    <w:p w:rsidR="00D27E48" w:rsidRDefault="00D27E48">
      <w:pPr>
        <w:pStyle w:val="NormalWeb"/>
      </w:pPr>
      <w:proofErr w:type="gramStart"/>
      <w:r>
        <w:rPr>
          <w:b/>
          <w:bCs/>
          <w:sz w:val="20"/>
          <w:szCs w:val="20"/>
        </w:rPr>
        <w:t>ITEM 2: MANAGEMENT'S DISCUSSION AND ANALYSIS OF FINANCIAL CONDITION AND RESULTS OF OPERATIONS.</w:t>
      </w:r>
      <w:proofErr w:type="gramEnd"/>
    </w:p>
    <w:p w:rsidR="00D27E48" w:rsidRPr="00384028" w:rsidRDefault="00D27E48">
      <w:pPr>
        <w:pStyle w:val="NormalWeb"/>
        <w:rPr>
          <w:sz w:val="18"/>
          <w:szCs w:val="18"/>
        </w:rPr>
      </w:pPr>
      <w:r w:rsidRPr="00384028">
        <w:rPr>
          <w:sz w:val="18"/>
          <w:szCs w:val="18"/>
        </w:rPr>
        <w:t>The following should be read in conjunction with our Consolidated Financial Statements and the notes thereto included in the Financial Statements."</w:t>
      </w:r>
    </w:p>
    <w:p w:rsidR="00D27E48" w:rsidRPr="00384028" w:rsidRDefault="00D27E48">
      <w:pPr>
        <w:pStyle w:val="NormalWeb"/>
        <w:rPr>
          <w:sz w:val="18"/>
          <w:szCs w:val="18"/>
        </w:rPr>
      </w:pPr>
      <w:r w:rsidRPr="00384028">
        <w:rPr>
          <w:sz w:val="18"/>
          <w:szCs w:val="18"/>
        </w:rPr>
        <w:t xml:space="preserve">FORWARD LOOKING STATEMENTS: </w:t>
      </w:r>
    </w:p>
    <w:p w:rsidR="00D27E48" w:rsidRPr="00384028" w:rsidRDefault="00D27E48">
      <w:pPr>
        <w:pStyle w:val="NormalWeb"/>
        <w:rPr>
          <w:sz w:val="18"/>
          <w:szCs w:val="18"/>
        </w:rPr>
      </w:pPr>
      <w:r w:rsidRPr="00384028">
        <w:rPr>
          <w:sz w:val="18"/>
          <w:szCs w:val="18"/>
        </w:rPr>
        <w:t xml:space="preserve">Certain statements contained in this report, including statements concerning the Company's future and financing requirements, the Company's ability to obtain market acceptance of its products and the competitive market for sales of small production business' and other statements contained herein regarding matters that are not historical facts, are forward looking statements; actual results may differ materially from those set forth in the forward looking statements, which statements involve risks and uncertainties, including without limitation to those risks and uncertainties set forth in any of the Company's Registration Statements under the heading "Risk Factors" or any other such heading. In addition, historical performance of the Company should not be considered as an indicator for future performance, and as such, the future performance of the Company may differ significantly from historical performance. </w:t>
      </w:r>
    </w:p>
    <w:p w:rsidR="00D27E48" w:rsidRDefault="00D27E48">
      <w:pPr>
        <w:pStyle w:val="NormalWeb"/>
      </w:pPr>
      <w:r w:rsidRPr="00384028">
        <w:rPr>
          <w:sz w:val="18"/>
          <w:szCs w:val="18"/>
        </w:rPr>
        <w:t>CRITICAL ACCOUNTING POLICIES AND ESTIMATES</w:t>
      </w:r>
    </w:p>
    <w:p w:rsidR="00D27E48" w:rsidRDefault="007E7BD4">
      <w:pPr>
        <w:pStyle w:val="NormalWeb"/>
        <w:rPr>
          <w:sz w:val="20"/>
          <w:szCs w:val="20"/>
        </w:rPr>
      </w:pPr>
      <w:hyperlink w:anchor="toc" w:history="1">
        <w:r w:rsidR="00D27E48">
          <w:rPr>
            <w:rStyle w:val="Hyperlink"/>
            <w:b/>
            <w:bCs/>
            <w:sz w:val="20"/>
            <w:szCs w:val="20"/>
          </w:rPr>
          <w:t>Return to Table of Contents</w:t>
        </w:r>
      </w:hyperlink>
      <w:r w:rsidR="00D27E48">
        <w:rPr>
          <w:sz w:val="20"/>
          <w:szCs w:val="20"/>
        </w:rPr>
        <w:t xml:space="preserve"> </w:t>
      </w:r>
    </w:p>
    <w:p w:rsidR="00384028" w:rsidRDefault="007E7BD4">
      <w:pPr>
        <w:rPr>
          <w:rFonts w:eastAsia="Times New Roman"/>
          <w:sz w:val="20"/>
          <w:szCs w:val="20"/>
        </w:rPr>
      </w:pPr>
      <w:r w:rsidRPr="007E7BD4">
        <w:rPr>
          <w:rFonts w:eastAsia="Times New Roman"/>
          <w:sz w:val="20"/>
          <w:szCs w:val="20"/>
        </w:rPr>
        <w:pict>
          <v:rect id="_x0000_i1051" style="width:0;height:3pt" o:hralign="center" o:hrstd="t" o:hrnoshade="t" o:hr="t" fillcolor="black" stroked="f"/>
        </w:pict>
      </w:r>
    </w:p>
    <w:p w:rsidR="00384028" w:rsidRDefault="00384028">
      <w:pPr>
        <w:rPr>
          <w:rFonts w:eastAsia="Times New Roman"/>
          <w:sz w:val="20"/>
          <w:szCs w:val="20"/>
        </w:rPr>
      </w:pPr>
      <w:r>
        <w:rPr>
          <w:rFonts w:eastAsia="Times New Roman"/>
          <w:sz w:val="20"/>
          <w:szCs w:val="20"/>
        </w:rPr>
        <w:br w:type="page"/>
      </w:r>
    </w:p>
    <w:p w:rsidR="00D27E48" w:rsidRPr="00384028" w:rsidRDefault="00D27E48">
      <w:pPr>
        <w:rPr>
          <w:rFonts w:eastAsia="Times New Roman"/>
          <w:sz w:val="18"/>
          <w:szCs w:val="18"/>
        </w:rPr>
      </w:pPr>
      <w:r w:rsidRPr="00384028">
        <w:rPr>
          <w:rFonts w:eastAsia="Times New Roman"/>
          <w:sz w:val="18"/>
          <w:szCs w:val="18"/>
        </w:rPr>
        <w:lastRenderedPageBreak/>
        <w:t>The preparation of consolidated financial statements in conformity with accounting principles generally accepted in the U.S. (“GAAP”) requires our management to make estimates and assumptions that affect the reported amounts of assets and liabilities and the disclosure of contingent assets and liabilities at the date of the consolidated financial statements and the reported amounts of revenue and expenses during the reporting period. Following are accounting policies that we believe are most important to the portrayal of our financial condition and results of operations and that require our most difficult judgments as a result of the need to make estimates and assumptions about the effects of matters that are inherently uncertain.</w:t>
      </w:r>
    </w:p>
    <w:p w:rsidR="00D27E48" w:rsidRPr="00384028" w:rsidRDefault="00D27E48">
      <w:pPr>
        <w:pStyle w:val="NormalWeb"/>
        <w:rPr>
          <w:sz w:val="18"/>
          <w:szCs w:val="18"/>
        </w:rPr>
      </w:pPr>
      <w:proofErr w:type="gramStart"/>
      <w:r w:rsidRPr="00384028">
        <w:rPr>
          <w:i/>
          <w:iCs/>
          <w:sz w:val="18"/>
          <w:szCs w:val="18"/>
        </w:rPr>
        <w:t>Recognition of rental income.</w:t>
      </w:r>
      <w:proofErr w:type="gramEnd"/>
      <w:r w:rsidRPr="00384028">
        <w:rPr>
          <w:i/>
          <w:iCs/>
          <w:sz w:val="18"/>
          <w:szCs w:val="18"/>
        </w:rPr>
        <w:t xml:space="preserve"> </w:t>
      </w:r>
      <w:r w:rsidRPr="00384028">
        <w:rPr>
          <w:sz w:val="18"/>
          <w:szCs w:val="18"/>
        </w:rPr>
        <w:t>Rental income for commercial property leases is recognized on a straight-line basis over the respective lease terms.</w:t>
      </w:r>
    </w:p>
    <w:p w:rsidR="00D27E48" w:rsidRPr="00384028" w:rsidRDefault="00D27E48">
      <w:pPr>
        <w:pStyle w:val="NormalWeb"/>
        <w:rPr>
          <w:sz w:val="18"/>
          <w:szCs w:val="18"/>
        </w:rPr>
      </w:pPr>
      <w:r w:rsidRPr="00384028">
        <w:rPr>
          <w:sz w:val="18"/>
          <w:szCs w:val="18"/>
        </w:rPr>
        <w:t>Real Estate Accounting Principles: The Company treats the valuation of its real estate in accordance with FASB Statement No. 157, Fair Value Measurements, which provides for the companies accounting valuation of real estate. Statement 157 defines fair value as the price that would be received to sell an asset or paid to transfer a liability in an orderly transaction between market participants at the measurement date. The Company has valued its real estate using the three valuation approaches defined in FASB Statement No. 157: The market approach, which uses observable prices and other relevant information derived from market transactions involving identical or comparable assets or liabilities, The income approach, which uses valuation technique to convert future benefits or costs, usually in the form of cash flows, into a present-value amount. Examples of an income approach include the discounted cash flow method and the direct capitalization method, and the cost approach, which uses estimates of the cost to replace an asset’s service capacity.</w:t>
      </w:r>
    </w:p>
    <w:p w:rsidR="00D27E48" w:rsidRPr="00384028" w:rsidRDefault="00D27E48">
      <w:pPr>
        <w:pStyle w:val="NormalWeb"/>
        <w:rPr>
          <w:sz w:val="18"/>
          <w:szCs w:val="18"/>
        </w:rPr>
      </w:pPr>
      <w:proofErr w:type="gramStart"/>
      <w:r w:rsidRPr="00384028">
        <w:rPr>
          <w:i/>
          <w:iCs/>
          <w:sz w:val="18"/>
          <w:szCs w:val="18"/>
        </w:rPr>
        <w:t>Revenue recognition on the sale of real estate.</w:t>
      </w:r>
      <w:proofErr w:type="gramEnd"/>
      <w:r w:rsidRPr="00384028">
        <w:rPr>
          <w:i/>
          <w:iCs/>
          <w:sz w:val="18"/>
          <w:szCs w:val="18"/>
        </w:rPr>
        <w:t xml:space="preserve"> </w:t>
      </w:r>
    </w:p>
    <w:p w:rsidR="00D27E48" w:rsidRPr="00384028" w:rsidRDefault="00D27E48">
      <w:pPr>
        <w:pStyle w:val="NormalWeb"/>
        <w:rPr>
          <w:sz w:val="18"/>
          <w:szCs w:val="18"/>
        </w:rPr>
      </w:pPr>
      <w:r w:rsidRPr="00384028">
        <w:rPr>
          <w:sz w:val="18"/>
          <w:szCs w:val="18"/>
        </w:rPr>
        <w:t xml:space="preserve">Sales of real estate are recognized when and to the extent permitted by Statement of Financial Accounting Standards No. 66, “Accounting for Sales of Real Estate” (“SFAS No. 66”), as amended by SFAS No. 144. Until the requirements of SFAS No. 66 for full profit recognition have been met, transactions are accounted for using </w:t>
      </w:r>
      <w:proofErr w:type="gramStart"/>
      <w:r w:rsidRPr="00384028">
        <w:rPr>
          <w:sz w:val="18"/>
          <w:szCs w:val="18"/>
        </w:rPr>
        <w:t>either the</w:t>
      </w:r>
      <w:proofErr w:type="gramEnd"/>
      <w:r w:rsidRPr="00384028">
        <w:rPr>
          <w:sz w:val="18"/>
          <w:szCs w:val="18"/>
        </w:rPr>
        <w:t xml:space="preserve"> deposit, the installment, the cost recovery, or the financing method, whichever is appropriate.</w:t>
      </w:r>
    </w:p>
    <w:p w:rsidR="00D27E48" w:rsidRPr="00384028" w:rsidRDefault="00D27E48">
      <w:pPr>
        <w:pStyle w:val="NormalWeb"/>
        <w:rPr>
          <w:sz w:val="18"/>
          <w:szCs w:val="18"/>
        </w:rPr>
      </w:pPr>
      <w:r w:rsidRPr="00384028">
        <w:rPr>
          <w:sz w:val="18"/>
          <w:szCs w:val="18"/>
        </w:rPr>
        <w:t>Interest Recognition on Notes Receivable</w:t>
      </w:r>
    </w:p>
    <w:p w:rsidR="00D27E48" w:rsidRPr="00384028" w:rsidRDefault="00D27E48">
      <w:pPr>
        <w:pStyle w:val="NormalWeb"/>
        <w:rPr>
          <w:sz w:val="18"/>
          <w:szCs w:val="18"/>
        </w:rPr>
      </w:pPr>
      <w:r w:rsidRPr="00384028">
        <w:rPr>
          <w:sz w:val="18"/>
          <w:szCs w:val="18"/>
        </w:rPr>
        <w:t>Interest income is not recognized on notes receivable that have been delinquent for 60 days or more. In addition, accrued but unpaid interest income is only recognized to the extent that the net realizable value of the underlying collateral exceeds the carrying value of the receivable.</w:t>
      </w:r>
    </w:p>
    <w:p w:rsidR="00D27E48" w:rsidRPr="00384028" w:rsidRDefault="00D27E48">
      <w:pPr>
        <w:pStyle w:val="NormalWeb"/>
        <w:rPr>
          <w:sz w:val="18"/>
          <w:szCs w:val="18"/>
        </w:rPr>
      </w:pPr>
      <w:r w:rsidRPr="00384028">
        <w:rPr>
          <w:i/>
          <w:iCs/>
          <w:sz w:val="18"/>
          <w:szCs w:val="18"/>
        </w:rPr>
        <w:t>Foreign currency translation:</w:t>
      </w:r>
    </w:p>
    <w:p w:rsidR="00D27E48" w:rsidRPr="00384028" w:rsidRDefault="00D27E48">
      <w:pPr>
        <w:pStyle w:val="NormalWeb"/>
        <w:rPr>
          <w:sz w:val="18"/>
          <w:szCs w:val="18"/>
        </w:rPr>
      </w:pPr>
      <w:r w:rsidRPr="00384028">
        <w:rPr>
          <w:sz w:val="18"/>
          <w:szCs w:val="18"/>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p>
    <w:p w:rsidR="00D27E48" w:rsidRPr="00384028" w:rsidRDefault="00D27E48">
      <w:pPr>
        <w:pStyle w:val="NormalWeb"/>
        <w:rPr>
          <w:sz w:val="18"/>
          <w:szCs w:val="18"/>
        </w:rPr>
      </w:pPr>
      <w:r w:rsidRPr="00384028">
        <w:rPr>
          <w:i/>
          <w:iCs/>
          <w:sz w:val="18"/>
          <w:szCs w:val="18"/>
        </w:rPr>
        <w:t>Income Taxes:</w:t>
      </w:r>
    </w:p>
    <w:p w:rsidR="00D27E48" w:rsidRPr="00384028" w:rsidRDefault="00D27E48">
      <w:pPr>
        <w:pStyle w:val="NormalWeb"/>
        <w:rPr>
          <w:sz w:val="18"/>
          <w:szCs w:val="18"/>
        </w:rPr>
      </w:pPr>
      <w:r w:rsidRPr="00384028">
        <w:rPr>
          <w:sz w:val="18"/>
          <w:szCs w:val="18"/>
        </w:rPr>
        <w:t xml:space="preserve">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w:t>
      </w:r>
    </w:p>
    <w:p w:rsidR="00D27E48" w:rsidRPr="00384028" w:rsidRDefault="00D27E48">
      <w:pPr>
        <w:pStyle w:val="NormalWeb"/>
        <w:rPr>
          <w:sz w:val="18"/>
          <w:szCs w:val="18"/>
        </w:rPr>
      </w:pPr>
      <w:proofErr w:type="gramStart"/>
      <w:r w:rsidRPr="00384028">
        <w:rPr>
          <w:sz w:val="18"/>
          <w:szCs w:val="18"/>
        </w:rPr>
        <w:t>required</w:t>
      </w:r>
      <w:proofErr w:type="gramEnd"/>
      <w:r w:rsidRPr="00384028">
        <w:rPr>
          <w:sz w:val="18"/>
          <w:szCs w:val="18"/>
        </w:rPr>
        <w:t xml:space="preserve">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p>
    <w:p w:rsidR="00D27E48" w:rsidRPr="00384028" w:rsidRDefault="00D27E48">
      <w:pPr>
        <w:pStyle w:val="NormalWeb"/>
        <w:rPr>
          <w:sz w:val="18"/>
          <w:szCs w:val="18"/>
        </w:rPr>
      </w:pPr>
      <w:r w:rsidRPr="00384028">
        <w:rPr>
          <w:i/>
          <w:iCs/>
          <w:sz w:val="18"/>
          <w:szCs w:val="18"/>
        </w:rPr>
        <w:t>Net Earnings per Share:</w:t>
      </w:r>
    </w:p>
    <w:p w:rsidR="00D27E48" w:rsidRPr="00384028" w:rsidRDefault="00D27E48">
      <w:pPr>
        <w:pStyle w:val="NormalWeb"/>
        <w:rPr>
          <w:sz w:val="18"/>
          <w:szCs w:val="18"/>
        </w:rPr>
      </w:pPr>
      <w:r w:rsidRPr="00384028">
        <w:rPr>
          <w:sz w:val="18"/>
          <w:szCs w:val="18"/>
        </w:rPr>
        <w:t xml:space="preserve">The Company adopted SFAS No. 128, "Earnings per Share". </w:t>
      </w:r>
      <w:proofErr w:type="gramStart"/>
      <w:r w:rsidRPr="00384028">
        <w:rPr>
          <w:sz w:val="18"/>
          <w:szCs w:val="18"/>
        </w:rPr>
        <w:t>Basic earnings per share is</w:t>
      </w:r>
      <w:proofErr w:type="gramEnd"/>
      <w:r w:rsidRPr="00384028">
        <w:rPr>
          <w:sz w:val="18"/>
          <w:szCs w:val="18"/>
        </w:rPr>
        <w:t xml:space="preserve">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p>
    <w:p w:rsidR="00D27E48" w:rsidRPr="00384028" w:rsidRDefault="00D27E48">
      <w:pPr>
        <w:pStyle w:val="NormalWeb"/>
        <w:rPr>
          <w:sz w:val="18"/>
          <w:szCs w:val="18"/>
        </w:rPr>
      </w:pPr>
      <w:r w:rsidRPr="00384028">
        <w:rPr>
          <w:i/>
          <w:iCs/>
          <w:sz w:val="18"/>
          <w:szCs w:val="18"/>
        </w:rPr>
        <w:t>Cash and Cash Equivalents:</w:t>
      </w:r>
    </w:p>
    <w:p w:rsidR="00D27E48" w:rsidRPr="00384028" w:rsidRDefault="00D27E48">
      <w:pPr>
        <w:pStyle w:val="NormalWeb"/>
        <w:rPr>
          <w:sz w:val="18"/>
          <w:szCs w:val="18"/>
        </w:rPr>
      </w:pPr>
      <w:r w:rsidRPr="00384028">
        <w:rPr>
          <w:sz w:val="18"/>
          <w:szCs w:val="18"/>
        </w:rPr>
        <w:t>For purposes of the statement of cash flows, the Company considers all highly-liquid investments purchased with original maturities of three months or less to be cash equivalents.</w:t>
      </w:r>
    </w:p>
    <w:p w:rsidR="00D27E48" w:rsidRDefault="007E7BD4">
      <w:pPr>
        <w:pStyle w:val="NormalWeb"/>
      </w:pPr>
      <w:hyperlink w:anchor="toc" w:history="1">
        <w:r w:rsidR="00D27E48">
          <w:rPr>
            <w:rStyle w:val="Hyperlink"/>
            <w:b/>
            <w:bCs/>
            <w:sz w:val="20"/>
            <w:szCs w:val="20"/>
          </w:rPr>
          <w:t>Return to Table of Contents</w:t>
        </w:r>
      </w:hyperlink>
    </w:p>
    <w:p w:rsidR="00D27E48" w:rsidRDefault="007E7BD4">
      <w:pPr>
        <w:rPr>
          <w:rFonts w:eastAsia="Times New Roman"/>
        </w:rPr>
      </w:pPr>
      <w:r w:rsidRPr="007E7BD4">
        <w:rPr>
          <w:rFonts w:eastAsia="Times New Roman"/>
        </w:rPr>
        <w:pict>
          <v:rect id="_x0000_i1052" style="width:0;height:3pt" o:hralign="center" o:hrstd="t" o:hrnoshade="t" o:hr="t" fillcolor="black" stroked="f"/>
        </w:pict>
      </w:r>
    </w:p>
    <w:p w:rsidR="00D27E48" w:rsidRPr="00384028" w:rsidRDefault="00D27E48">
      <w:pPr>
        <w:pStyle w:val="NormalWeb"/>
        <w:rPr>
          <w:sz w:val="18"/>
          <w:szCs w:val="18"/>
        </w:rPr>
      </w:pPr>
      <w:r w:rsidRPr="00384028">
        <w:rPr>
          <w:sz w:val="18"/>
          <w:szCs w:val="18"/>
        </w:rPr>
        <w:t>The Company maintains its cash in bank deposit accounts which, at December 31, 2011 did not exceed federally insured limits. The Company has not experienced any losses in such accounts and believes that it is not exposed to any significant credit risk on such amounts.</w:t>
      </w:r>
    </w:p>
    <w:p w:rsidR="00D27E48" w:rsidRPr="00384028" w:rsidRDefault="00D27E48">
      <w:pPr>
        <w:pStyle w:val="NormalWeb"/>
        <w:rPr>
          <w:sz w:val="18"/>
          <w:szCs w:val="18"/>
        </w:rPr>
      </w:pPr>
      <w:r w:rsidRPr="00384028">
        <w:rPr>
          <w:i/>
          <w:iCs/>
          <w:sz w:val="18"/>
          <w:szCs w:val="18"/>
        </w:rPr>
        <w:t>Estimates:</w:t>
      </w:r>
    </w:p>
    <w:p w:rsidR="00D27E48" w:rsidRPr="00384028" w:rsidRDefault="00D27E48">
      <w:pPr>
        <w:pStyle w:val="NormalWeb"/>
        <w:rPr>
          <w:sz w:val="18"/>
          <w:szCs w:val="18"/>
        </w:rPr>
      </w:pPr>
      <w:r w:rsidRPr="00384028">
        <w:rPr>
          <w:sz w:val="18"/>
          <w:szCs w:val="18"/>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p>
    <w:p w:rsidR="00D27E48" w:rsidRPr="00384028" w:rsidRDefault="00D27E48">
      <w:pPr>
        <w:pStyle w:val="NormalWeb"/>
        <w:rPr>
          <w:sz w:val="18"/>
          <w:szCs w:val="18"/>
        </w:rPr>
      </w:pPr>
      <w:r w:rsidRPr="00384028">
        <w:rPr>
          <w:i/>
          <w:iCs/>
          <w:sz w:val="18"/>
          <w:szCs w:val="18"/>
        </w:rPr>
        <w:t>Concentrations of Credit Risk</w:t>
      </w:r>
      <w:r w:rsidRPr="00384028">
        <w:rPr>
          <w:sz w:val="18"/>
          <w:szCs w:val="18"/>
        </w:rPr>
        <w:t>:</w:t>
      </w:r>
    </w:p>
    <w:p w:rsidR="00D27E48" w:rsidRPr="00384028" w:rsidRDefault="00D27E48">
      <w:pPr>
        <w:pStyle w:val="NormalWeb"/>
        <w:rPr>
          <w:sz w:val="18"/>
          <w:szCs w:val="18"/>
        </w:rPr>
      </w:pPr>
      <w:r w:rsidRPr="00384028">
        <w:rPr>
          <w:sz w:val="18"/>
          <w:szCs w:val="18"/>
        </w:rPr>
        <w:t xml:space="preserve">Financial instruments that potentially subject the Company to major credit risk consist principally of a single subsidiary of Anton Nielsen </w:t>
      </w:r>
      <w:proofErr w:type="spellStart"/>
      <w:r w:rsidRPr="00384028">
        <w:rPr>
          <w:sz w:val="18"/>
          <w:szCs w:val="18"/>
        </w:rPr>
        <w:t>Vojens</w:t>
      </w:r>
      <w:proofErr w:type="spellEnd"/>
      <w:r w:rsidRPr="00384028">
        <w:rPr>
          <w:sz w:val="18"/>
          <w:szCs w:val="18"/>
        </w:rPr>
        <w:t xml:space="preserve"> </w:t>
      </w:r>
      <w:proofErr w:type="spellStart"/>
      <w:r w:rsidRPr="00384028">
        <w:rPr>
          <w:sz w:val="18"/>
          <w:szCs w:val="18"/>
        </w:rPr>
        <w:t>ApS</w:t>
      </w:r>
      <w:proofErr w:type="spellEnd"/>
      <w:r w:rsidRPr="00384028">
        <w:rPr>
          <w:sz w:val="18"/>
          <w:szCs w:val="18"/>
        </w:rPr>
        <w:t xml:space="preserve"> and its customer concentration.</w:t>
      </w:r>
    </w:p>
    <w:p w:rsidR="00D27E48" w:rsidRPr="00384028" w:rsidRDefault="00D27E48">
      <w:pPr>
        <w:pStyle w:val="NormalWeb"/>
        <w:rPr>
          <w:sz w:val="18"/>
          <w:szCs w:val="18"/>
        </w:rPr>
      </w:pPr>
      <w:r w:rsidRPr="00384028">
        <w:rPr>
          <w:i/>
          <w:iCs/>
          <w:sz w:val="18"/>
          <w:szCs w:val="18"/>
        </w:rPr>
        <w:t>Recently Issued Accounting Standards</w:t>
      </w:r>
    </w:p>
    <w:p w:rsidR="00D27E48" w:rsidRPr="00384028" w:rsidRDefault="00D27E48">
      <w:pPr>
        <w:pStyle w:val="NormalWeb"/>
        <w:rPr>
          <w:sz w:val="18"/>
          <w:szCs w:val="18"/>
        </w:rPr>
      </w:pPr>
      <w:r w:rsidRPr="00384028">
        <w:rPr>
          <w:sz w:val="18"/>
          <w:szCs w:val="18"/>
        </w:rPr>
        <w:t>In February 2006, the FASB issued SFAS No. 155, “Accounting for Certain Hybrid Financial Instruments—an Amendment of FASB Statements No. 133 and 140” (“SFAS No. 155”). The purpose of SFAS No. 155 is to simplify the accounting for certain hybrid financial instruments by permitting fair value re-measurement for any hybrid financial instrument that contains an embedded derivative that otherwise would require bifurcation. SFAS No. 155 was effective for all financial instruments acquired or issued after the beginning of an entity’s first fiscal year that begins after September 15, 2006. The Company believes the adoption of SFAS No. 155 had no material impact on its cash flows, results of operations, financial position or liquidity.</w:t>
      </w:r>
    </w:p>
    <w:p w:rsidR="00D27E48" w:rsidRPr="00384028" w:rsidRDefault="00D27E48">
      <w:pPr>
        <w:pStyle w:val="NormalWeb"/>
        <w:rPr>
          <w:sz w:val="18"/>
          <w:szCs w:val="18"/>
        </w:rPr>
      </w:pPr>
      <w:r w:rsidRPr="00384028">
        <w:rPr>
          <w:sz w:val="18"/>
          <w:szCs w:val="18"/>
        </w:rPr>
        <w:t>In March 2006, the FASB issued SFAS No. 156, “Accounting for Servicing of Financial Assets—an Amendment of FASB Statement No. 140” (“SFAS No. 156”). SFAS No. 156 requires recognition of a servicing asset or a servicing liability each time an entity undertakes an obligation to service a financial asset by entering into a servicing contract. SFAS No. 156 also requires that all separately recognized servicing assets and servicing liabilities be initially measured at fair value and subsequently measured at fair value at each reporting date. SFAS No. 156 was effective as of the beginning of any entity’s first fiscal year that begins after September 15, 2006. The Company believes that the adoption of SFAS No. 156 had no material impact on its cash flows, results of operations, financial position or liquidity.</w:t>
      </w:r>
    </w:p>
    <w:p w:rsidR="00D27E48" w:rsidRPr="00384028" w:rsidRDefault="00D27E48">
      <w:pPr>
        <w:pStyle w:val="NormalWeb"/>
        <w:spacing w:after="240" w:afterAutospacing="0"/>
        <w:rPr>
          <w:sz w:val="18"/>
          <w:szCs w:val="18"/>
        </w:rPr>
      </w:pPr>
      <w:r w:rsidRPr="00384028">
        <w:rPr>
          <w:sz w:val="18"/>
          <w:szCs w:val="18"/>
        </w:rPr>
        <w:t>In June 2006, FASB issued FIN No. 48, “Accounting for Uncertainty Taxes”. The interpretation applies to all tax positions related to income taxes subject to FASB Statement No. 109, “Accounting for Income Taxes”. FIN No. 48 clarifies the accounting for uncertainty in income taxes by prescribing a minimum recognition threshold in determining if a tax position should be reflected in the financial statements. Only tax positions that meet the “more likely than not” recognition threshold may be recognized. The interpretation also provides guidance on classification, interest and penalties, accounting in interim periods, disclosure, and transition requirements for uncertain tax positions. FIN No. 48 was effective for the Company’s fiscal year ending June 30, 2007. The Company believes that there were no material tax positions that resulted in a material impact upon implementation of FIN No. 48.</w:t>
      </w:r>
    </w:p>
    <w:p w:rsidR="00D27E48" w:rsidRPr="00384028" w:rsidRDefault="00D27E48">
      <w:pPr>
        <w:pStyle w:val="NormalWeb"/>
        <w:rPr>
          <w:sz w:val="18"/>
          <w:szCs w:val="18"/>
        </w:rPr>
      </w:pPr>
      <w:r w:rsidRPr="00384028">
        <w:rPr>
          <w:sz w:val="18"/>
          <w:szCs w:val="18"/>
        </w:rPr>
        <w:t xml:space="preserve">In September 2006, the FASB issued SFAS No. 157, “Fair Value Measurements”. This standard establishes a single authoritative definition of fair </w:t>
      </w:r>
      <w:proofErr w:type="gramStart"/>
      <w:r w:rsidRPr="00384028">
        <w:rPr>
          <w:sz w:val="18"/>
          <w:szCs w:val="18"/>
        </w:rPr>
        <w:t>value,</w:t>
      </w:r>
      <w:proofErr w:type="gramEnd"/>
      <w:r w:rsidRPr="00384028">
        <w:rPr>
          <w:sz w:val="18"/>
          <w:szCs w:val="18"/>
        </w:rPr>
        <w:t xml:space="preserve"> sets out a framework for measuring fair value and expands disclosures about fair value measurements. SFAS No. 157 applies to fair value measurements already required or permitted by existing standards. SFAS No. 157 will be effective for the Company’s fiscal year ending June 30, 2009. The Company is currently evaluating the requirements of SFAS No. 157 and has not yet determined the impact on its financial condition and results of operations.</w:t>
      </w:r>
    </w:p>
    <w:p w:rsidR="00D27E48" w:rsidRPr="00384028" w:rsidRDefault="00D27E48">
      <w:pPr>
        <w:pStyle w:val="NormalWeb"/>
        <w:rPr>
          <w:sz w:val="18"/>
          <w:szCs w:val="18"/>
        </w:rPr>
      </w:pPr>
      <w:r w:rsidRPr="00384028">
        <w:rPr>
          <w:sz w:val="18"/>
          <w:szCs w:val="18"/>
        </w:rPr>
        <w:t>In September 2006, the FASB issued SFAS No. 158, “Employers’ Accounting for Defined Benefit Pension and other Postretirement Plans - an amendment of FASB Statement No. 87, 88, 106 and 132R”. This pronouncement requires an employer to make certain recognitions, measurements, and disclosures regarding defined benefit postretirement plans. The Company does not have any defined benefit postretirement plans and SFAS No. 158 will not have any impact on its financial condition and results of operations.</w:t>
      </w:r>
    </w:p>
    <w:p w:rsidR="00D27E48" w:rsidRPr="00384028" w:rsidRDefault="00D27E48">
      <w:pPr>
        <w:pStyle w:val="NormalWeb"/>
        <w:rPr>
          <w:sz w:val="18"/>
          <w:szCs w:val="18"/>
        </w:rPr>
      </w:pPr>
      <w:r w:rsidRPr="00384028">
        <w:rPr>
          <w:sz w:val="18"/>
          <w:szCs w:val="18"/>
        </w:rPr>
        <w:t>In September 2006, the Securities and Exchange Commission issued Staff Accounting Bulletin No. 108 “Considering the Effects of Prior Year Misstatements in Current Year Financial Statements” (“SAB 108”). SAB 108 provides guidance on consideration of the effects of prior year misstatements in quantifying current year misstatements for the purpose</w:t>
      </w:r>
    </w:p>
    <w:p w:rsidR="00D27E48" w:rsidRPr="00384028" w:rsidRDefault="007E7BD4">
      <w:pPr>
        <w:pStyle w:val="NormalWeb"/>
        <w:rPr>
          <w:sz w:val="18"/>
          <w:szCs w:val="18"/>
        </w:rPr>
      </w:pPr>
      <w:hyperlink w:anchor="toc" w:history="1">
        <w:r w:rsidR="00D27E48" w:rsidRPr="00384028">
          <w:rPr>
            <w:rStyle w:val="Hyperlink"/>
            <w:b/>
            <w:bCs/>
            <w:sz w:val="18"/>
            <w:szCs w:val="18"/>
          </w:rPr>
          <w:t>Return to Table of Contents</w:t>
        </w:r>
      </w:hyperlink>
    </w:p>
    <w:p w:rsidR="00384028" w:rsidRDefault="007E7BD4">
      <w:pPr>
        <w:rPr>
          <w:rFonts w:eastAsia="Times New Roman"/>
          <w:sz w:val="18"/>
          <w:szCs w:val="18"/>
        </w:rPr>
      </w:pPr>
      <w:r w:rsidRPr="007E7BD4">
        <w:rPr>
          <w:rFonts w:eastAsia="Times New Roman"/>
          <w:sz w:val="18"/>
          <w:szCs w:val="18"/>
        </w:rPr>
        <w:pict>
          <v:rect id="_x0000_i1053" style="width:0;height:3pt" o:hralign="center" o:hrstd="t" o:hrnoshade="t" o:hr="t" fillcolor="black" stroked="f"/>
        </w:pict>
      </w:r>
    </w:p>
    <w:p w:rsidR="00384028" w:rsidRDefault="00384028">
      <w:pPr>
        <w:rPr>
          <w:rFonts w:eastAsia="Times New Roman"/>
          <w:sz w:val="18"/>
          <w:szCs w:val="18"/>
        </w:rPr>
      </w:pPr>
      <w:r>
        <w:rPr>
          <w:rFonts w:eastAsia="Times New Roman"/>
          <w:sz w:val="18"/>
          <w:szCs w:val="18"/>
        </w:rPr>
        <w:br w:type="page"/>
      </w:r>
    </w:p>
    <w:p w:rsidR="00D27E48" w:rsidRPr="00384028" w:rsidRDefault="00D27E48">
      <w:pPr>
        <w:pStyle w:val="NormalWeb"/>
        <w:rPr>
          <w:sz w:val="18"/>
          <w:szCs w:val="18"/>
        </w:rPr>
      </w:pPr>
      <w:proofErr w:type="gramStart"/>
      <w:r w:rsidRPr="00384028">
        <w:rPr>
          <w:sz w:val="18"/>
          <w:szCs w:val="18"/>
        </w:rPr>
        <w:t>of</w:t>
      </w:r>
      <w:proofErr w:type="gramEnd"/>
      <w:r w:rsidRPr="00384028">
        <w:rPr>
          <w:sz w:val="18"/>
          <w:szCs w:val="18"/>
        </w:rPr>
        <w:t xml:space="preserve"> a materiality assessment. SAB 108 was effective for fiscal years ending after November 15, 2006. The adoption of SAB 108 did not have an impact on the Company’s consolidated financial statements.</w:t>
      </w:r>
    </w:p>
    <w:p w:rsidR="00D27E48" w:rsidRPr="00384028" w:rsidRDefault="00D27E48">
      <w:pPr>
        <w:pStyle w:val="NormalWeb"/>
        <w:rPr>
          <w:sz w:val="18"/>
          <w:szCs w:val="18"/>
        </w:rPr>
      </w:pPr>
      <w:r w:rsidRPr="00384028">
        <w:rPr>
          <w:sz w:val="18"/>
          <w:szCs w:val="18"/>
        </w:rPr>
        <w:t>In February 2007, the FASB issued SFAS No 159, “The Fair Value Option for Financial Assets and Financial Liabilities” (“SFAS 159”) which permits entities to choose to measure many financial instruments and certain other items at fair value that are not currently required to be measured at fair value. SFAS 159 was effective for us on July 1, 2008. The adoption of SFAS 159 did not have an impact on the Company’s consolidated financial statements.</w:t>
      </w:r>
    </w:p>
    <w:p w:rsidR="00D27E48" w:rsidRPr="00384028" w:rsidRDefault="00D27E48">
      <w:pPr>
        <w:pStyle w:val="NormalWeb"/>
        <w:rPr>
          <w:sz w:val="18"/>
          <w:szCs w:val="18"/>
        </w:rPr>
      </w:pPr>
      <w:r w:rsidRPr="00384028">
        <w:rPr>
          <w:sz w:val="18"/>
          <w:szCs w:val="18"/>
        </w:rPr>
        <w:t>RESULTS OF OPERATIONS FOR THE THREE MONTH PERIOD ENDING DECEMBER 31, 2011 COMPARED TO 2010</w:t>
      </w:r>
    </w:p>
    <w:p w:rsidR="00D27E48" w:rsidRPr="00384028" w:rsidRDefault="00D27E48">
      <w:pPr>
        <w:pStyle w:val="NormalWeb"/>
        <w:rPr>
          <w:sz w:val="18"/>
          <w:szCs w:val="18"/>
        </w:rPr>
      </w:pPr>
      <w:r w:rsidRPr="00384028">
        <w:rPr>
          <w:i/>
          <w:iCs/>
          <w:sz w:val="18"/>
          <w:szCs w:val="18"/>
        </w:rPr>
        <w:t>Revenues:</w:t>
      </w:r>
      <w:r w:rsidRPr="00384028">
        <w:rPr>
          <w:sz w:val="18"/>
          <w:szCs w:val="18"/>
        </w:rPr>
        <w:t xml:space="preserve"> Revenues from operations for the three month period ending December 31, 2011 and December 31, 2010 were $10,284 and $9,851 </w:t>
      </w:r>
      <w:proofErr w:type="gramStart"/>
      <w:r w:rsidRPr="00384028">
        <w:rPr>
          <w:sz w:val="18"/>
          <w:szCs w:val="18"/>
        </w:rPr>
        <w:t>respectively .</w:t>
      </w:r>
      <w:proofErr w:type="gramEnd"/>
      <w:r w:rsidRPr="00384028">
        <w:rPr>
          <w:sz w:val="18"/>
          <w:szCs w:val="18"/>
        </w:rPr>
        <w:t xml:space="preserve"> They were attributable to rental payments for the commercial real estate held by Anton Nielsen </w:t>
      </w:r>
      <w:proofErr w:type="spellStart"/>
      <w:r w:rsidRPr="00384028">
        <w:rPr>
          <w:sz w:val="18"/>
          <w:szCs w:val="18"/>
        </w:rPr>
        <w:t>Vojens</w:t>
      </w:r>
      <w:proofErr w:type="spellEnd"/>
      <w:r w:rsidRPr="00384028">
        <w:rPr>
          <w:sz w:val="18"/>
          <w:szCs w:val="18"/>
        </w:rPr>
        <w:t xml:space="preserve"> and the fluctuation was due to currency value changes.</w:t>
      </w:r>
    </w:p>
    <w:p w:rsidR="00D27E48" w:rsidRPr="00384028" w:rsidRDefault="00D27E48">
      <w:pPr>
        <w:pStyle w:val="NormalWeb"/>
        <w:rPr>
          <w:sz w:val="18"/>
          <w:szCs w:val="18"/>
        </w:rPr>
      </w:pPr>
      <w:r w:rsidRPr="00384028">
        <w:rPr>
          <w:i/>
          <w:iCs/>
          <w:sz w:val="18"/>
          <w:szCs w:val="18"/>
        </w:rPr>
        <w:t xml:space="preserve">Selling, general and administrative expenses: </w:t>
      </w:r>
      <w:r w:rsidRPr="00384028">
        <w:rPr>
          <w:sz w:val="18"/>
          <w:szCs w:val="18"/>
        </w:rPr>
        <w:t>SG&amp;A expenses for the three month period ending December 31, 2011 and December 31, 2010 were $3,045 and $1,496 respectively. The expenses are attributable to ANV's operations.</w:t>
      </w:r>
    </w:p>
    <w:p w:rsidR="00D27E48" w:rsidRPr="00384028" w:rsidRDefault="00D27E48">
      <w:pPr>
        <w:pStyle w:val="NormalWeb"/>
        <w:rPr>
          <w:sz w:val="18"/>
          <w:szCs w:val="18"/>
        </w:rPr>
      </w:pPr>
      <w:r w:rsidRPr="00384028">
        <w:rPr>
          <w:i/>
          <w:iCs/>
          <w:sz w:val="18"/>
          <w:szCs w:val="18"/>
        </w:rPr>
        <w:t xml:space="preserve">Interest expense: </w:t>
      </w:r>
      <w:r w:rsidRPr="00384028">
        <w:rPr>
          <w:sz w:val="18"/>
          <w:szCs w:val="18"/>
        </w:rPr>
        <w:t>Interest expense for the three month period ending December 31, 2011 and December 31, 2010 was $1,265 and $1,433 respectively. Interest expenses for 2011 are lower primarily due to the foreign currency adjustments of the US Dollar.</w:t>
      </w:r>
    </w:p>
    <w:p w:rsidR="00D27E48" w:rsidRPr="00384028" w:rsidRDefault="00D27E48">
      <w:pPr>
        <w:pStyle w:val="NormalWeb"/>
        <w:rPr>
          <w:sz w:val="18"/>
          <w:szCs w:val="18"/>
        </w:rPr>
      </w:pPr>
      <w:r w:rsidRPr="00384028">
        <w:rPr>
          <w:i/>
          <w:iCs/>
          <w:sz w:val="18"/>
          <w:szCs w:val="18"/>
        </w:rPr>
        <w:t>Other income (expense), net:</w:t>
      </w:r>
      <w:r w:rsidRPr="00384028">
        <w:rPr>
          <w:sz w:val="18"/>
          <w:szCs w:val="18"/>
        </w:rPr>
        <w:t xml:space="preserve"> Other income (expense) net for the three month period ending December 31, 2011 and December 31, 2010 was $10 and $8 respectively. Other income is completely associated with interest income.</w:t>
      </w:r>
    </w:p>
    <w:p w:rsidR="00D27E48" w:rsidRPr="00384028" w:rsidRDefault="00D27E48">
      <w:pPr>
        <w:pStyle w:val="NormalWeb"/>
        <w:rPr>
          <w:sz w:val="18"/>
          <w:szCs w:val="18"/>
        </w:rPr>
      </w:pPr>
      <w:r w:rsidRPr="00384028">
        <w:rPr>
          <w:i/>
          <w:iCs/>
          <w:sz w:val="18"/>
          <w:szCs w:val="18"/>
        </w:rPr>
        <w:t xml:space="preserve">Net income (loss) attributed to common stockholders: </w:t>
      </w:r>
      <w:r w:rsidRPr="00384028">
        <w:rPr>
          <w:sz w:val="18"/>
          <w:szCs w:val="18"/>
        </w:rPr>
        <w:t>Net loss and income for the three month period ending December 31, 2011 and December 31, 2010 attributed to common stockholders was $(1,563) and $6,922, or $0.000 per share respectively.</w:t>
      </w:r>
    </w:p>
    <w:p w:rsidR="00D27E48" w:rsidRPr="00384028" w:rsidRDefault="00D27E48">
      <w:pPr>
        <w:pStyle w:val="NormalWeb"/>
        <w:rPr>
          <w:sz w:val="18"/>
          <w:szCs w:val="18"/>
        </w:rPr>
      </w:pPr>
      <w:r w:rsidRPr="00384028">
        <w:rPr>
          <w:i/>
          <w:iCs/>
          <w:sz w:val="18"/>
          <w:szCs w:val="18"/>
        </w:rPr>
        <w:t xml:space="preserve">Liquidity and capital resources: </w:t>
      </w:r>
      <w:r w:rsidRPr="00384028">
        <w:rPr>
          <w:sz w:val="18"/>
          <w:szCs w:val="18"/>
        </w:rPr>
        <w:t>As of December 31, 2011 the Company had $4,820 in cash and cash equivalents and a working capital of $261,415 as compared to December 31, 2010 the Company had $19,881 in cash and cash equivalents and a working capital of $194,818. The change in cash is primarily due to the payments made on the debt of the acquisition of ANV and normal operations. The increase in the working capital is primarily related operations of ANV real estate.</w:t>
      </w:r>
    </w:p>
    <w:p w:rsidR="00D27E48" w:rsidRPr="00384028" w:rsidRDefault="00D27E48">
      <w:pPr>
        <w:pStyle w:val="NormalWeb"/>
        <w:rPr>
          <w:sz w:val="18"/>
          <w:szCs w:val="18"/>
        </w:rPr>
      </w:pPr>
      <w:r w:rsidRPr="00384028">
        <w:rPr>
          <w:sz w:val="18"/>
          <w:szCs w:val="18"/>
        </w:rPr>
        <w:t>Net cash provided (used) by operating activities for three month period ending December 31, 2011 was $(28,162) compared to December 31, 2010 which was $</w:t>
      </w:r>
      <w:proofErr w:type="gramStart"/>
      <w:r w:rsidRPr="00384028">
        <w:rPr>
          <w:sz w:val="18"/>
          <w:szCs w:val="18"/>
        </w:rPr>
        <w:t>3,042 .</w:t>
      </w:r>
      <w:proofErr w:type="gramEnd"/>
      <w:r w:rsidRPr="00384028">
        <w:rPr>
          <w:sz w:val="18"/>
          <w:szCs w:val="18"/>
        </w:rPr>
        <w:t xml:space="preserve"> The net cash used by operating activities was primarily due to the operations of ANV.</w:t>
      </w:r>
    </w:p>
    <w:p w:rsidR="00D27E48" w:rsidRPr="00384028" w:rsidRDefault="00D27E48">
      <w:pPr>
        <w:pStyle w:val="NormalWeb"/>
        <w:rPr>
          <w:sz w:val="18"/>
          <w:szCs w:val="18"/>
        </w:rPr>
      </w:pPr>
      <w:r w:rsidRPr="00384028">
        <w:rPr>
          <w:sz w:val="18"/>
          <w:szCs w:val="18"/>
        </w:rPr>
        <w:t>OFF BALANCE SHEET ARRANGEMENTS</w:t>
      </w:r>
    </w:p>
    <w:p w:rsidR="00D27E48" w:rsidRPr="00384028" w:rsidRDefault="00D27E48">
      <w:pPr>
        <w:pStyle w:val="NormalWeb"/>
        <w:rPr>
          <w:sz w:val="18"/>
          <w:szCs w:val="18"/>
        </w:rPr>
      </w:pPr>
      <w:r w:rsidRPr="00384028">
        <w:rPr>
          <w:sz w:val="18"/>
          <w:szCs w:val="18"/>
        </w:rPr>
        <w:t>We do not currently have any off balance sheet arrangements.</w:t>
      </w:r>
    </w:p>
    <w:p w:rsidR="00D27E48" w:rsidRPr="00384028" w:rsidRDefault="00D27E48">
      <w:pPr>
        <w:pStyle w:val="NormalWeb"/>
        <w:rPr>
          <w:sz w:val="18"/>
          <w:szCs w:val="18"/>
        </w:rPr>
      </w:pPr>
      <w:r w:rsidRPr="00384028">
        <w:rPr>
          <w:sz w:val="18"/>
          <w:szCs w:val="18"/>
        </w:rPr>
        <w:t>ACQUISITION EFFORTS:</w:t>
      </w:r>
    </w:p>
    <w:p w:rsidR="00D27E48" w:rsidRPr="00384028" w:rsidRDefault="00D27E48">
      <w:pPr>
        <w:pStyle w:val="NormalWeb"/>
        <w:rPr>
          <w:sz w:val="18"/>
          <w:szCs w:val="18"/>
        </w:rPr>
      </w:pPr>
      <w:r w:rsidRPr="00384028">
        <w:rPr>
          <w:sz w:val="18"/>
          <w:szCs w:val="18"/>
        </w:rPr>
        <w:t>The Company continues its efforts to raise capital to support operations and growth, and is actively searching acquisition or merger with another company that would complement AOXY or increase its earnings potential. During this period, the Company has been in discussion with Companies looking to be acquired. AOXY has not negotiated any terms nor proposed any acquisitions of any of these companies that have been accepted. In addition, the Company is in discussion with potential lending institutions to assist in financing any proposed acquisition. The Company expects difficulty in financing the growth of the increased business or acquisition and has been concentrating on raising capital and/or obtaining a line of credit.</w:t>
      </w:r>
    </w:p>
    <w:p w:rsidR="00D27E48" w:rsidRPr="00384028" w:rsidRDefault="00D27E48">
      <w:pPr>
        <w:pStyle w:val="NormalWeb"/>
        <w:rPr>
          <w:sz w:val="18"/>
          <w:szCs w:val="18"/>
        </w:rPr>
      </w:pPr>
      <w:r w:rsidRPr="00384028">
        <w:rPr>
          <w:sz w:val="18"/>
          <w:szCs w:val="18"/>
        </w:rPr>
        <w:t>HISTORICAL OPERATIONS:</w:t>
      </w:r>
    </w:p>
    <w:p w:rsidR="00D27E48" w:rsidRPr="00384028" w:rsidRDefault="007E7BD4">
      <w:pPr>
        <w:pStyle w:val="NormalWeb"/>
        <w:rPr>
          <w:sz w:val="18"/>
          <w:szCs w:val="18"/>
        </w:rPr>
      </w:pPr>
      <w:hyperlink w:anchor="toc" w:history="1">
        <w:r w:rsidR="00D27E48" w:rsidRPr="00384028">
          <w:rPr>
            <w:rStyle w:val="Hyperlink"/>
            <w:b/>
            <w:bCs/>
            <w:sz w:val="18"/>
            <w:szCs w:val="18"/>
          </w:rPr>
          <w:t>Return to Table of Contents</w:t>
        </w:r>
      </w:hyperlink>
    </w:p>
    <w:p w:rsidR="00384028" w:rsidRDefault="007E7BD4">
      <w:pPr>
        <w:rPr>
          <w:rFonts w:eastAsia="Times New Roman"/>
          <w:sz w:val="18"/>
          <w:szCs w:val="18"/>
        </w:rPr>
      </w:pPr>
      <w:r w:rsidRPr="007E7BD4">
        <w:rPr>
          <w:rFonts w:eastAsia="Times New Roman"/>
          <w:sz w:val="18"/>
          <w:szCs w:val="18"/>
        </w:rPr>
        <w:pict>
          <v:rect id="_x0000_i1054" style="width:0;height:3pt" o:hralign="center" o:hrstd="t" o:hrnoshade="t" o:hr="t" fillcolor="black" stroked="f"/>
        </w:pict>
      </w:r>
    </w:p>
    <w:p w:rsidR="00384028" w:rsidRDefault="00384028">
      <w:pPr>
        <w:rPr>
          <w:rFonts w:eastAsia="Times New Roman"/>
          <w:sz w:val="18"/>
          <w:szCs w:val="18"/>
        </w:rPr>
      </w:pPr>
      <w:r>
        <w:rPr>
          <w:rFonts w:eastAsia="Times New Roman"/>
          <w:sz w:val="18"/>
          <w:szCs w:val="18"/>
        </w:rPr>
        <w:br w:type="page"/>
      </w:r>
    </w:p>
    <w:p w:rsidR="00D27E48" w:rsidRPr="00384028" w:rsidRDefault="00D27E48">
      <w:pPr>
        <w:pStyle w:val="NormalWeb"/>
        <w:rPr>
          <w:sz w:val="18"/>
          <w:szCs w:val="18"/>
        </w:rPr>
      </w:pPr>
      <w:r w:rsidRPr="00384028">
        <w:rPr>
          <w:sz w:val="18"/>
          <w:szCs w:val="18"/>
        </w:rPr>
        <w:t>On March 9, 1998, pursuant to an Agreement for Purchase and Sale of Specified Business Assets ("Purchase Agreement"), a Promissory Note ("Note")</w:t>
      </w:r>
      <w:proofErr w:type="gramStart"/>
      <w:r w:rsidRPr="00384028">
        <w:rPr>
          <w:sz w:val="18"/>
          <w:szCs w:val="18"/>
        </w:rPr>
        <w:t>,and</w:t>
      </w:r>
      <w:proofErr w:type="gramEnd"/>
      <w:r w:rsidRPr="00384028">
        <w:rPr>
          <w:sz w:val="18"/>
          <w:szCs w:val="18"/>
        </w:rPr>
        <w:t xml:space="preserve"> a Security Agreement ("Security Agreement") all dated March 9, 1998, Advanced Oxygen Technologies, Inc. (the "Company") purchased certain tangible and intangible assets (the "Assets") including goodwill and rights under certain contracts, from Integrated Marketing Agency, Inc., a California Corporation ("IMA").</w:t>
      </w:r>
    </w:p>
    <w:p w:rsidR="00D27E48" w:rsidRPr="00384028" w:rsidRDefault="00D27E48">
      <w:pPr>
        <w:pStyle w:val="NormalWeb"/>
        <w:rPr>
          <w:sz w:val="18"/>
          <w:szCs w:val="18"/>
        </w:rPr>
      </w:pPr>
      <w:r w:rsidRPr="00384028">
        <w:rPr>
          <w:sz w:val="18"/>
          <w:szCs w:val="18"/>
        </w:rPr>
        <w:t xml:space="preserve">Pursuant to an employment agreement dated March 09, 1998 between the Company and John </w:t>
      </w:r>
      <w:proofErr w:type="spellStart"/>
      <w:r w:rsidRPr="00384028">
        <w:rPr>
          <w:sz w:val="18"/>
          <w:szCs w:val="18"/>
        </w:rPr>
        <w:t>Teuber</w:t>
      </w:r>
      <w:proofErr w:type="spellEnd"/>
      <w:r w:rsidRPr="00384028">
        <w:rPr>
          <w:sz w:val="18"/>
          <w:szCs w:val="18"/>
        </w:rPr>
        <w:t xml:space="preserve"> ("Employment Agreement"), on September 04, 1998 the Company terminated John </w:t>
      </w:r>
      <w:proofErr w:type="spellStart"/>
      <w:r w:rsidRPr="00384028">
        <w:rPr>
          <w:sz w:val="18"/>
          <w:szCs w:val="18"/>
        </w:rPr>
        <w:t>Teuber</w:t>
      </w:r>
      <w:proofErr w:type="spellEnd"/>
      <w:r w:rsidRPr="00384028">
        <w:rPr>
          <w:sz w:val="18"/>
          <w:szCs w:val="18"/>
        </w:rPr>
        <w:t xml:space="preserve"> for cause without relinquishing any of its rights or remedies. </w:t>
      </w:r>
    </w:p>
    <w:p w:rsidR="00D27E48" w:rsidRPr="00384028" w:rsidRDefault="00D27E48">
      <w:pPr>
        <w:pStyle w:val="NormalWeb"/>
        <w:rPr>
          <w:sz w:val="18"/>
          <w:szCs w:val="18"/>
        </w:rPr>
      </w:pPr>
      <w:r w:rsidRPr="00384028">
        <w:rPr>
          <w:sz w:val="18"/>
          <w:szCs w:val="18"/>
        </w:rPr>
        <w:t xml:space="preserve">Pursuant to the Note, the Purchase Agreement, and the Security Agreement between the Company and ("IMA"), the Company on September 04, 1998 exercised its right of "Set Off" of the Note, as defined therein due to IMA's breach of numerous representations, warranties and covenants contained in the Note and certain ancillary documents. The Company further reserved any and all rights and remedies available to it under the Note, Purchase Agreement and Security Agreement. </w:t>
      </w:r>
    </w:p>
    <w:p w:rsidR="00D27E48" w:rsidRPr="00384028" w:rsidRDefault="00D27E48">
      <w:pPr>
        <w:pStyle w:val="NormalWeb"/>
        <w:rPr>
          <w:sz w:val="18"/>
          <w:szCs w:val="18"/>
        </w:rPr>
      </w:pPr>
      <w:r w:rsidRPr="00384028">
        <w:rPr>
          <w:sz w:val="18"/>
          <w:szCs w:val="18"/>
        </w:rPr>
        <w:t>The Company entered into a two year employment agreement ("NAG Agreement" as contained in Exhibit I of the registrants SEC Form 10-K for the period ending June 30, 1998) with Nancy Gaylord on March 13, 1998. On September 18, 1998, Nancy Gaylord terminated her employment with the Company. The NAG Agreement had no provision for this termination. The Company entered into a lease agreement as contained in Exhibit I of the registrants SEC Form 10-QSB for the period ending December 31, 1998 with America-United Enterprises Inc. on October 01, 1998 and took possession of 4,700 sf. of premises on November 06</w:t>
      </w:r>
      <w:proofErr w:type="gramStart"/>
      <w:r w:rsidRPr="00384028">
        <w:rPr>
          <w:sz w:val="18"/>
          <w:szCs w:val="18"/>
        </w:rPr>
        <w:t>,1998</w:t>
      </w:r>
      <w:proofErr w:type="gramEnd"/>
      <w:r w:rsidRPr="00384028">
        <w:rPr>
          <w:sz w:val="18"/>
          <w:szCs w:val="18"/>
        </w:rPr>
        <w:t xml:space="preserve"> in Santa Clarita for its CA location. Currently, this is the only California location of the Company. </w:t>
      </w:r>
    </w:p>
    <w:p w:rsidR="00D27E48" w:rsidRPr="00384028" w:rsidRDefault="00D27E48">
      <w:pPr>
        <w:pStyle w:val="NormalWeb"/>
        <w:rPr>
          <w:sz w:val="18"/>
          <w:szCs w:val="18"/>
        </w:rPr>
      </w:pPr>
      <w:r w:rsidRPr="00384028">
        <w:rPr>
          <w:sz w:val="18"/>
          <w:szCs w:val="18"/>
        </w:rPr>
        <w:t xml:space="preserve">On December 9, 1998 the company delivered to IMA, "Notification to Indemnifying Party and Demand for Indemnification for $2,251,266." Pursuant to the Note, the Purchase Agreement, the Security Agreement, and the Employment Agreement (collectively the "Agreements"), the Company demanded that IMA pay $2,251,266 or defend the Company against the Liabilities (as defined therein) due to, among other things, IMA's breach, representations, warranties, and violation of the Agreements. </w:t>
      </w:r>
    </w:p>
    <w:p w:rsidR="00D27E48" w:rsidRPr="00384028" w:rsidRDefault="00D27E48">
      <w:pPr>
        <w:pStyle w:val="NormalWeb"/>
        <w:rPr>
          <w:sz w:val="18"/>
          <w:szCs w:val="18"/>
        </w:rPr>
      </w:pPr>
      <w:r w:rsidRPr="00384028">
        <w:rPr>
          <w:sz w:val="18"/>
          <w:szCs w:val="18"/>
        </w:rPr>
        <w:t xml:space="preserve">On January 29, 1999, pursuant to the Purchase Agreement of 1/28/99, Advanced Oxygen Technologies, Inc. ("AOXY") purchased 1,670,000 shares of convertible preferred stock of Advanced Oxygen Technologies, Inc. ("STOCK") and a $550,000 promissory note issued by Advanced Oxygen Technologies, Inc. ("Note") from Integrated Marketing Agency, Inc. ("IMA"). The terms of the Purchase Agreement were: AOXY paid $15,000 to IMA, assumed a Citicorp Computer Equipment Lease, #010-0031648-001 from IMA, delivered to IMA certain tangible business property (as listed in Exhibit A of the Purchase Agreement), executed a one year $5,000 promissory note with IMA, and delivered to IMA a Request For Dismissal of case #PS003684 (restraining order) filed in Los Angeles county superior court. IMA sold, transferred, and delivered to AOXY the Stock and the Note. IMA sold, transferred, assigned and delivered the Note and the Stock to AOXY, executed documents with Citicorp Leasing, Inc. to effectuate an express assumption by AOXY of the obligation under lease #010-0031648-001 in the amount of $44,811.26, executed a UCC2 filing releasing UCC-1 filing #9807560696 filed by IMA on March 13, 1998, and delivered such documents as required. In addition, both IMA and AOXY provided mutual liability releases for the other. </w:t>
      </w:r>
    </w:p>
    <w:p w:rsidR="00D27E48" w:rsidRPr="00384028" w:rsidRDefault="00D27E48">
      <w:pPr>
        <w:pStyle w:val="NormalWeb"/>
        <w:rPr>
          <w:sz w:val="18"/>
          <w:szCs w:val="18"/>
        </w:rPr>
      </w:pPr>
      <w:r w:rsidRPr="00384028">
        <w:rPr>
          <w:sz w:val="18"/>
          <w:szCs w:val="18"/>
        </w:rPr>
        <w:t xml:space="preserve">On April 18, 2000, notice was given that the Board of Directors and persons owning 64.7%, or 19,180,500 shares of common stock of Advanced Oxygen Technologies, Inc. have elected to adopt the following proposals: 1. To amend and restate the Company's Restated Articles of Incorporation to increase the Company's authorized Common Shares from 30,000,000 to 90,000,000 shares, 2. The Board of Directors has approved an amendment to the Company s Certificate of Incorporation to change the name of the Company to AOXY, Inc. The Company s current name was adopted in 1985 when the Company was focused on applications of its technology which it has since disposed of or otherwise abandoned. The Board of Directors believes it would be more appropriate for the Company to utilize a </w:t>
      </w:r>
    </w:p>
    <w:p w:rsidR="00D27E48" w:rsidRPr="00384028" w:rsidRDefault="00D27E48">
      <w:pPr>
        <w:pStyle w:val="NormalWeb"/>
        <w:rPr>
          <w:sz w:val="18"/>
          <w:szCs w:val="18"/>
        </w:rPr>
      </w:pPr>
      <w:proofErr w:type="gramStart"/>
      <w:r w:rsidRPr="00384028">
        <w:rPr>
          <w:sz w:val="18"/>
          <w:szCs w:val="18"/>
        </w:rPr>
        <w:t>corporate</w:t>
      </w:r>
      <w:proofErr w:type="gramEnd"/>
      <w:r w:rsidRPr="00384028">
        <w:rPr>
          <w:sz w:val="18"/>
          <w:szCs w:val="18"/>
        </w:rPr>
        <w:t xml:space="preserve"> name which more accurately describes the current focus of the Company or is not misleading as to the Company s operations. The above amendments to the Certificate of Incorporation will be filed with the Secretary of State of the State of Delaware, and the Name Change will become effective as of 5:00 p.m. Eastern Time, on the date of such filing.</w:t>
      </w:r>
    </w:p>
    <w:p w:rsidR="00D27E48" w:rsidRPr="00384028" w:rsidRDefault="00D27E48">
      <w:pPr>
        <w:pStyle w:val="NormalWeb"/>
        <w:rPr>
          <w:sz w:val="18"/>
          <w:szCs w:val="18"/>
        </w:rPr>
      </w:pPr>
      <w:r w:rsidRPr="00384028">
        <w:rPr>
          <w:sz w:val="18"/>
          <w:szCs w:val="18"/>
        </w:rPr>
        <w:t>On December 31, 2000, AOXY entered into an agreement with Eastern Star, ltd, and Baldwin Construction Co (the "Purchasers") whereby</w:t>
      </w:r>
      <w:proofErr w:type="gramStart"/>
      <w:r w:rsidRPr="00384028">
        <w:rPr>
          <w:sz w:val="18"/>
          <w:szCs w:val="18"/>
        </w:rPr>
        <w:t>  the</w:t>
      </w:r>
      <w:proofErr w:type="gramEnd"/>
      <w:r w:rsidRPr="00384028">
        <w:rPr>
          <w:sz w:val="18"/>
          <w:szCs w:val="18"/>
        </w:rPr>
        <w:t xml:space="preserve"> Purchasers will buy three million shares of capital stock of AOXY for one hundred and twenty five thousand dollars pursuant to a purchase agreement ("Purchase Agreement"). The Company has concluded the issuance and delivery of the shares pursuant to the Purchase Agreement. In addition, the Company received a request from Ann </w:t>
      </w:r>
      <w:proofErr w:type="spellStart"/>
      <w:r w:rsidRPr="00384028">
        <w:rPr>
          <w:sz w:val="18"/>
          <w:szCs w:val="18"/>
        </w:rPr>
        <w:t>Sejeroe</w:t>
      </w:r>
      <w:proofErr w:type="spellEnd"/>
      <w:r w:rsidRPr="00384028">
        <w:rPr>
          <w:sz w:val="18"/>
          <w:szCs w:val="18"/>
        </w:rPr>
        <w:t xml:space="preserve"> for a conversion of her 1 Preferred Share number P 0002 issued April 16, 1998, and in accordance with the restrictions, terms and conditions, as evidenced on the reverse side of the share certificate, the Company issued 333,333 shares bearing a restrictive legend.</w:t>
      </w:r>
    </w:p>
    <w:p w:rsidR="00D27E48" w:rsidRPr="00384028" w:rsidRDefault="007E7BD4">
      <w:pPr>
        <w:pStyle w:val="NormalWeb"/>
        <w:rPr>
          <w:sz w:val="18"/>
          <w:szCs w:val="18"/>
        </w:rPr>
      </w:pPr>
      <w:hyperlink w:anchor="toc" w:history="1">
        <w:r w:rsidR="00D27E48" w:rsidRPr="00384028">
          <w:rPr>
            <w:rStyle w:val="Hyperlink"/>
            <w:b/>
            <w:bCs/>
            <w:sz w:val="18"/>
            <w:szCs w:val="18"/>
          </w:rPr>
          <w:t>Return to Table of Contents</w:t>
        </w:r>
      </w:hyperlink>
    </w:p>
    <w:p w:rsidR="00384028" w:rsidRDefault="007E7BD4">
      <w:pPr>
        <w:rPr>
          <w:rFonts w:eastAsia="Times New Roman"/>
          <w:sz w:val="18"/>
          <w:szCs w:val="18"/>
        </w:rPr>
      </w:pPr>
      <w:r w:rsidRPr="007E7BD4">
        <w:rPr>
          <w:rFonts w:eastAsia="Times New Roman"/>
          <w:sz w:val="18"/>
          <w:szCs w:val="18"/>
        </w:rPr>
        <w:pict>
          <v:rect id="_x0000_i1055" style="width:0;height:3pt" o:hralign="center" o:hrstd="t" o:hrnoshade="t" o:hr="t" fillcolor="black" stroked="f"/>
        </w:pict>
      </w:r>
    </w:p>
    <w:p w:rsidR="00384028" w:rsidRDefault="00384028">
      <w:pPr>
        <w:rPr>
          <w:rFonts w:eastAsia="Times New Roman"/>
          <w:sz w:val="18"/>
          <w:szCs w:val="18"/>
        </w:rPr>
      </w:pPr>
      <w:r>
        <w:rPr>
          <w:rFonts w:eastAsia="Times New Roman"/>
          <w:sz w:val="18"/>
          <w:szCs w:val="18"/>
        </w:rPr>
        <w:br w:type="page"/>
      </w:r>
    </w:p>
    <w:p w:rsidR="00D27E48" w:rsidRPr="00384028" w:rsidRDefault="00D27E48">
      <w:pPr>
        <w:pStyle w:val="NormalWeb"/>
        <w:rPr>
          <w:sz w:val="18"/>
          <w:szCs w:val="18"/>
        </w:rPr>
      </w:pPr>
      <w:r w:rsidRPr="00384028">
        <w:rPr>
          <w:sz w:val="18"/>
          <w:szCs w:val="18"/>
        </w:rPr>
        <w:t>The Company had a location in Santa Clarita, CA for operations. In 2000 the Company had abandoned this facility and equipment and maintained no staff other than the sole officer of the Company. Currently, the sole officer of the Company allows the Company to maintain its books, records and operations at its office.</w:t>
      </w:r>
    </w:p>
    <w:p w:rsidR="00D27E48" w:rsidRPr="00384028" w:rsidRDefault="00D27E48">
      <w:pPr>
        <w:pStyle w:val="NormalWeb"/>
        <w:rPr>
          <w:sz w:val="18"/>
          <w:szCs w:val="18"/>
        </w:rPr>
      </w:pPr>
      <w:r w:rsidRPr="00384028">
        <w:rPr>
          <w:sz w:val="18"/>
          <w:szCs w:val="18"/>
        </w:rPr>
        <w:t xml:space="preserve">On February 14, 2002 the Company gave notice of the change of the Company's location, and location of books and records from Advanced Oxygen Technologies, Inc. 26883 </w:t>
      </w:r>
      <w:proofErr w:type="spellStart"/>
      <w:r w:rsidRPr="00384028">
        <w:rPr>
          <w:sz w:val="18"/>
          <w:szCs w:val="18"/>
        </w:rPr>
        <w:t>Ruether</w:t>
      </w:r>
      <w:proofErr w:type="spellEnd"/>
      <w:r w:rsidRPr="00384028">
        <w:rPr>
          <w:sz w:val="18"/>
          <w:szCs w:val="18"/>
        </w:rPr>
        <w:t xml:space="preserve"> Avenue, Santa Clarita, CA, 91351 ("CA Location") to Advanced Oxygen Technologies, Inc. c/o Crossfield, Inc. 133 W 13th Street, Suite #5, New York, NY 10011, Telephone (212)-727-7085, Fax (208)-439-5488. This location is collocated with a related business of the president, Robert E. Wolfe.</w:t>
      </w:r>
    </w:p>
    <w:p w:rsidR="00D27E48" w:rsidRPr="00384028" w:rsidRDefault="00D27E48">
      <w:pPr>
        <w:pStyle w:val="NormalWeb"/>
        <w:spacing w:after="240" w:afterAutospacing="0"/>
        <w:rPr>
          <w:sz w:val="18"/>
          <w:szCs w:val="18"/>
        </w:rPr>
      </w:pPr>
      <w:r w:rsidRPr="00384028">
        <w:rPr>
          <w:sz w:val="18"/>
          <w:szCs w:val="18"/>
        </w:rPr>
        <w:t xml:space="preserve">The Company maintained a database ("Database") of business contacts that have participated in conference events. The Database was obtained through acquisition and the Company's activities of marketing events and producing CD-ROMS for clients. AOXY had a database management contract with Dun and Bradstreet, ("DB") and Walter Karl, Inc., a division of </w:t>
      </w:r>
      <w:proofErr w:type="spellStart"/>
      <w:r w:rsidRPr="00384028">
        <w:rPr>
          <w:sz w:val="18"/>
          <w:szCs w:val="18"/>
        </w:rPr>
        <w:t>InfoUSA</w:t>
      </w:r>
      <w:proofErr w:type="spellEnd"/>
      <w:r w:rsidRPr="00384028">
        <w:rPr>
          <w:sz w:val="18"/>
          <w:szCs w:val="18"/>
        </w:rPr>
        <w:t>, Inc. ("WK") whereby, Walter Karl, Inc. will broker the Company's Database. Walter Karl's function was to market and rent the data contained in the Database. This was available in one of two formats: on a one time basis, or a 'database' basis whereby the customer will commit to a minimum number of contact names. The majority of the customers using the Database through WK were direct business to business marketers. WK received a fee for each sale. During the year ending June 30, 2002 Walter Karl was the Company s only source of revenue. During this period, Walter Karl was the Company s only customer. At the same time AOXY had an agreement with Dun and Bradstreet whereby DB would update, correct, append, and offer deletions to the Database. DB would evaluate the Database each time, and had the option to purchase contacts on a case by case as they saw fit, in which case AOXY would receive a fee. Correspondingly, should AOXY, rent, sell or otherwise profit from registered DB information, AOXY would pay a fee to DB.</w:t>
      </w:r>
    </w:p>
    <w:p w:rsidR="00D27E48" w:rsidRPr="00384028" w:rsidRDefault="00D27E48">
      <w:pPr>
        <w:pStyle w:val="NormalWeb"/>
        <w:rPr>
          <w:sz w:val="18"/>
          <w:szCs w:val="18"/>
        </w:rPr>
      </w:pPr>
      <w:r w:rsidRPr="00384028">
        <w:rPr>
          <w:sz w:val="18"/>
          <w:szCs w:val="18"/>
        </w:rPr>
        <w:t xml:space="preserve">At a special meeting of the Board of Directors, AOXY removed Joseph N. Noll as a director due to his inability to perform his duties as a director. AOXY appointed Kurt </w:t>
      </w:r>
      <w:proofErr w:type="spellStart"/>
      <w:r w:rsidRPr="00384028">
        <w:rPr>
          <w:sz w:val="18"/>
          <w:szCs w:val="18"/>
        </w:rPr>
        <w:t>Sondergaard</w:t>
      </w:r>
      <w:proofErr w:type="spellEnd"/>
      <w:r w:rsidRPr="00384028">
        <w:rPr>
          <w:sz w:val="18"/>
          <w:szCs w:val="18"/>
        </w:rPr>
        <w:t xml:space="preserve"> and Lawrence </w:t>
      </w:r>
      <w:proofErr w:type="spellStart"/>
      <w:r w:rsidRPr="00384028">
        <w:rPr>
          <w:sz w:val="18"/>
          <w:szCs w:val="18"/>
        </w:rPr>
        <w:t>Donofrio</w:t>
      </w:r>
      <w:proofErr w:type="spellEnd"/>
      <w:r w:rsidRPr="00384028">
        <w:rPr>
          <w:sz w:val="18"/>
          <w:szCs w:val="18"/>
        </w:rPr>
        <w:t xml:space="preserve"> to the board of directors to replace Joseph N. </w:t>
      </w:r>
      <w:proofErr w:type="gramStart"/>
      <w:r w:rsidRPr="00384028">
        <w:rPr>
          <w:sz w:val="18"/>
          <w:szCs w:val="18"/>
        </w:rPr>
        <w:t>Noll .</w:t>
      </w:r>
      <w:proofErr w:type="gramEnd"/>
      <w:r w:rsidRPr="00384028">
        <w:rPr>
          <w:sz w:val="18"/>
          <w:szCs w:val="18"/>
        </w:rPr>
        <w:t xml:space="preserve"> Kurt </w:t>
      </w:r>
      <w:proofErr w:type="spellStart"/>
      <w:r w:rsidRPr="00384028">
        <w:rPr>
          <w:sz w:val="18"/>
          <w:szCs w:val="18"/>
        </w:rPr>
        <w:t>Sondergaard</w:t>
      </w:r>
      <w:proofErr w:type="spellEnd"/>
      <w:r w:rsidRPr="00384028">
        <w:rPr>
          <w:sz w:val="18"/>
          <w:szCs w:val="18"/>
        </w:rPr>
        <w:t xml:space="preserve"> founder and major shareholder of the company, Mr. </w:t>
      </w:r>
      <w:proofErr w:type="spellStart"/>
      <w:r w:rsidRPr="00384028">
        <w:rPr>
          <w:sz w:val="18"/>
          <w:szCs w:val="18"/>
        </w:rPr>
        <w:t>Sondergaard</w:t>
      </w:r>
      <w:proofErr w:type="spellEnd"/>
      <w:r w:rsidRPr="00384028">
        <w:rPr>
          <w:sz w:val="18"/>
          <w:szCs w:val="18"/>
        </w:rPr>
        <w:t xml:space="preserve"> was educated in the Danish Navy as an electronic engineer. He has worked for 10 years in the electronic security industry, specifically in the IT sector. During this period, Kurt has developed as a business entrepreneur, building and selling an IT business. Lawrence </w:t>
      </w:r>
      <w:proofErr w:type="spellStart"/>
      <w:r w:rsidRPr="00384028">
        <w:rPr>
          <w:sz w:val="18"/>
          <w:szCs w:val="18"/>
        </w:rPr>
        <w:t>Donofrio</w:t>
      </w:r>
      <w:proofErr w:type="spellEnd"/>
      <w:r w:rsidRPr="00384028">
        <w:rPr>
          <w:sz w:val="18"/>
          <w:szCs w:val="18"/>
        </w:rPr>
        <w:t xml:space="preserve"> graduated from Hamilton College with a BA in English studies. He then worked at Citibank for three years as a financial analyst, and five years as a private financial consultant. He then took a position with Bankers Trust for two years and since 1982 has been a private consultant in the financial industry.</w:t>
      </w:r>
    </w:p>
    <w:p w:rsidR="00D27E48" w:rsidRPr="00384028" w:rsidRDefault="00D27E48">
      <w:pPr>
        <w:pStyle w:val="NormalWeb"/>
        <w:rPr>
          <w:sz w:val="18"/>
          <w:szCs w:val="18"/>
        </w:rPr>
      </w:pPr>
      <w:r w:rsidRPr="00384028">
        <w:rPr>
          <w:sz w:val="18"/>
          <w:szCs w:val="18"/>
        </w:rPr>
        <w:t xml:space="preserve">Pursuant to a stock acquisition on March 05, 2003 Advanced Oxygen Technologies, Inc. (AOXY or the Buyer) purchased 100% of the issued and outstanding stock of IP Services, </w:t>
      </w:r>
      <w:proofErr w:type="spellStart"/>
      <w:r w:rsidRPr="00384028">
        <w:rPr>
          <w:sz w:val="18"/>
          <w:szCs w:val="18"/>
        </w:rPr>
        <w:t>ApS</w:t>
      </w:r>
      <w:proofErr w:type="spellEnd"/>
      <w:r w:rsidRPr="00384028">
        <w:rPr>
          <w:sz w:val="18"/>
          <w:szCs w:val="18"/>
        </w:rPr>
        <w:t xml:space="preserve"> (IP or the Company) from all of its owners (the Shareholders) for value of five hundred thousand dollars (Purchase Price). AOXY issued fourteen million shares of common stock and one share of preferred convertible stock to the Shareholders for payment and consideration of the Purchase Price. Concurrently, pursuant to an Employment Agreement on March 05, 2003 AOXY entered into an agreement with Kurd </w:t>
      </w:r>
      <w:proofErr w:type="spellStart"/>
      <w:r w:rsidRPr="00384028">
        <w:rPr>
          <w:sz w:val="18"/>
          <w:szCs w:val="18"/>
        </w:rPr>
        <w:t>Sondergaard</w:t>
      </w:r>
      <w:proofErr w:type="spellEnd"/>
      <w:r w:rsidRPr="00384028">
        <w:rPr>
          <w:sz w:val="18"/>
          <w:szCs w:val="18"/>
        </w:rPr>
        <w:t xml:space="preserve"> (Employee). The Employee will be employed by AOXY for four years and will perform duties of president of IP, and AOXY and the Shareholders entered into a covenant of non competition agreement whereby the Shareholders agreed not to compete with IP for a period of five years.</w:t>
      </w:r>
    </w:p>
    <w:p w:rsidR="00D27E48" w:rsidRPr="00384028" w:rsidRDefault="00D27E48">
      <w:pPr>
        <w:pStyle w:val="NormalWeb"/>
        <w:spacing w:after="240" w:afterAutospacing="0"/>
        <w:rPr>
          <w:sz w:val="18"/>
          <w:szCs w:val="18"/>
        </w:rPr>
      </w:pPr>
      <w:r w:rsidRPr="00384028">
        <w:rPr>
          <w:sz w:val="18"/>
          <w:szCs w:val="18"/>
        </w:rPr>
        <w:t xml:space="preserve">Pursuant to a stock acquisition agreement, on February 3, 2006 Advanced Oxygen Technologies, Inc. ("AOXY") purchased 100.00% of the stock of Anton Nielsen </w:t>
      </w:r>
      <w:proofErr w:type="spellStart"/>
      <w:r w:rsidRPr="00384028">
        <w:rPr>
          <w:sz w:val="18"/>
          <w:szCs w:val="18"/>
        </w:rPr>
        <w:t>Vojens</w:t>
      </w:r>
      <w:proofErr w:type="spellEnd"/>
      <w:r w:rsidRPr="00384028">
        <w:rPr>
          <w:sz w:val="18"/>
          <w:szCs w:val="18"/>
        </w:rPr>
        <w:t xml:space="preserve"> </w:t>
      </w:r>
      <w:proofErr w:type="spellStart"/>
      <w:r w:rsidRPr="00384028">
        <w:rPr>
          <w:sz w:val="18"/>
          <w:szCs w:val="18"/>
        </w:rPr>
        <w:t>ApS</w:t>
      </w:r>
      <w:proofErr w:type="spellEnd"/>
      <w:r w:rsidRPr="00384028">
        <w:rPr>
          <w:sz w:val="18"/>
          <w:szCs w:val="18"/>
        </w:rPr>
        <w:t xml:space="preserve"> ("ANV"), a Danish company from </w:t>
      </w:r>
      <w:proofErr w:type="spellStart"/>
      <w:r w:rsidRPr="00384028">
        <w:rPr>
          <w:sz w:val="18"/>
          <w:szCs w:val="18"/>
        </w:rPr>
        <w:t>Borkwood</w:t>
      </w:r>
      <w:proofErr w:type="spellEnd"/>
      <w:r w:rsidRPr="00384028">
        <w:rPr>
          <w:sz w:val="18"/>
          <w:szCs w:val="18"/>
        </w:rPr>
        <w:t xml:space="preserve"> Development Ltd. (a previous shareholder of AOXY) for Six Hundred and Fifty Thousand US Dollars. ANV owns commercial real estate and produces rental income.</w:t>
      </w:r>
    </w:p>
    <w:p w:rsidR="00D27E48" w:rsidRPr="00384028" w:rsidRDefault="00D27E48">
      <w:pPr>
        <w:pStyle w:val="NormalWeb"/>
        <w:rPr>
          <w:sz w:val="18"/>
          <w:szCs w:val="18"/>
        </w:rPr>
      </w:pPr>
      <w:r w:rsidRPr="00384028">
        <w:rPr>
          <w:sz w:val="18"/>
          <w:szCs w:val="18"/>
        </w:rPr>
        <w:t xml:space="preserve">On August 1, 2006, the Company was notified by </w:t>
      </w:r>
      <w:proofErr w:type="spellStart"/>
      <w:r w:rsidRPr="00384028">
        <w:rPr>
          <w:sz w:val="18"/>
          <w:szCs w:val="18"/>
        </w:rPr>
        <w:t>Bernstien</w:t>
      </w:r>
      <w:proofErr w:type="spellEnd"/>
      <w:r w:rsidRPr="00384028">
        <w:rPr>
          <w:sz w:val="18"/>
          <w:szCs w:val="18"/>
        </w:rPr>
        <w:t xml:space="preserve"> &amp; </w:t>
      </w:r>
      <w:proofErr w:type="spellStart"/>
      <w:r w:rsidRPr="00384028">
        <w:rPr>
          <w:sz w:val="18"/>
          <w:szCs w:val="18"/>
        </w:rPr>
        <w:t>Pinchuk</w:t>
      </w:r>
      <w:proofErr w:type="spellEnd"/>
      <w:r w:rsidRPr="00384028">
        <w:rPr>
          <w:sz w:val="18"/>
          <w:szCs w:val="18"/>
        </w:rPr>
        <w:t xml:space="preserve"> LLP that they had resigned as the Company's independent auditors. On September 12, 2006 the Company engaged </w:t>
      </w:r>
      <w:proofErr w:type="spellStart"/>
      <w:r w:rsidRPr="00384028">
        <w:rPr>
          <w:sz w:val="18"/>
          <w:szCs w:val="18"/>
        </w:rPr>
        <w:t>Horwath</w:t>
      </w:r>
      <w:proofErr w:type="spellEnd"/>
      <w:r w:rsidRPr="00384028">
        <w:rPr>
          <w:sz w:val="18"/>
          <w:szCs w:val="18"/>
        </w:rPr>
        <w:t xml:space="preserve"> </w:t>
      </w:r>
      <w:proofErr w:type="spellStart"/>
      <w:r w:rsidRPr="00384028">
        <w:rPr>
          <w:sz w:val="18"/>
          <w:szCs w:val="18"/>
        </w:rPr>
        <w:t>Revisorenrne</w:t>
      </w:r>
      <w:proofErr w:type="spellEnd"/>
      <w:r w:rsidRPr="00384028">
        <w:rPr>
          <w:sz w:val="18"/>
          <w:szCs w:val="18"/>
        </w:rPr>
        <w:t xml:space="preserve">, AS </w:t>
      </w:r>
      <w:proofErr w:type="spellStart"/>
      <w:r w:rsidRPr="00384028">
        <w:rPr>
          <w:sz w:val="18"/>
          <w:szCs w:val="18"/>
        </w:rPr>
        <w:t>Strandvejen</w:t>
      </w:r>
      <w:proofErr w:type="spellEnd"/>
      <w:r w:rsidRPr="00384028">
        <w:rPr>
          <w:sz w:val="18"/>
          <w:szCs w:val="18"/>
        </w:rPr>
        <w:t xml:space="preserve"> 58, </w:t>
      </w:r>
      <w:proofErr w:type="spellStart"/>
      <w:r w:rsidRPr="00384028">
        <w:rPr>
          <w:sz w:val="18"/>
          <w:szCs w:val="18"/>
        </w:rPr>
        <w:t>Hellerup</w:t>
      </w:r>
      <w:proofErr w:type="spellEnd"/>
      <w:r w:rsidRPr="00384028">
        <w:rPr>
          <w:sz w:val="18"/>
          <w:szCs w:val="18"/>
        </w:rPr>
        <w:t>, Denmark as its certified independent accounting firm/outside auditor.</w:t>
      </w:r>
    </w:p>
    <w:p w:rsidR="00D27E48" w:rsidRPr="00384028" w:rsidRDefault="00D27E48">
      <w:pPr>
        <w:pStyle w:val="NormalWeb"/>
        <w:rPr>
          <w:sz w:val="18"/>
          <w:szCs w:val="18"/>
        </w:rPr>
      </w:pPr>
      <w:r w:rsidRPr="00384028">
        <w:rPr>
          <w:sz w:val="18"/>
          <w:szCs w:val="18"/>
        </w:rPr>
        <w:t xml:space="preserve">On September 1, 2006 the Company sold its minority position of 20% of Mobile Group Inc. to KBA Holding </w:t>
      </w:r>
      <w:proofErr w:type="spellStart"/>
      <w:r w:rsidRPr="00384028">
        <w:rPr>
          <w:sz w:val="18"/>
          <w:szCs w:val="18"/>
        </w:rPr>
        <w:t>ApS</w:t>
      </w:r>
      <w:proofErr w:type="spellEnd"/>
      <w:r w:rsidRPr="00384028">
        <w:rPr>
          <w:sz w:val="18"/>
          <w:szCs w:val="18"/>
        </w:rPr>
        <w:t xml:space="preserve"> for one dollar.</w:t>
      </w:r>
    </w:p>
    <w:p w:rsidR="00D27E48" w:rsidRPr="00384028" w:rsidRDefault="00D27E48">
      <w:pPr>
        <w:pStyle w:val="NormalWeb"/>
        <w:rPr>
          <w:sz w:val="18"/>
          <w:szCs w:val="18"/>
        </w:rPr>
      </w:pPr>
      <w:r w:rsidRPr="00384028">
        <w:rPr>
          <w:sz w:val="18"/>
          <w:szCs w:val="18"/>
        </w:rPr>
        <w:t>On January 17 2007, the Company's location, and location of books and records has changed from Advanced Oxygen Technologies, Inc. C/O Crossfield Inc. 133 West 13th St. Suite #5 New York, NY 10011 ("Old Location") to Advanced Oxygen Technologies, Inc. c/o Crossfield, Inc. 100 Maiden Lane, Suite 2003, New York, NY 10038, Telephone (212)-727-7085, Fax (208)-439-5488. This location is collocated with a related business of the president, Robert E. Wolfe.</w:t>
      </w:r>
    </w:p>
    <w:p w:rsidR="00D27E48" w:rsidRPr="00384028" w:rsidRDefault="007E7BD4">
      <w:pPr>
        <w:pStyle w:val="NormalWeb"/>
        <w:rPr>
          <w:sz w:val="18"/>
          <w:szCs w:val="18"/>
        </w:rPr>
      </w:pPr>
      <w:hyperlink w:anchor="toc" w:history="1">
        <w:r w:rsidR="00D27E48" w:rsidRPr="00384028">
          <w:rPr>
            <w:rStyle w:val="Hyperlink"/>
            <w:b/>
            <w:bCs/>
            <w:sz w:val="18"/>
            <w:szCs w:val="18"/>
          </w:rPr>
          <w:t>Return to Table of Contents</w:t>
        </w:r>
      </w:hyperlink>
    </w:p>
    <w:p w:rsidR="00384028" w:rsidRDefault="007E7BD4">
      <w:pPr>
        <w:rPr>
          <w:rFonts w:eastAsia="Times New Roman"/>
          <w:sz w:val="18"/>
          <w:szCs w:val="18"/>
        </w:rPr>
      </w:pPr>
      <w:r w:rsidRPr="007E7BD4">
        <w:rPr>
          <w:rFonts w:eastAsia="Times New Roman"/>
          <w:sz w:val="18"/>
          <w:szCs w:val="18"/>
        </w:rPr>
        <w:pict>
          <v:rect id="_x0000_i1056" style="width:0;height:3pt" o:hralign="center" o:hrstd="t" o:hrnoshade="t" o:hr="t" fillcolor="black" stroked="f"/>
        </w:pict>
      </w:r>
    </w:p>
    <w:p w:rsidR="00384028" w:rsidRDefault="00384028">
      <w:pPr>
        <w:rPr>
          <w:rFonts w:eastAsia="Times New Roman"/>
          <w:sz w:val="18"/>
          <w:szCs w:val="18"/>
        </w:rPr>
      </w:pPr>
      <w:r>
        <w:rPr>
          <w:rFonts w:eastAsia="Times New Roman"/>
          <w:sz w:val="18"/>
          <w:szCs w:val="18"/>
        </w:rPr>
        <w:br w:type="page"/>
      </w:r>
    </w:p>
    <w:p w:rsidR="00D27E48" w:rsidRPr="00384028" w:rsidRDefault="00D27E48">
      <w:pPr>
        <w:pStyle w:val="NormalWeb"/>
        <w:rPr>
          <w:sz w:val="18"/>
          <w:szCs w:val="18"/>
        </w:rPr>
      </w:pPr>
      <w:r w:rsidRPr="00384028">
        <w:rPr>
          <w:sz w:val="18"/>
          <w:szCs w:val="18"/>
        </w:rPr>
        <w:t>On March 5 2009, the Company's location, and location of books and records has changed from Advanced Oxygen Technologies, Inc. C/O 100 Maiden Lane, Suite 2003 New York, NY 10038 ("Old Location") to Advanced Oxygen Technologies, Inc. c/o Crossfield, Inc. 653 VT Route 12A, PO Box 189, Randolph VT 05060, Telephone (212)-727-7085, Fax (802)-332-6100. This location is collocated with a related business of the president, Robert E. Wolfe.</w:t>
      </w:r>
    </w:p>
    <w:p w:rsidR="00D27E48" w:rsidRDefault="00D27E48">
      <w:pPr>
        <w:pStyle w:val="NormalWeb"/>
      </w:pPr>
      <w:proofErr w:type="gramStart"/>
      <w:r>
        <w:rPr>
          <w:b/>
          <w:bCs/>
          <w:sz w:val="20"/>
          <w:szCs w:val="20"/>
        </w:rPr>
        <w:t>ITEM 3.</w:t>
      </w:r>
      <w:proofErr w:type="gramEnd"/>
      <w:r>
        <w:rPr>
          <w:b/>
          <w:bCs/>
          <w:sz w:val="20"/>
          <w:szCs w:val="20"/>
        </w:rPr>
        <w:t xml:space="preserve"> Quantitative and Qualitative Disclosures </w:t>
      </w:r>
      <w:proofErr w:type="gramStart"/>
      <w:r>
        <w:rPr>
          <w:b/>
          <w:bCs/>
          <w:sz w:val="20"/>
          <w:szCs w:val="20"/>
        </w:rPr>
        <w:t>About</w:t>
      </w:r>
      <w:proofErr w:type="gramEnd"/>
      <w:r>
        <w:rPr>
          <w:b/>
          <w:bCs/>
          <w:sz w:val="20"/>
          <w:szCs w:val="20"/>
        </w:rPr>
        <w:t xml:space="preserve"> Market Risk:</w:t>
      </w:r>
    </w:p>
    <w:p w:rsidR="00D27E48" w:rsidRPr="00384028" w:rsidRDefault="00D27E48">
      <w:pPr>
        <w:pStyle w:val="NormalWeb"/>
        <w:rPr>
          <w:sz w:val="18"/>
          <w:szCs w:val="18"/>
        </w:rPr>
      </w:pPr>
      <w:r w:rsidRPr="00384028">
        <w:rPr>
          <w:sz w:val="18"/>
          <w:szCs w:val="18"/>
        </w:rPr>
        <w:t>Smaller reporting companies are not required to provide the information required by this Item.</w:t>
      </w:r>
    </w:p>
    <w:p w:rsidR="00D27E48" w:rsidRDefault="00D27E48">
      <w:pPr>
        <w:pStyle w:val="NormalWeb"/>
        <w:spacing w:after="240" w:afterAutospacing="0"/>
      </w:pPr>
      <w:proofErr w:type="gramStart"/>
      <w:r>
        <w:rPr>
          <w:b/>
          <w:bCs/>
          <w:sz w:val="20"/>
          <w:szCs w:val="20"/>
        </w:rPr>
        <w:t>ITEM 4.</w:t>
      </w:r>
      <w:proofErr w:type="gramEnd"/>
      <w:r>
        <w:rPr>
          <w:b/>
          <w:bCs/>
          <w:sz w:val="20"/>
          <w:szCs w:val="20"/>
        </w:rPr>
        <w:t xml:space="preserve"> CONTROLS AND PROCEDURES</w:t>
      </w:r>
    </w:p>
    <w:p w:rsidR="00D27E48" w:rsidRPr="00384028" w:rsidRDefault="00D27E48">
      <w:pPr>
        <w:pStyle w:val="NormalWeb"/>
        <w:rPr>
          <w:sz w:val="18"/>
          <w:szCs w:val="18"/>
        </w:rPr>
      </w:pPr>
      <w:r w:rsidRPr="00384028">
        <w:rPr>
          <w:sz w:val="18"/>
          <w:szCs w:val="18"/>
        </w:rPr>
        <w:t>EVALUATION OF DISCLOSURE CONTROLS AND PROCEDURES</w:t>
      </w:r>
    </w:p>
    <w:p w:rsidR="00D27E48" w:rsidRPr="00384028" w:rsidRDefault="00D27E48">
      <w:pPr>
        <w:pStyle w:val="NormalWeb"/>
        <w:rPr>
          <w:sz w:val="18"/>
          <w:szCs w:val="18"/>
        </w:rPr>
      </w:pPr>
      <w:r w:rsidRPr="00384028">
        <w:rPr>
          <w:sz w:val="18"/>
          <w:szCs w:val="18"/>
        </w:rPr>
        <w:t>We conducted an evaluation under the supervision and with the participation of our management, including our Chief Executive Officer who is also our Chief Financial Officer, of the effectiveness of the design and operation of our disclosure controls and procedures. The term “disclosure controls and procedures,” as defined in Rules 13a-15(e) and 15d-15(e) under the Securities and Exchange Act of 1934, as amended (“Exchange Act”), means controls and other procedures of a company that are designed to ensure that information required to be disclosed by the company in the reports it files or submits under the Exchange Act is recorded, processed, summarized and reported, within the time periods specified in the Securities and Exchange Commission’s rules and forms. Disclosure controls and procedures also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or persons performing similar functions, as appropriate, to allow timely decisions regarding required disclosure. Based on this evaluation, our Chief Executive Officer and Acting Chief Financial Officer concluded as of December 31, 2011 that our disclosure controls and procedures were effective at ensuring that the material information required to be disclosed in the Exchange Act reports is recorded, processed, summarized and reported as required in applicable SEC rules and forms.</w:t>
      </w:r>
    </w:p>
    <w:p w:rsidR="00D27E48" w:rsidRPr="00384028" w:rsidRDefault="00D27E48">
      <w:pPr>
        <w:pStyle w:val="NormalWeb"/>
        <w:rPr>
          <w:sz w:val="18"/>
          <w:szCs w:val="18"/>
        </w:rPr>
      </w:pPr>
      <w:r w:rsidRPr="00384028">
        <w:rPr>
          <w:sz w:val="18"/>
          <w:szCs w:val="18"/>
        </w:rPr>
        <w:t>During the quarter ended December 31, 2011, there were no changes in our internal control over financial reporting identified in connection with management’s evaluation of the effectiveness of our internal control over the financial reporting that have materially affected, or are reasonably likely to materially affect, our internal control over financial reporting as defined in Rules 13a-15(f) and 15d-15(f) under the Exchange Act.</w:t>
      </w:r>
    </w:p>
    <w:p w:rsidR="00D27E48" w:rsidRDefault="00D27E48">
      <w:pPr>
        <w:rPr>
          <w:rFonts w:eastAsia="Times New Roman"/>
        </w:rPr>
      </w:pPr>
      <w:r>
        <w:rPr>
          <w:rFonts w:eastAsia="Times New Roman"/>
          <w:b/>
          <w:bCs/>
          <w:sz w:val="20"/>
          <w:szCs w:val="20"/>
        </w:rPr>
        <w:t xml:space="preserve">PART II </w:t>
      </w:r>
    </w:p>
    <w:p w:rsidR="00D27E48" w:rsidRDefault="00D27E48">
      <w:pPr>
        <w:pStyle w:val="NormalWeb"/>
      </w:pPr>
      <w:r>
        <w:rPr>
          <w:b/>
          <w:bCs/>
          <w:sz w:val="20"/>
          <w:szCs w:val="20"/>
        </w:rPr>
        <w:t>ITEM 1: LEGAL PROCEEDINGS</w:t>
      </w:r>
    </w:p>
    <w:p w:rsidR="00D27E48" w:rsidRPr="00384028" w:rsidRDefault="00D27E48">
      <w:pPr>
        <w:pStyle w:val="NormalWeb"/>
        <w:rPr>
          <w:sz w:val="18"/>
          <w:szCs w:val="18"/>
        </w:rPr>
      </w:pPr>
      <w:r w:rsidRPr="00384028">
        <w:rPr>
          <w:sz w:val="18"/>
          <w:szCs w:val="18"/>
        </w:rPr>
        <w:t xml:space="preserve">On July, 8, 2011 the Company's wholly owned subsidiary, Anton Nielsen </w:t>
      </w:r>
      <w:proofErr w:type="spellStart"/>
      <w:r w:rsidRPr="00384028">
        <w:rPr>
          <w:sz w:val="18"/>
          <w:szCs w:val="18"/>
        </w:rPr>
        <w:t>Vojens</w:t>
      </w:r>
      <w:proofErr w:type="spellEnd"/>
      <w:r w:rsidRPr="00384028">
        <w:rPr>
          <w:sz w:val="18"/>
          <w:szCs w:val="18"/>
        </w:rPr>
        <w:t xml:space="preserve"> AS filed a suit against Evergreen World </w:t>
      </w:r>
      <w:proofErr w:type="spellStart"/>
      <w:r w:rsidRPr="00384028">
        <w:rPr>
          <w:sz w:val="18"/>
          <w:szCs w:val="18"/>
        </w:rPr>
        <w:t>ApS</w:t>
      </w:r>
      <w:proofErr w:type="spellEnd"/>
      <w:r w:rsidRPr="00384028">
        <w:rPr>
          <w:sz w:val="18"/>
          <w:szCs w:val="18"/>
        </w:rPr>
        <w:t xml:space="preserve">, </w:t>
      </w:r>
      <w:proofErr w:type="spellStart"/>
      <w:r w:rsidRPr="00384028">
        <w:rPr>
          <w:sz w:val="18"/>
          <w:szCs w:val="18"/>
        </w:rPr>
        <w:t>Jomfrumarken</w:t>
      </w:r>
      <w:proofErr w:type="spellEnd"/>
      <w:r w:rsidRPr="00384028">
        <w:rPr>
          <w:sz w:val="18"/>
          <w:szCs w:val="18"/>
        </w:rPr>
        <w:t xml:space="preserve"> 3, </w:t>
      </w:r>
      <w:proofErr w:type="gramStart"/>
      <w:r w:rsidRPr="00384028">
        <w:rPr>
          <w:sz w:val="18"/>
          <w:szCs w:val="18"/>
        </w:rPr>
        <w:t>5580</w:t>
      </w:r>
      <w:proofErr w:type="gramEnd"/>
      <w:r w:rsidRPr="00384028">
        <w:rPr>
          <w:sz w:val="18"/>
          <w:szCs w:val="18"/>
        </w:rPr>
        <w:t xml:space="preserve"> </w:t>
      </w:r>
      <w:proofErr w:type="spellStart"/>
      <w:r w:rsidRPr="00384028">
        <w:rPr>
          <w:sz w:val="18"/>
          <w:szCs w:val="18"/>
        </w:rPr>
        <w:t>Norre</w:t>
      </w:r>
      <w:proofErr w:type="spellEnd"/>
      <w:r w:rsidRPr="00384028">
        <w:rPr>
          <w:sz w:val="18"/>
          <w:szCs w:val="18"/>
        </w:rPr>
        <w:t xml:space="preserve"> </w:t>
      </w:r>
      <w:proofErr w:type="spellStart"/>
      <w:r w:rsidRPr="00384028">
        <w:rPr>
          <w:sz w:val="18"/>
          <w:szCs w:val="18"/>
        </w:rPr>
        <w:t>Aaby</w:t>
      </w:r>
      <w:proofErr w:type="spellEnd"/>
      <w:r w:rsidRPr="00384028">
        <w:rPr>
          <w:sz w:val="18"/>
          <w:szCs w:val="18"/>
        </w:rPr>
        <w:t>, Denmark in the ordinary course of business.</w:t>
      </w:r>
    </w:p>
    <w:p w:rsidR="00D27E48" w:rsidRDefault="00D27E48">
      <w:pPr>
        <w:pStyle w:val="NormalWeb"/>
      </w:pPr>
      <w:proofErr w:type="gramStart"/>
      <w:r>
        <w:rPr>
          <w:b/>
          <w:bCs/>
          <w:sz w:val="20"/>
          <w:szCs w:val="20"/>
        </w:rPr>
        <w:t>ITEM 2.</w:t>
      </w:r>
      <w:proofErr w:type="gramEnd"/>
      <w:r>
        <w:rPr>
          <w:b/>
          <w:bCs/>
          <w:sz w:val="20"/>
          <w:szCs w:val="20"/>
        </w:rPr>
        <w:t xml:space="preserve"> UNREGISTERED SALES OF EQUITY SECURITIES AND USE OF PROCEEDS</w:t>
      </w:r>
    </w:p>
    <w:p w:rsidR="00D27E48" w:rsidRDefault="00D27E48">
      <w:pPr>
        <w:pStyle w:val="NormalWeb"/>
      </w:pPr>
      <w:r>
        <w:rPr>
          <w:sz w:val="20"/>
          <w:szCs w:val="20"/>
        </w:rPr>
        <w:t>None</w:t>
      </w:r>
      <w:r>
        <w:rPr>
          <w:sz w:val="20"/>
          <w:szCs w:val="20"/>
        </w:rPr>
        <w:br/>
      </w:r>
      <w:r>
        <w:rPr>
          <w:sz w:val="20"/>
          <w:szCs w:val="20"/>
        </w:rPr>
        <w:br/>
      </w:r>
      <w:r>
        <w:rPr>
          <w:b/>
          <w:bCs/>
          <w:sz w:val="20"/>
          <w:szCs w:val="20"/>
        </w:rPr>
        <w:t>ITEM 3. DEFAULTS UPON SENIOR SECURITIES</w:t>
      </w:r>
    </w:p>
    <w:p w:rsidR="00D27E48" w:rsidRDefault="00D27E48">
      <w:pPr>
        <w:pStyle w:val="NormalWeb"/>
      </w:pPr>
      <w:r>
        <w:rPr>
          <w:sz w:val="20"/>
          <w:szCs w:val="20"/>
        </w:rPr>
        <w:t>None</w:t>
      </w:r>
    </w:p>
    <w:p w:rsidR="00D27E48" w:rsidRDefault="00D27E48">
      <w:pPr>
        <w:pStyle w:val="NormalWeb"/>
      </w:pPr>
      <w:proofErr w:type="gramStart"/>
      <w:r>
        <w:rPr>
          <w:b/>
          <w:bCs/>
          <w:sz w:val="20"/>
          <w:szCs w:val="20"/>
        </w:rPr>
        <w:t>ITEM 4.</w:t>
      </w:r>
      <w:proofErr w:type="gramEnd"/>
      <w:r>
        <w:rPr>
          <w:b/>
          <w:bCs/>
          <w:sz w:val="20"/>
          <w:szCs w:val="20"/>
        </w:rPr>
        <w:t xml:space="preserve"> SUBMISSION OF MATTERS TO A VOTE OF SECURITY HOLDERS</w:t>
      </w:r>
    </w:p>
    <w:p w:rsidR="00D27E48" w:rsidRDefault="00D27E48">
      <w:pPr>
        <w:pStyle w:val="NormalWeb"/>
      </w:pPr>
      <w:r>
        <w:rPr>
          <w:sz w:val="20"/>
          <w:szCs w:val="20"/>
        </w:rPr>
        <w:t>None</w:t>
      </w:r>
    </w:p>
    <w:p w:rsidR="00D27E48" w:rsidRDefault="00D27E48">
      <w:pPr>
        <w:pStyle w:val="NormalWeb"/>
      </w:pPr>
      <w:proofErr w:type="gramStart"/>
      <w:r>
        <w:rPr>
          <w:b/>
          <w:bCs/>
          <w:sz w:val="20"/>
          <w:szCs w:val="20"/>
        </w:rPr>
        <w:t>ITEM 5.</w:t>
      </w:r>
      <w:proofErr w:type="gramEnd"/>
      <w:r>
        <w:rPr>
          <w:b/>
          <w:bCs/>
          <w:sz w:val="20"/>
          <w:szCs w:val="20"/>
        </w:rPr>
        <w:t xml:space="preserve"> OTHER INFORMATION</w:t>
      </w:r>
    </w:p>
    <w:p w:rsidR="00D27E48" w:rsidRDefault="00D27E48">
      <w:pPr>
        <w:pStyle w:val="NormalWeb"/>
      </w:pPr>
      <w:r>
        <w:rPr>
          <w:sz w:val="20"/>
          <w:szCs w:val="20"/>
        </w:rPr>
        <w:t>None</w:t>
      </w:r>
    </w:p>
    <w:p w:rsidR="00D27E48" w:rsidRDefault="007E7BD4">
      <w:pPr>
        <w:pStyle w:val="NormalWeb"/>
      </w:pPr>
      <w:hyperlink w:anchor="toc" w:history="1">
        <w:r w:rsidR="00D27E48">
          <w:rPr>
            <w:rStyle w:val="Hyperlink"/>
            <w:b/>
            <w:bCs/>
            <w:sz w:val="20"/>
            <w:szCs w:val="20"/>
          </w:rPr>
          <w:t>Return to Table of Contents</w:t>
        </w:r>
      </w:hyperlink>
    </w:p>
    <w:p w:rsidR="00384028" w:rsidRDefault="007E7BD4">
      <w:pPr>
        <w:rPr>
          <w:rFonts w:eastAsia="Times New Roman"/>
        </w:rPr>
      </w:pPr>
      <w:r w:rsidRPr="007E7BD4">
        <w:rPr>
          <w:rFonts w:eastAsia="Times New Roman"/>
        </w:rPr>
        <w:pict>
          <v:rect id="_x0000_i1057" style="width:0;height:3pt" o:hralign="center" o:hrstd="t" o:hrnoshade="t" o:hr="t" fillcolor="black" stroked="f"/>
        </w:pict>
      </w:r>
    </w:p>
    <w:p w:rsidR="00384028" w:rsidRDefault="00384028">
      <w:pPr>
        <w:rPr>
          <w:rFonts w:eastAsia="Times New Roman"/>
        </w:rPr>
      </w:pPr>
      <w:r>
        <w:rPr>
          <w:rFonts w:eastAsia="Times New Roman"/>
        </w:rPr>
        <w:br w:type="page"/>
      </w:r>
    </w:p>
    <w:p w:rsidR="00D27E48" w:rsidRDefault="00D27E48">
      <w:pPr>
        <w:pStyle w:val="NormalWeb"/>
      </w:pPr>
      <w:r>
        <w:rPr>
          <w:b/>
          <w:bCs/>
          <w:sz w:val="20"/>
          <w:szCs w:val="20"/>
        </w:rPr>
        <w:t>ITEM 6: EXHIBITS AND REPORTS ON FORM 8-K</w:t>
      </w:r>
    </w:p>
    <w:p w:rsidR="00D27E48" w:rsidRDefault="00D27E48">
      <w:pPr>
        <w:pStyle w:val="NormalWeb"/>
      </w:pPr>
      <w:r>
        <w:rPr>
          <w:sz w:val="20"/>
          <w:szCs w:val="20"/>
        </w:rPr>
        <w:t>During the 3 month period ending December 31, 2011, the Company filed no reports on Form 8-K.</w:t>
      </w:r>
    </w:p>
    <w:p w:rsidR="00D27E48" w:rsidRDefault="00D27E48">
      <w:pPr>
        <w:pStyle w:val="NormalWeb"/>
      </w:pPr>
      <w:r>
        <w:rPr>
          <w:b/>
          <w:bCs/>
          <w:sz w:val="20"/>
          <w:szCs w:val="20"/>
        </w:rPr>
        <w:t>EXHIBIT 99.906CERT (A)</w:t>
      </w:r>
      <w:r>
        <w:rPr>
          <w:b/>
          <w:bCs/>
          <w:sz w:val="20"/>
          <w:szCs w:val="20"/>
        </w:rPr>
        <w:br/>
        <w:t>CERTIFICATION OF CHIEF EXECUTIVE OFFICER</w:t>
      </w:r>
      <w:r>
        <w:rPr>
          <w:b/>
          <w:bCs/>
          <w:sz w:val="20"/>
          <w:szCs w:val="20"/>
        </w:rPr>
        <w:br/>
        <w:t>PURSUANT TO 18 U.S.C. SECTION 1350, AS ADOPTED PURSUANT TO</w:t>
      </w:r>
      <w:r>
        <w:rPr>
          <w:b/>
          <w:bCs/>
          <w:sz w:val="20"/>
          <w:szCs w:val="20"/>
        </w:rPr>
        <w:br/>
        <w:t>SECTION 906 OF THE SARBANES-OXLEY ACT OF 2002</w:t>
      </w:r>
    </w:p>
    <w:p w:rsidR="00D27E48" w:rsidRDefault="00D27E48">
      <w:pPr>
        <w:pStyle w:val="NormalWeb"/>
      </w:pPr>
      <w:r>
        <w:rPr>
          <w:b/>
          <w:bCs/>
          <w:sz w:val="20"/>
          <w:szCs w:val="20"/>
        </w:rPr>
        <w:t>EXHIBIT 99.906CERT (B</w:t>
      </w:r>
      <w:proofErr w:type="gramStart"/>
      <w:r>
        <w:rPr>
          <w:b/>
          <w:bCs/>
          <w:sz w:val="20"/>
          <w:szCs w:val="20"/>
        </w:rPr>
        <w:t>)</w:t>
      </w:r>
      <w:proofErr w:type="gramEnd"/>
      <w:r>
        <w:rPr>
          <w:b/>
          <w:bCs/>
          <w:sz w:val="20"/>
          <w:szCs w:val="20"/>
        </w:rPr>
        <w:br/>
        <w:t>CERTIFICATION OF TREASURER</w:t>
      </w:r>
      <w:r>
        <w:rPr>
          <w:b/>
          <w:bCs/>
          <w:sz w:val="20"/>
          <w:szCs w:val="20"/>
        </w:rPr>
        <w:br/>
        <w:t>PURSUANT TO18 U.S.C. SECTION 1350, AS ADOPTED PURSUANT TO</w:t>
      </w:r>
      <w:r>
        <w:rPr>
          <w:b/>
          <w:bCs/>
          <w:sz w:val="20"/>
          <w:szCs w:val="20"/>
        </w:rPr>
        <w:br/>
        <w:t>SECTION 906 OF THE SARBANES-OXLEY ACT OF 2002</w:t>
      </w:r>
    </w:p>
    <w:p w:rsidR="00D27E48" w:rsidRDefault="00D27E48">
      <w:pPr>
        <w:pStyle w:val="NormalWeb"/>
      </w:pPr>
      <w:r>
        <w:rPr>
          <w:b/>
          <w:bCs/>
          <w:sz w:val="20"/>
          <w:szCs w:val="20"/>
        </w:rPr>
        <w:t>EXHIBIT 99.CERT (C</w:t>
      </w:r>
      <w:proofErr w:type="gramStart"/>
      <w:r>
        <w:rPr>
          <w:b/>
          <w:bCs/>
          <w:sz w:val="20"/>
          <w:szCs w:val="20"/>
        </w:rPr>
        <w:t>)</w:t>
      </w:r>
      <w:proofErr w:type="gramEnd"/>
      <w:r>
        <w:rPr>
          <w:b/>
          <w:bCs/>
          <w:sz w:val="20"/>
          <w:szCs w:val="20"/>
        </w:rPr>
        <w:br/>
        <w:t>CERTIFICATION PURSUANT TO</w:t>
      </w:r>
      <w:r>
        <w:rPr>
          <w:b/>
          <w:bCs/>
          <w:sz w:val="20"/>
          <w:szCs w:val="20"/>
        </w:rPr>
        <w:br/>
        <w:t>SECTION 302 OF THE SARBANES-OXLEY ACT OF 2002</w:t>
      </w:r>
    </w:p>
    <w:p w:rsidR="00D27E48" w:rsidRDefault="00D27E48">
      <w:pPr>
        <w:pStyle w:val="NormalWeb"/>
      </w:pPr>
      <w:r>
        <w:rPr>
          <w:b/>
          <w:bCs/>
          <w:sz w:val="20"/>
          <w:szCs w:val="20"/>
        </w:rPr>
        <w:t>EXHIBIT 99.CERT (D</w:t>
      </w:r>
      <w:proofErr w:type="gramStart"/>
      <w:r>
        <w:rPr>
          <w:b/>
          <w:bCs/>
          <w:sz w:val="20"/>
          <w:szCs w:val="20"/>
        </w:rPr>
        <w:t>)</w:t>
      </w:r>
      <w:proofErr w:type="gramEnd"/>
      <w:r>
        <w:rPr>
          <w:b/>
          <w:bCs/>
          <w:sz w:val="20"/>
          <w:szCs w:val="20"/>
        </w:rPr>
        <w:br/>
        <w:t>CERTIFICATION PURSUANT TO</w:t>
      </w:r>
      <w:r>
        <w:rPr>
          <w:b/>
          <w:bCs/>
          <w:sz w:val="20"/>
          <w:szCs w:val="20"/>
        </w:rPr>
        <w:br/>
        <w:t>SECTION 302 OF THE SARBANES-OXLEY ACT OF 2002</w:t>
      </w:r>
    </w:p>
    <w:p w:rsidR="00D27E48" w:rsidRDefault="00D27E48">
      <w:pPr>
        <w:pStyle w:val="NormalWeb"/>
      </w:pPr>
    </w:p>
    <w:p w:rsidR="00D27E48" w:rsidRDefault="00D27E48">
      <w:pPr>
        <w:pStyle w:val="NormalWeb"/>
      </w:pPr>
      <w:r>
        <w:rPr>
          <w:sz w:val="20"/>
          <w:szCs w:val="20"/>
        </w:rPr>
        <w:t xml:space="preserve">SIGNATURE </w:t>
      </w:r>
    </w:p>
    <w:p w:rsidR="00D27E48" w:rsidRDefault="00D27E48">
      <w:pPr>
        <w:pStyle w:val="NormalWeb"/>
      </w:pPr>
      <w:r>
        <w:rPr>
          <w:sz w:val="20"/>
          <w:szCs w:val="20"/>
        </w:rPr>
        <w:t xml:space="preserve">In accordance with the requirements of the Exchange Act, the Registrant has caused this report to be signed on its behalf by the undersigned, thereunto duly authorized. </w:t>
      </w:r>
    </w:p>
    <w:p w:rsidR="00D27E48" w:rsidRDefault="00D27E48">
      <w:pPr>
        <w:pStyle w:val="NormalWeb"/>
      </w:pPr>
      <w:r>
        <w:rPr>
          <w:sz w:val="20"/>
          <w:szCs w:val="20"/>
        </w:rPr>
        <w:t>Date: February 6, 2012</w:t>
      </w:r>
    </w:p>
    <w:p w:rsidR="00D27E48" w:rsidRDefault="00D27E48">
      <w:pPr>
        <w:pStyle w:val="NormalWeb"/>
      </w:pPr>
      <w:r>
        <w:rPr>
          <w:sz w:val="20"/>
          <w:szCs w:val="20"/>
        </w:rPr>
        <w:t> </w:t>
      </w:r>
    </w:p>
    <w:p w:rsidR="00D27E48" w:rsidRDefault="00D27E48">
      <w:pPr>
        <w:pStyle w:val="NormalWeb"/>
      </w:pPr>
      <w:r>
        <w:rPr>
          <w:sz w:val="20"/>
          <w:szCs w:val="20"/>
        </w:rPr>
        <w:t>/s/ Robert E. Wolfe /s/</w:t>
      </w:r>
      <w:r>
        <w:rPr>
          <w:sz w:val="20"/>
          <w:szCs w:val="20"/>
        </w:rPr>
        <w:br/>
        <w:t>------------------------------------------</w:t>
      </w:r>
      <w:r>
        <w:rPr>
          <w:sz w:val="20"/>
          <w:szCs w:val="20"/>
        </w:rPr>
        <w:br/>
        <w:t>Robert E. Wolfe, Chairman of the Board and</w:t>
      </w:r>
      <w:r>
        <w:rPr>
          <w:sz w:val="20"/>
          <w:szCs w:val="20"/>
        </w:rPr>
        <w:br/>
        <w:t>Chief Executive Officer and Principal</w:t>
      </w:r>
      <w:r>
        <w:rPr>
          <w:sz w:val="20"/>
          <w:szCs w:val="20"/>
        </w:rPr>
        <w:br/>
        <w:t xml:space="preserve">Financial Officer </w:t>
      </w:r>
    </w:p>
    <w:p w:rsidR="00D27E48" w:rsidRDefault="00D27E48">
      <w:pPr>
        <w:pStyle w:val="NormalWeb"/>
      </w:pPr>
      <w:r>
        <w:rPr>
          <w:sz w:val="20"/>
          <w:szCs w:val="20"/>
        </w:rPr>
        <w:t> </w:t>
      </w:r>
    </w:p>
    <w:sectPr w:rsidR="00D27E48" w:rsidSect="00DA513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isplayHorizontalDrawingGridEvery w:val="2"/>
  <w:noPunctuationKerning/>
  <w:characterSpacingControl w:val="doNotCompress"/>
  <w:compat/>
  <w:rsids>
    <w:rsidRoot w:val="00B33EA3"/>
    <w:rsid w:val="00384028"/>
    <w:rsid w:val="0047090F"/>
    <w:rsid w:val="005C3CD0"/>
    <w:rsid w:val="005D4DC3"/>
    <w:rsid w:val="007E7BD4"/>
    <w:rsid w:val="00876758"/>
    <w:rsid w:val="00945C3E"/>
    <w:rsid w:val="00B33EA3"/>
    <w:rsid w:val="00C601BE"/>
    <w:rsid w:val="00D27E48"/>
    <w:rsid w:val="00DA513A"/>
    <w:rsid w:val="00F044C8"/>
    <w:rsid w:val="00F443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758"/>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6758"/>
    <w:rPr>
      <w:color w:val="0000FF"/>
      <w:u w:val="single"/>
    </w:rPr>
  </w:style>
  <w:style w:type="character" w:styleId="FollowedHyperlink">
    <w:name w:val="FollowedHyperlink"/>
    <w:basedOn w:val="DefaultParagraphFont"/>
    <w:uiPriority w:val="99"/>
    <w:semiHidden/>
    <w:unhideWhenUsed/>
    <w:rsid w:val="00876758"/>
    <w:rPr>
      <w:color w:val="800080"/>
      <w:u w:val="single"/>
    </w:rPr>
  </w:style>
  <w:style w:type="paragraph" w:styleId="NormalWeb">
    <w:name w:val="Normal (Web)"/>
    <w:basedOn w:val="Normal"/>
    <w:uiPriority w:val="99"/>
    <w:unhideWhenUsed/>
    <w:rsid w:val="00876758"/>
    <w:pPr>
      <w:spacing w:before="100" w:beforeAutospacing="1" w:after="100" w:afterAutospacing="1"/>
    </w:pPr>
  </w:style>
  <w:style w:type="character" w:styleId="Strong">
    <w:name w:val="Strong"/>
    <w:basedOn w:val="DefaultParagraphFont"/>
    <w:uiPriority w:val="22"/>
    <w:qFormat/>
    <w:rsid w:val="00876758"/>
    <w:rPr>
      <w:b/>
      <w:bCs/>
    </w:rPr>
  </w:style>
</w:styles>
</file>

<file path=word/webSettings.xml><?xml version="1.0" encoding="utf-8"?>
<w:webSettings xmlns:r="http://schemas.openxmlformats.org/officeDocument/2006/relationships" xmlns:w="http://schemas.openxmlformats.org/wordprocessingml/2006/main">
  <w:divs>
    <w:div w:id="161048810">
      <w:marLeft w:val="0"/>
      <w:marRight w:val="0"/>
      <w:marTop w:val="0"/>
      <w:marBottom w:val="0"/>
      <w:divBdr>
        <w:top w:val="none" w:sz="0" w:space="0" w:color="auto"/>
        <w:left w:val="none" w:sz="0" w:space="0" w:color="auto"/>
        <w:bottom w:val="none" w:sz="0" w:space="0" w:color="auto"/>
        <w:right w:val="none" w:sz="0" w:space="0" w:color="auto"/>
      </w:divBdr>
    </w:div>
    <w:div w:id="1132095088">
      <w:marLeft w:val="0"/>
      <w:marRight w:val="0"/>
      <w:marTop w:val="0"/>
      <w:marBottom w:val="0"/>
      <w:divBdr>
        <w:top w:val="none" w:sz="0" w:space="0" w:color="auto"/>
        <w:left w:val="none" w:sz="0" w:space="0" w:color="auto"/>
        <w:bottom w:val="none" w:sz="0" w:space="0" w:color="auto"/>
        <w:right w:val="none" w:sz="0" w:space="0" w:color="auto"/>
      </w:divBdr>
    </w:div>
    <w:div w:id="2111854192">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9251</Words>
  <Characters>50515</Characters>
  <Application>Microsoft Office Word</Application>
  <DocSecurity>0</DocSecurity>
  <Lines>1530</Lines>
  <Paragraphs>905</Paragraphs>
  <ScaleCrop>false</ScaleCrop>
  <HeadingPairs>
    <vt:vector size="2" baseType="variant">
      <vt:variant>
        <vt:lpstr>Title</vt:lpstr>
      </vt:variant>
      <vt:variant>
        <vt:i4>1</vt:i4>
      </vt:variant>
    </vt:vector>
  </HeadingPairs>
  <TitlesOfParts>
    <vt:vector size="1" baseType="lpstr">
      <vt:lpstr>December 31, 2011 10Q</vt:lpstr>
    </vt:vector>
  </TitlesOfParts>
  <Company>Crossfield, Inc.</Company>
  <LinksUpToDate>false</LinksUpToDate>
  <CharactersWithSpaces>58861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31, 2011 10Q</dc:title>
  <dc:subject/>
  <dc:creator>Robert Wolfe</dc:creator>
  <cp:keywords/>
  <dc:description/>
  <cp:lastModifiedBy>Robert Wolfe</cp:lastModifiedBy>
  <cp:revision>2</cp:revision>
  <dcterms:created xsi:type="dcterms:W3CDTF">2012-02-08T15:43:00Z</dcterms:created>
  <dcterms:modified xsi:type="dcterms:W3CDTF">2012-02-08T15:43:00Z</dcterms:modified>
</cp:coreProperties>
</file>