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CF" w:rsidRDefault="00620510">
      <w:pPr>
        <w:divId w:val="583611988"/>
        <w:rPr>
          <w:rFonts w:eastAsia="Times New Roman"/>
        </w:rPr>
      </w:pPr>
      <w:r w:rsidRPr="00620510">
        <w:rPr>
          <w:rFonts w:eastAsia="Times New Roman"/>
        </w:rPr>
        <w:pict>
          <v:rect id="_x0000_i1025" style="width:0;height:3pt" o:hralign="center" o:hrstd="t" o:hrnoshade="t" o:hr="t" fillcolor="black" stroked="f"/>
        </w:pict>
      </w:r>
    </w:p>
    <w:p w:rsidR="00C25ECF" w:rsidRDefault="00620510">
      <w:pPr>
        <w:divId w:val="583611988"/>
        <w:rPr>
          <w:rFonts w:eastAsia="Times New Roman"/>
        </w:rPr>
      </w:pPr>
      <w:r w:rsidRPr="00620510">
        <w:rPr>
          <w:rFonts w:eastAsia="Times New Roman"/>
        </w:rPr>
        <w:pict>
          <v:rect id="_x0000_i1026" style="width:0;height:.75pt" o:hralign="center" o:hrstd="t" o:hrnoshade="t" o:hr="t" fillcolor="black" stroked="f"/>
        </w:pict>
      </w:r>
    </w:p>
    <w:p w:rsidR="00C25ECF" w:rsidRPr="001D5D0B" w:rsidRDefault="003A781F" w:rsidP="001D5D0B">
      <w:pPr>
        <w:jc w:val="center"/>
        <w:divId w:val="1408772100"/>
        <w:rPr>
          <w:rFonts w:eastAsia="Times New Roman"/>
        </w:rPr>
      </w:pPr>
      <w:r>
        <w:rPr>
          <w:b/>
          <w:bCs/>
          <w:sz w:val="28"/>
          <w:szCs w:val="28"/>
        </w:rPr>
        <w:t>UNITED STATES</w:t>
      </w:r>
    </w:p>
    <w:p w:rsidR="00C25ECF" w:rsidRDefault="003A781F">
      <w:pPr>
        <w:pStyle w:val="NormalWeb"/>
        <w:spacing w:before="0" w:beforeAutospacing="0" w:after="0" w:afterAutospacing="0" w:line="320" w:lineRule="atLeast"/>
        <w:jc w:val="center"/>
        <w:rPr>
          <w:sz w:val="28"/>
          <w:szCs w:val="28"/>
        </w:rPr>
      </w:pPr>
      <w:r>
        <w:rPr>
          <w:b/>
          <w:bCs/>
          <w:sz w:val="28"/>
          <w:szCs w:val="28"/>
        </w:rPr>
        <w:t>SECURITIES AND EXCHANGE COMMISSION</w:t>
      </w:r>
    </w:p>
    <w:p w:rsidR="00C25ECF" w:rsidRDefault="003A781F">
      <w:pPr>
        <w:pStyle w:val="NormalWeb"/>
        <w:spacing w:before="0" w:beforeAutospacing="0" w:after="0" w:afterAutospacing="0"/>
        <w:jc w:val="center"/>
      </w:pPr>
      <w:r>
        <w:rPr>
          <w:b/>
          <w:bCs/>
        </w:rPr>
        <w:t>Washington, D.C. 20549</w:t>
      </w:r>
    </w:p>
    <w:p w:rsidR="00C25ECF" w:rsidRDefault="00C25ECF">
      <w:pPr>
        <w:pStyle w:val="NormalWeb"/>
        <w:spacing w:before="0" w:beforeAutospacing="0" w:after="0" w:afterAutospacing="0"/>
        <w:jc w:val="center"/>
      </w:pPr>
    </w:p>
    <w:p w:rsidR="00C25ECF" w:rsidRDefault="003A781F">
      <w:pPr>
        <w:pStyle w:val="NormalWeb"/>
        <w:spacing w:before="0" w:beforeAutospacing="0" w:after="0" w:afterAutospacing="0"/>
        <w:jc w:val="center"/>
      </w:pPr>
      <w:r>
        <w:t>———————</w:t>
      </w:r>
    </w:p>
    <w:p w:rsidR="00C25ECF" w:rsidRDefault="003A781F">
      <w:pPr>
        <w:pStyle w:val="NormalWeb"/>
        <w:spacing w:before="0" w:beforeAutospacing="0" w:after="0" w:afterAutospacing="0" w:line="320" w:lineRule="atLeast"/>
        <w:jc w:val="center"/>
        <w:rPr>
          <w:sz w:val="28"/>
          <w:szCs w:val="28"/>
        </w:rPr>
      </w:pPr>
      <w:r>
        <w:rPr>
          <w:b/>
          <w:bCs/>
          <w:sz w:val="28"/>
          <w:szCs w:val="28"/>
        </w:rPr>
        <w:t>FORM 10-Q</w:t>
      </w:r>
    </w:p>
    <w:p w:rsidR="00C25ECF" w:rsidRDefault="003A781F">
      <w:pPr>
        <w:pStyle w:val="NormalWeb"/>
        <w:spacing w:before="0" w:beforeAutospacing="0" w:after="0" w:afterAutospacing="0"/>
        <w:jc w:val="center"/>
      </w:pPr>
      <w:r>
        <w:t>———————</w:t>
      </w:r>
    </w:p>
    <w:p w:rsidR="00C25ECF" w:rsidRDefault="003A781F">
      <w:pPr>
        <w:pStyle w:val="NormalWeb"/>
        <w:spacing w:before="0" w:beforeAutospacing="0" w:after="0" w:afterAutospacing="0"/>
        <w:jc w:val="center"/>
      </w:pPr>
      <w:r>
        <w:t>(Mark One)</w:t>
      </w:r>
    </w:p>
    <w:p w:rsidR="00C25ECF" w:rsidRDefault="00C25EC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285"/>
        <w:gridCol w:w="10515"/>
      </w:tblGrid>
      <w:tr w:rsidR="00C25ECF">
        <w:trPr>
          <w:tblCellSpacing w:w="0" w:type="dxa"/>
          <w:jc w:val="center"/>
        </w:trPr>
        <w:tc>
          <w:tcPr>
            <w:tcW w:w="285" w:type="dxa"/>
            <w:vAlign w:val="center"/>
            <w:hideMark/>
          </w:tcPr>
          <w:p w:rsidR="00C25ECF" w:rsidRDefault="00C25ECF">
            <w:pPr>
              <w:rPr>
                <w:rFonts w:eastAsia="Times New Roman"/>
                <w:sz w:val="1"/>
                <w:szCs w:val="2"/>
              </w:rPr>
            </w:pPr>
          </w:p>
        </w:tc>
        <w:tc>
          <w:tcPr>
            <w:tcW w:w="10500" w:type="dxa"/>
            <w:vAlign w:val="center"/>
            <w:hideMark/>
          </w:tcPr>
          <w:p w:rsidR="00C25ECF" w:rsidRDefault="00C25ECF">
            <w:pPr>
              <w:rPr>
                <w:rFonts w:eastAsia="Times New Roman"/>
                <w:sz w:val="1"/>
                <w:szCs w:val="2"/>
              </w:rPr>
            </w:pPr>
          </w:p>
        </w:tc>
      </w:tr>
      <w:tr w:rsidR="00C25ECF">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C25ECF" w:rsidRDefault="003A781F">
            <w:pPr>
              <w:pStyle w:val="NormalWeb"/>
              <w:spacing w:before="0" w:beforeAutospacing="0" w:after="0" w:afterAutospacing="0"/>
              <w:jc w:val="center"/>
              <w:rPr>
                <w:sz w:val="20"/>
                <w:szCs w:val="20"/>
              </w:rPr>
            </w:pPr>
            <w:r>
              <w:rPr>
                <w:b/>
                <w:bCs/>
                <w:sz w:val="20"/>
                <w:szCs w:val="20"/>
              </w:rPr>
              <w:t>X</w:t>
            </w:r>
          </w:p>
        </w:tc>
        <w:tc>
          <w:tcPr>
            <w:tcW w:w="10500" w:type="dxa"/>
            <w:hideMark/>
          </w:tcPr>
          <w:p w:rsidR="00C25ECF" w:rsidRDefault="003A781F">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C25ECF">
        <w:trPr>
          <w:tblCellSpacing w:w="0" w:type="dxa"/>
          <w:jc w:val="center"/>
        </w:trPr>
        <w:tc>
          <w:tcPr>
            <w:tcW w:w="285" w:type="dxa"/>
            <w:hideMark/>
          </w:tcPr>
          <w:p w:rsidR="00C25ECF" w:rsidRDefault="003A781F">
            <w:pPr>
              <w:pStyle w:val="NormalWeb"/>
              <w:rPr>
                <w:sz w:val="20"/>
                <w:szCs w:val="20"/>
              </w:rPr>
            </w:pPr>
            <w:r>
              <w:rPr>
                <w:sz w:val="20"/>
                <w:szCs w:val="20"/>
              </w:rPr>
              <w:t> </w:t>
            </w:r>
          </w:p>
        </w:tc>
        <w:tc>
          <w:tcPr>
            <w:tcW w:w="10500" w:type="dxa"/>
            <w:hideMark/>
          </w:tcPr>
          <w:p w:rsidR="00C25ECF" w:rsidRDefault="003A781F">
            <w:pPr>
              <w:pStyle w:val="NormalWeb"/>
              <w:spacing w:before="0" w:beforeAutospacing="0" w:after="0" w:afterAutospacing="0"/>
              <w:rPr>
                <w:sz w:val="20"/>
                <w:szCs w:val="20"/>
              </w:rPr>
            </w:pPr>
            <w:r>
              <w:rPr>
                <w:b/>
                <w:bCs/>
                <w:sz w:val="20"/>
                <w:szCs w:val="20"/>
              </w:rPr>
              <w:t> </w:t>
            </w:r>
          </w:p>
        </w:tc>
      </w:tr>
      <w:tr w:rsidR="00C25ECF">
        <w:trPr>
          <w:tblCellSpacing w:w="0" w:type="dxa"/>
          <w:jc w:val="center"/>
        </w:trPr>
        <w:tc>
          <w:tcPr>
            <w:tcW w:w="10800" w:type="dxa"/>
            <w:gridSpan w:val="2"/>
            <w:hideMark/>
          </w:tcPr>
          <w:p w:rsidR="00C25ECF" w:rsidRDefault="003A781F">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September 30, 2011</w:t>
            </w:r>
          </w:p>
        </w:tc>
      </w:tr>
      <w:tr w:rsidR="00C25ECF">
        <w:trPr>
          <w:tblCellSpacing w:w="0" w:type="dxa"/>
          <w:jc w:val="center"/>
        </w:trPr>
        <w:tc>
          <w:tcPr>
            <w:tcW w:w="10800" w:type="dxa"/>
            <w:gridSpan w:val="2"/>
            <w:hideMark/>
          </w:tcPr>
          <w:p w:rsidR="00C25ECF" w:rsidRDefault="003A781F">
            <w:pPr>
              <w:pStyle w:val="NormalWeb"/>
              <w:spacing w:before="0" w:beforeAutospacing="0" w:after="0" w:afterAutospacing="0"/>
              <w:jc w:val="center"/>
              <w:rPr>
                <w:sz w:val="20"/>
                <w:szCs w:val="20"/>
              </w:rPr>
            </w:pPr>
            <w:r>
              <w:rPr>
                <w:sz w:val="20"/>
                <w:szCs w:val="20"/>
              </w:rPr>
              <w:t>Or</w:t>
            </w:r>
          </w:p>
        </w:tc>
      </w:tr>
      <w:tr w:rsidR="00C25ECF">
        <w:trPr>
          <w:tblCellSpacing w:w="0" w:type="dxa"/>
          <w:jc w:val="center"/>
        </w:trPr>
        <w:tc>
          <w:tcPr>
            <w:tcW w:w="285" w:type="dxa"/>
            <w:hideMark/>
          </w:tcPr>
          <w:p w:rsidR="00C25ECF" w:rsidRDefault="003A781F">
            <w:pPr>
              <w:pStyle w:val="NormalWeb"/>
              <w:rPr>
                <w:sz w:val="20"/>
                <w:szCs w:val="20"/>
              </w:rPr>
            </w:pPr>
            <w:r>
              <w:rPr>
                <w:sz w:val="20"/>
                <w:szCs w:val="20"/>
              </w:rPr>
              <w:t> </w:t>
            </w:r>
          </w:p>
        </w:tc>
        <w:tc>
          <w:tcPr>
            <w:tcW w:w="10500" w:type="dxa"/>
            <w:hideMark/>
          </w:tcPr>
          <w:p w:rsidR="00C25ECF" w:rsidRDefault="003A781F">
            <w:pPr>
              <w:pStyle w:val="NormalWeb"/>
              <w:rPr>
                <w:sz w:val="20"/>
                <w:szCs w:val="20"/>
              </w:rPr>
            </w:pPr>
            <w:r>
              <w:rPr>
                <w:sz w:val="20"/>
                <w:szCs w:val="20"/>
              </w:rPr>
              <w:t> </w:t>
            </w:r>
          </w:p>
        </w:tc>
      </w:tr>
      <w:tr w:rsidR="00C25ECF">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C25ECF" w:rsidRDefault="00C25ECF">
            <w:pPr>
              <w:rPr>
                <w:rFonts w:eastAsia="Times New Roman"/>
                <w:sz w:val="20"/>
                <w:szCs w:val="20"/>
              </w:rPr>
            </w:pPr>
          </w:p>
        </w:tc>
        <w:tc>
          <w:tcPr>
            <w:tcW w:w="10500" w:type="dxa"/>
            <w:hideMark/>
          </w:tcPr>
          <w:p w:rsidR="00C25ECF" w:rsidRDefault="003A781F">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C25ECF">
        <w:trPr>
          <w:tblCellSpacing w:w="0" w:type="dxa"/>
          <w:jc w:val="center"/>
        </w:trPr>
        <w:tc>
          <w:tcPr>
            <w:tcW w:w="285" w:type="dxa"/>
            <w:hideMark/>
          </w:tcPr>
          <w:p w:rsidR="00C25ECF" w:rsidRDefault="003A781F">
            <w:pPr>
              <w:pStyle w:val="NormalWeb"/>
              <w:rPr>
                <w:sz w:val="20"/>
                <w:szCs w:val="20"/>
              </w:rPr>
            </w:pPr>
            <w:r>
              <w:rPr>
                <w:sz w:val="20"/>
                <w:szCs w:val="20"/>
              </w:rPr>
              <w:t> </w:t>
            </w:r>
          </w:p>
        </w:tc>
        <w:tc>
          <w:tcPr>
            <w:tcW w:w="10500" w:type="dxa"/>
            <w:hideMark/>
          </w:tcPr>
          <w:p w:rsidR="00C25ECF" w:rsidRDefault="00C25ECF">
            <w:pPr>
              <w:rPr>
                <w:rFonts w:eastAsia="Times New Roman"/>
                <w:sz w:val="20"/>
                <w:szCs w:val="20"/>
              </w:rPr>
            </w:pPr>
          </w:p>
        </w:tc>
      </w:tr>
      <w:tr w:rsidR="00C25ECF">
        <w:trPr>
          <w:tblCellSpacing w:w="0" w:type="dxa"/>
          <w:jc w:val="center"/>
        </w:trPr>
        <w:tc>
          <w:tcPr>
            <w:tcW w:w="10800" w:type="dxa"/>
            <w:gridSpan w:val="2"/>
            <w:hideMark/>
          </w:tcPr>
          <w:p w:rsidR="00C25ECF" w:rsidRDefault="003A781F">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C25ECF" w:rsidRDefault="00C25ECF">
      <w:pPr>
        <w:pStyle w:val="NormalWeb"/>
        <w:spacing w:before="0" w:beforeAutospacing="0" w:after="0" w:afterAutospacing="0"/>
        <w:jc w:val="center"/>
      </w:pPr>
    </w:p>
    <w:p w:rsidR="00C25ECF" w:rsidRDefault="003A781F">
      <w:pPr>
        <w:pStyle w:val="NormalWeb"/>
        <w:spacing w:before="0" w:beforeAutospacing="0" w:after="0" w:afterAutospacing="0"/>
        <w:jc w:val="center"/>
      </w:pPr>
      <w:r>
        <w:t>———————</w:t>
      </w:r>
    </w:p>
    <w:p w:rsidR="00C25ECF" w:rsidRDefault="003A781F">
      <w:pPr>
        <w:jc w:val="center"/>
        <w:rPr>
          <w:rFonts w:eastAsia="Times New Roman"/>
        </w:rPr>
      </w:pPr>
      <w:r>
        <w:rPr>
          <w:rStyle w:val="Strong"/>
          <w:rFonts w:eastAsia="Times New Roman"/>
          <w:sz w:val="32"/>
          <w:szCs w:val="32"/>
        </w:rPr>
        <w:t>ADVANCED OXYGEN TECHNOLOGIES, INC.</w:t>
      </w:r>
    </w:p>
    <w:p w:rsidR="00C25ECF" w:rsidRDefault="003A781F">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C25ECF" w:rsidRDefault="003A781F">
      <w:pPr>
        <w:pStyle w:val="NormalWeb"/>
        <w:spacing w:before="0" w:beforeAutospacing="0" w:after="0" w:afterAutospacing="0"/>
        <w:jc w:val="center"/>
      </w:pPr>
      <w:r>
        <w:t>———————</w:t>
      </w:r>
    </w:p>
    <w:p w:rsidR="00C25ECF" w:rsidRDefault="00C25EC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C25ECF">
        <w:trPr>
          <w:tblCellSpacing w:w="0" w:type="dxa"/>
          <w:jc w:val="center"/>
        </w:trPr>
        <w:tc>
          <w:tcPr>
            <w:tcW w:w="3600" w:type="dxa"/>
            <w:vAlign w:val="center"/>
            <w:hideMark/>
          </w:tcPr>
          <w:p w:rsidR="00C25ECF" w:rsidRDefault="00C25ECF">
            <w:pPr>
              <w:rPr>
                <w:rFonts w:eastAsia="Times New Roman"/>
                <w:sz w:val="1"/>
                <w:szCs w:val="2"/>
              </w:rPr>
            </w:pPr>
          </w:p>
        </w:tc>
        <w:tc>
          <w:tcPr>
            <w:tcW w:w="3600" w:type="dxa"/>
            <w:vAlign w:val="center"/>
            <w:hideMark/>
          </w:tcPr>
          <w:p w:rsidR="00C25ECF" w:rsidRDefault="00C25ECF">
            <w:pPr>
              <w:rPr>
                <w:rFonts w:eastAsia="Times New Roman"/>
                <w:sz w:val="1"/>
                <w:szCs w:val="2"/>
              </w:rPr>
            </w:pPr>
          </w:p>
        </w:tc>
        <w:tc>
          <w:tcPr>
            <w:tcW w:w="3585" w:type="dxa"/>
            <w:vAlign w:val="center"/>
            <w:hideMark/>
          </w:tcPr>
          <w:p w:rsidR="00C25ECF" w:rsidRDefault="00C25ECF">
            <w:pPr>
              <w:rPr>
                <w:rFonts w:eastAsia="Times New Roman"/>
                <w:sz w:val="1"/>
                <w:szCs w:val="2"/>
              </w:rPr>
            </w:pPr>
          </w:p>
        </w:tc>
      </w:tr>
      <w:tr w:rsidR="00C25ECF">
        <w:trPr>
          <w:tblCellSpacing w:w="0" w:type="dxa"/>
          <w:jc w:val="center"/>
        </w:trPr>
        <w:tc>
          <w:tcPr>
            <w:tcW w:w="3600" w:type="dxa"/>
            <w:hideMark/>
          </w:tcPr>
          <w:p w:rsidR="00C25ECF" w:rsidRDefault="003A781F">
            <w:pPr>
              <w:pStyle w:val="NormalWeb"/>
              <w:spacing w:before="0" w:beforeAutospacing="0" w:after="0" w:afterAutospacing="0"/>
              <w:jc w:val="center"/>
              <w:rPr>
                <w:sz w:val="20"/>
                <w:szCs w:val="20"/>
              </w:rPr>
            </w:pPr>
            <w:r>
              <w:rPr>
                <w:b/>
                <w:bCs/>
                <w:sz w:val="20"/>
                <w:szCs w:val="20"/>
              </w:rPr>
              <w:t>Delaware</w:t>
            </w:r>
          </w:p>
        </w:tc>
        <w:tc>
          <w:tcPr>
            <w:tcW w:w="3600" w:type="dxa"/>
            <w:hideMark/>
          </w:tcPr>
          <w:p w:rsidR="00C25ECF" w:rsidRDefault="003A781F">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C25ECF" w:rsidRDefault="003A781F">
            <w:pPr>
              <w:pStyle w:val="NormalWeb"/>
              <w:spacing w:before="0" w:beforeAutospacing="0" w:after="0" w:afterAutospacing="0"/>
              <w:jc w:val="center"/>
              <w:rPr>
                <w:sz w:val="20"/>
                <w:szCs w:val="20"/>
              </w:rPr>
            </w:pPr>
            <w:r>
              <w:rPr>
                <w:rStyle w:val="Strong"/>
                <w:sz w:val="20"/>
                <w:szCs w:val="20"/>
              </w:rPr>
              <w:t>91-1143622</w:t>
            </w:r>
          </w:p>
        </w:tc>
      </w:tr>
      <w:tr w:rsidR="00C25ECF">
        <w:trPr>
          <w:tblCellSpacing w:w="0" w:type="dxa"/>
          <w:jc w:val="center"/>
        </w:trPr>
        <w:tc>
          <w:tcPr>
            <w:tcW w:w="3600" w:type="dxa"/>
            <w:hideMark/>
          </w:tcPr>
          <w:p w:rsidR="00C25ECF" w:rsidRDefault="003A781F">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C25ECF" w:rsidRDefault="003A781F">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C25ECF" w:rsidRDefault="003A781F">
            <w:pPr>
              <w:pStyle w:val="NormalWeb"/>
              <w:spacing w:before="0" w:beforeAutospacing="0" w:after="0" w:afterAutospacing="0" w:line="200" w:lineRule="atLeast"/>
              <w:jc w:val="center"/>
              <w:rPr>
                <w:sz w:val="16"/>
                <w:szCs w:val="16"/>
              </w:rPr>
            </w:pPr>
            <w:r>
              <w:rPr>
                <w:sz w:val="16"/>
                <w:szCs w:val="16"/>
              </w:rPr>
              <w:t>(I.R.S. Employer</w:t>
            </w:r>
          </w:p>
        </w:tc>
      </w:tr>
      <w:tr w:rsidR="00C25ECF">
        <w:trPr>
          <w:tblCellSpacing w:w="0" w:type="dxa"/>
          <w:jc w:val="center"/>
        </w:trPr>
        <w:tc>
          <w:tcPr>
            <w:tcW w:w="3600" w:type="dxa"/>
            <w:hideMark/>
          </w:tcPr>
          <w:p w:rsidR="00C25ECF" w:rsidRDefault="003A781F">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C25ECF" w:rsidRDefault="003A781F">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C25ECF" w:rsidRDefault="003A781F">
            <w:pPr>
              <w:pStyle w:val="NormalWeb"/>
              <w:spacing w:before="0" w:beforeAutospacing="0" w:after="0" w:afterAutospacing="0" w:line="200" w:lineRule="atLeast"/>
              <w:jc w:val="center"/>
              <w:rPr>
                <w:sz w:val="16"/>
                <w:szCs w:val="16"/>
              </w:rPr>
            </w:pPr>
            <w:r>
              <w:rPr>
                <w:sz w:val="16"/>
                <w:szCs w:val="16"/>
              </w:rPr>
              <w:t>Identification No.)</w:t>
            </w:r>
          </w:p>
        </w:tc>
      </w:tr>
    </w:tbl>
    <w:p w:rsidR="00C25ECF" w:rsidRDefault="00C25ECF">
      <w:pPr>
        <w:pStyle w:val="NormalWeb"/>
        <w:spacing w:before="0" w:beforeAutospacing="0" w:after="0" w:afterAutospacing="0"/>
        <w:jc w:val="center"/>
      </w:pPr>
    </w:p>
    <w:p w:rsidR="00C25ECF" w:rsidRDefault="003A781F">
      <w:pPr>
        <w:pStyle w:val="NormalWeb"/>
        <w:spacing w:before="0" w:beforeAutospacing="0" w:after="0" w:afterAutospacing="0"/>
        <w:jc w:val="center"/>
      </w:pPr>
      <w:r>
        <w:rPr>
          <w:b/>
          <w:bCs/>
        </w:rPr>
        <w:t xml:space="preserve">C/O Crossfield, Inc., 653 VT Route 12A, PO Box 189, Randolph, VT 05060 </w:t>
      </w:r>
    </w:p>
    <w:p w:rsidR="00C25ECF" w:rsidRDefault="003A781F">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C25ECF" w:rsidRDefault="00C25ECF">
      <w:pPr>
        <w:pStyle w:val="NormalWeb"/>
        <w:spacing w:before="0" w:beforeAutospacing="0" w:after="0" w:afterAutospacing="0"/>
        <w:jc w:val="center"/>
      </w:pPr>
    </w:p>
    <w:p w:rsidR="00C25ECF" w:rsidRDefault="003A781F">
      <w:pPr>
        <w:pStyle w:val="NormalWeb"/>
        <w:spacing w:before="0" w:beforeAutospacing="0" w:after="0" w:afterAutospacing="0"/>
        <w:jc w:val="center"/>
      </w:pPr>
      <w:r>
        <w:rPr>
          <w:b/>
          <w:bCs/>
        </w:rPr>
        <w:t>(212) 727-7085</w:t>
      </w:r>
    </w:p>
    <w:p w:rsidR="00C25ECF" w:rsidRDefault="003A781F">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C25ECF" w:rsidRDefault="003A781F">
      <w:pPr>
        <w:pStyle w:val="NormalWeb"/>
        <w:spacing w:before="90" w:beforeAutospacing="0" w:after="0" w:afterAutospacing="0"/>
        <w:jc w:val="center"/>
      </w:pPr>
      <w:r>
        <w:rPr>
          <w:b/>
          <w:bCs/>
        </w:rPr>
        <w:t>C/O Crossfield, Inc., 100 Maiden Lane, Suite 2003, New York, NY 10038</w:t>
      </w:r>
    </w:p>
    <w:p w:rsidR="00C25ECF" w:rsidRDefault="003A781F">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C25ECF" w:rsidRDefault="003A781F">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C25ECF">
        <w:trPr>
          <w:tblCellSpacing w:w="0" w:type="dxa"/>
          <w:jc w:val="center"/>
        </w:trPr>
        <w:tc>
          <w:tcPr>
            <w:tcW w:w="3255" w:type="dxa"/>
            <w:vAlign w:val="center"/>
            <w:hideMark/>
          </w:tcPr>
          <w:p w:rsidR="00C25ECF" w:rsidRDefault="00C25ECF">
            <w:pPr>
              <w:rPr>
                <w:rFonts w:eastAsia="Times New Roman"/>
                <w:sz w:val="1"/>
                <w:szCs w:val="2"/>
              </w:rPr>
            </w:pPr>
          </w:p>
        </w:tc>
        <w:tc>
          <w:tcPr>
            <w:tcW w:w="255" w:type="dxa"/>
            <w:vAlign w:val="center"/>
            <w:hideMark/>
          </w:tcPr>
          <w:p w:rsidR="00C25ECF" w:rsidRDefault="00C25ECF">
            <w:pPr>
              <w:rPr>
                <w:rFonts w:eastAsia="Times New Roman"/>
                <w:sz w:val="1"/>
                <w:szCs w:val="2"/>
              </w:rPr>
            </w:pPr>
          </w:p>
        </w:tc>
        <w:tc>
          <w:tcPr>
            <w:tcW w:w="2940" w:type="dxa"/>
            <w:vAlign w:val="center"/>
            <w:hideMark/>
          </w:tcPr>
          <w:p w:rsidR="00C25ECF" w:rsidRDefault="00C25ECF">
            <w:pPr>
              <w:rPr>
                <w:rFonts w:eastAsia="Times New Roman"/>
                <w:sz w:val="1"/>
                <w:szCs w:val="2"/>
              </w:rPr>
            </w:pPr>
          </w:p>
        </w:tc>
        <w:tc>
          <w:tcPr>
            <w:tcW w:w="270" w:type="dxa"/>
            <w:vAlign w:val="center"/>
            <w:hideMark/>
          </w:tcPr>
          <w:p w:rsidR="00C25ECF" w:rsidRDefault="00C25ECF">
            <w:pPr>
              <w:rPr>
                <w:rFonts w:eastAsia="Times New Roman"/>
                <w:sz w:val="1"/>
                <w:szCs w:val="2"/>
              </w:rPr>
            </w:pPr>
          </w:p>
        </w:tc>
        <w:tc>
          <w:tcPr>
            <w:tcW w:w="2445" w:type="dxa"/>
            <w:vAlign w:val="center"/>
            <w:hideMark/>
          </w:tcPr>
          <w:p w:rsidR="00C25ECF" w:rsidRDefault="00C25ECF">
            <w:pPr>
              <w:rPr>
                <w:rFonts w:eastAsia="Times New Roman"/>
                <w:sz w:val="1"/>
                <w:szCs w:val="2"/>
              </w:rPr>
            </w:pPr>
          </w:p>
        </w:tc>
        <w:tc>
          <w:tcPr>
            <w:tcW w:w="270" w:type="dxa"/>
            <w:vAlign w:val="center"/>
            <w:hideMark/>
          </w:tcPr>
          <w:p w:rsidR="00C25ECF" w:rsidRDefault="00C25ECF">
            <w:pPr>
              <w:rPr>
                <w:rFonts w:eastAsia="Times New Roman"/>
                <w:sz w:val="1"/>
                <w:szCs w:val="2"/>
              </w:rPr>
            </w:pPr>
          </w:p>
        </w:tc>
        <w:tc>
          <w:tcPr>
            <w:tcW w:w="540" w:type="dxa"/>
            <w:vAlign w:val="center"/>
            <w:hideMark/>
          </w:tcPr>
          <w:p w:rsidR="00C25ECF" w:rsidRDefault="00C25ECF">
            <w:pPr>
              <w:rPr>
                <w:rFonts w:eastAsia="Times New Roman"/>
                <w:sz w:val="1"/>
                <w:szCs w:val="2"/>
              </w:rPr>
            </w:pPr>
          </w:p>
        </w:tc>
        <w:tc>
          <w:tcPr>
            <w:tcW w:w="270" w:type="dxa"/>
            <w:vAlign w:val="center"/>
            <w:hideMark/>
          </w:tcPr>
          <w:p w:rsidR="00C25ECF" w:rsidRDefault="00C25ECF">
            <w:pPr>
              <w:rPr>
                <w:rFonts w:eastAsia="Times New Roman"/>
                <w:sz w:val="1"/>
                <w:szCs w:val="2"/>
              </w:rPr>
            </w:pPr>
          </w:p>
        </w:tc>
        <w:tc>
          <w:tcPr>
            <w:tcW w:w="510" w:type="dxa"/>
            <w:vAlign w:val="center"/>
            <w:hideMark/>
          </w:tcPr>
          <w:p w:rsidR="00C25ECF" w:rsidRDefault="00C25ECF">
            <w:pPr>
              <w:rPr>
                <w:rFonts w:eastAsia="Times New Roman"/>
                <w:sz w:val="1"/>
                <w:szCs w:val="2"/>
              </w:rPr>
            </w:pPr>
          </w:p>
        </w:tc>
      </w:tr>
      <w:tr w:rsidR="00C25ECF">
        <w:trPr>
          <w:tblCellSpacing w:w="0" w:type="dxa"/>
          <w:jc w:val="center"/>
        </w:trPr>
        <w:tc>
          <w:tcPr>
            <w:tcW w:w="10800" w:type="dxa"/>
            <w:gridSpan w:val="9"/>
            <w:hideMark/>
          </w:tcPr>
          <w:p w:rsidR="00C25ECF" w:rsidRDefault="003A781F">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C25ECF">
        <w:trPr>
          <w:tblCellSpacing w:w="0" w:type="dxa"/>
          <w:jc w:val="center"/>
        </w:trPr>
        <w:tc>
          <w:tcPr>
            <w:tcW w:w="9180" w:type="dxa"/>
            <w:gridSpan w:val="5"/>
            <w:tcBorders>
              <w:right w:val="single" w:sz="4" w:space="0" w:color="000000"/>
            </w:tcBorders>
            <w:hideMark/>
          </w:tcPr>
          <w:p w:rsidR="00C25ECF" w:rsidRDefault="003A781F">
            <w:pPr>
              <w:pStyle w:val="NormalWeb"/>
              <w:spacing w:before="0" w:beforeAutospacing="0" w:after="0" w:afterAutospacing="0"/>
              <w:rPr>
                <w:sz w:val="20"/>
                <w:szCs w:val="20"/>
              </w:rPr>
            </w:pPr>
            <w:r>
              <w:rPr>
                <w:sz w:val="20"/>
                <w:szCs w:val="20"/>
              </w:rPr>
              <w:t>required to file such reports), and (2) has been subject to such filing requirements for the past 90 days.</w:t>
            </w:r>
          </w:p>
        </w:tc>
        <w:tc>
          <w:tcPr>
            <w:tcW w:w="270" w:type="dxa"/>
            <w:tcBorders>
              <w:top w:val="single" w:sz="4" w:space="0" w:color="000000"/>
              <w:bottom w:val="single" w:sz="4" w:space="0" w:color="000000"/>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X</w:t>
            </w:r>
          </w:p>
        </w:tc>
        <w:tc>
          <w:tcPr>
            <w:tcW w:w="540" w:type="dxa"/>
            <w:tcBorders>
              <w:right w:val="single" w:sz="4" w:space="0" w:color="000000"/>
            </w:tcBorders>
            <w:hideMark/>
          </w:tcPr>
          <w:p w:rsidR="00C25ECF" w:rsidRDefault="003A781F">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C25ECF" w:rsidRDefault="003A781F">
            <w:pPr>
              <w:pStyle w:val="NormalWeb"/>
              <w:rPr>
                <w:sz w:val="20"/>
                <w:szCs w:val="20"/>
              </w:rPr>
            </w:pPr>
            <w:r>
              <w:rPr>
                <w:sz w:val="20"/>
                <w:szCs w:val="20"/>
              </w:rPr>
              <w:t> </w:t>
            </w:r>
          </w:p>
        </w:tc>
        <w:tc>
          <w:tcPr>
            <w:tcW w:w="510" w:type="dxa"/>
            <w:hideMark/>
          </w:tcPr>
          <w:p w:rsidR="00C25ECF" w:rsidRDefault="003A781F">
            <w:pPr>
              <w:pStyle w:val="NormalWeb"/>
              <w:spacing w:before="0" w:beforeAutospacing="0" w:after="0" w:afterAutospacing="0"/>
              <w:rPr>
                <w:sz w:val="20"/>
                <w:szCs w:val="20"/>
              </w:rPr>
            </w:pPr>
            <w:r>
              <w:rPr>
                <w:sz w:val="20"/>
                <w:szCs w:val="20"/>
              </w:rPr>
              <w:t> No</w:t>
            </w:r>
          </w:p>
        </w:tc>
      </w:tr>
      <w:tr w:rsidR="00C25ECF">
        <w:trPr>
          <w:tblCellSpacing w:w="0" w:type="dxa"/>
          <w:jc w:val="center"/>
        </w:trPr>
        <w:tc>
          <w:tcPr>
            <w:tcW w:w="10800" w:type="dxa"/>
            <w:gridSpan w:val="9"/>
            <w:hideMark/>
          </w:tcPr>
          <w:p w:rsidR="00C25ECF" w:rsidRDefault="003A781F">
            <w:pPr>
              <w:pStyle w:val="NormalWeb"/>
              <w:rPr>
                <w:sz w:val="20"/>
                <w:szCs w:val="20"/>
              </w:rPr>
            </w:pPr>
            <w:r>
              <w:rPr>
                <w:sz w:val="20"/>
                <w:szCs w:val="20"/>
              </w:rPr>
              <w:t> </w:t>
            </w:r>
          </w:p>
        </w:tc>
      </w:tr>
      <w:tr w:rsidR="00C25ECF">
        <w:trPr>
          <w:tblCellSpacing w:w="0" w:type="dxa"/>
          <w:jc w:val="center"/>
        </w:trPr>
        <w:tc>
          <w:tcPr>
            <w:tcW w:w="10800" w:type="dxa"/>
            <w:gridSpan w:val="9"/>
            <w:hideMark/>
          </w:tcPr>
          <w:p w:rsidR="00C25ECF" w:rsidRDefault="003A781F">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tc>
      </w:tr>
      <w:tr w:rsidR="00C25ECF">
        <w:trPr>
          <w:tblCellSpacing w:w="0" w:type="dxa"/>
          <w:jc w:val="center"/>
        </w:trPr>
        <w:tc>
          <w:tcPr>
            <w:tcW w:w="9180" w:type="dxa"/>
            <w:gridSpan w:val="5"/>
            <w:hideMark/>
          </w:tcPr>
          <w:p w:rsidR="00C25ECF" w:rsidRDefault="003A781F">
            <w:pPr>
              <w:pStyle w:val="NormalWeb"/>
              <w:rPr>
                <w:sz w:val="20"/>
                <w:szCs w:val="20"/>
              </w:rPr>
            </w:pPr>
            <w:r>
              <w:rPr>
                <w:sz w:val="20"/>
                <w:szCs w:val="20"/>
              </w:rPr>
              <w:t> </w:t>
            </w:r>
          </w:p>
        </w:tc>
        <w:tc>
          <w:tcPr>
            <w:tcW w:w="1605" w:type="dxa"/>
            <w:gridSpan w:val="4"/>
            <w:hideMark/>
          </w:tcPr>
          <w:p w:rsidR="00C25ECF" w:rsidRDefault="003A781F">
            <w:pPr>
              <w:pStyle w:val="NormalWeb"/>
              <w:rPr>
                <w:sz w:val="20"/>
                <w:szCs w:val="20"/>
              </w:rPr>
            </w:pPr>
            <w:r>
              <w:rPr>
                <w:sz w:val="20"/>
                <w:szCs w:val="20"/>
              </w:rPr>
              <w:t> </w:t>
            </w:r>
          </w:p>
        </w:tc>
      </w:tr>
      <w:tr w:rsidR="00C25ECF">
        <w:trPr>
          <w:tblCellSpacing w:w="0" w:type="dxa"/>
          <w:jc w:val="center"/>
        </w:trPr>
        <w:tc>
          <w:tcPr>
            <w:tcW w:w="3255" w:type="dxa"/>
            <w:tcBorders>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4" w:space="0" w:color="000000"/>
              <w:bottom w:val="single" w:sz="4" w:space="0" w:color="000000"/>
              <w:right w:val="single" w:sz="4" w:space="0" w:color="000000"/>
            </w:tcBorders>
            <w:hideMark/>
          </w:tcPr>
          <w:p w:rsidR="00C25ECF" w:rsidRDefault="003A781F">
            <w:pPr>
              <w:pStyle w:val="NormalWeb"/>
              <w:rPr>
                <w:sz w:val="20"/>
                <w:szCs w:val="20"/>
              </w:rPr>
            </w:pPr>
            <w:r>
              <w:rPr>
                <w:sz w:val="20"/>
                <w:szCs w:val="20"/>
              </w:rPr>
              <w:t> </w:t>
            </w:r>
          </w:p>
        </w:tc>
        <w:tc>
          <w:tcPr>
            <w:tcW w:w="2940" w:type="dxa"/>
            <w:hideMark/>
          </w:tcPr>
          <w:p w:rsidR="00C25ECF" w:rsidRDefault="003A781F">
            <w:pPr>
              <w:pStyle w:val="NormalWeb"/>
              <w:rPr>
                <w:sz w:val="20"/>
                <w:szCs w:val="20"/>
              </w:rPr>
            </w:pPr>
            <w:r>
              <w:rPr>
                <w:sz w:val="20"/>
                <w:szCs w:val="20"/>
              </w:rPr>
              <w:t> </w:t>
            </w:r>
          </w:p>
        </w:tc>
        <w:tc>
          <w:tcPr>
            <w:tcW w:w="270" w:type="dxa"/>
            <w:hideMark/>
          </w:tcPr>
          <w:p w:rsidR="00C25ECF" w:rsidRDefault="003A781F">
            <w:pPr>
              <w:pStyle w:val="NormalWeb"/>
              <w:rPr>
                <w:sz w:val="20"/>
                <w:szCs w:val="20"/>
              </w:rPr>
            </w:pPr>
            <w:r>
              <w:rPr>
                <w:sz w:val="20"/>
                <w:szCs w:val="20"/>
              </w:rPr>
              <w:t> </w:t>
            </w:r>
          </w:p>
        </w:tc>
        <w:tc>
          <w:tcPr>
            <w:tcW w:w="3255" w:type="dxa"/>
            <w:gridSpan w:val="3"/>
            <w:tcBorders>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Accelerated filer</w:t>
            </w:r>
          </w:p>
        </w:tc>
        <w:tc>
          <w:tcPr>
            <w:tcW w:w="270" w:type="dxa"/>
            <w:tcBorders>
              <w:top w:val="single" w:sz="4" w:space="0" w:color="000000"/>
              <w:bottom w:val="single" w:sz="4" w:space="0" w:color="000000"/>
              <w:right w:val="single" w:sz="4" w:space="0" w:color="000000"/>
            </w:tcBorders>
            <w:hideMark/>
          </w:tcPr>
          <w:p w:rsidR="00C25ECF" w:rsidRDefault="003A781F">
            <w:pPr>
              <w:pStyle w:val="NormalWeb"/>
              <w:rPr>
                <w:sz w:val="20"/>
                <w:szCs w:val="20"/>
              </w:rPr>
            </w:pPr>
            <w:r>
              <w:rPr>
                <w:sz w:val="20"/>
                <w:szCs w:val="20"/>
              </w:rPr>
              <w:t> </w:t>
            </w:r>
          </w:p>
        </w:tc>
        <w:tc>
          <w:tcPr>
            <w:tcW w:w="510" w:type="dxa"/>
            <w:hideMark/>
          </w:tcPr>
          <w:p w:rsidR="00C25ECF" w:rsidRDefault="003A781F">
            <w:pPr>
              <w:pStyle w:val="NormalWeb"/>
              <w:rPr>
                <w:sz w:val="20"/>
                <w:szCs w:val="20"/>
              </w:rPr>
            </w:pPr>
            <w:r>
              <w:rPr>
                <w:sz w:val="20"/>
                <w:szCs w:val="20"/>
              </w:rPr>
              <w:t> </w:t>
            </w:r>
          </w:p>
        </w:tc>
      </w:tr>
      <w:tr w:rsidR="00C25ECF">
        <w:trPr>
          <w:tblCellSpacing w:w="0" w:type="dxa"/>
          <w:jc w:val="center"/>
        </w:trPr>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c>
          <w:tcPr>
            <w:tcW w:w="0" w:type="auto"/>
            <w:vAlign w:val="center"/>
            <w:hideMark/>
          </w:tcPr>
          <w:p w:rsidR="00C25ECF" w:rsidRDefault="00C25ECF">
            <w:pPr>
              <w:rPr>
                <w:rFonts w:eastAsia="Times New Roman"/>
                <w:sz w:val="20"/>
                <w:szCs w:val="20"/>
              </w:rPr>
            </w:pPr>
          </w:p>
        </w:tc>
      </w:tr>
      <w:tr w:rsidR="00C25ECF">
        <w:trPr>
          <w:tblCellSpacing w:w="0" w:type="dxa"/>
          <w:jc w:val="center"/>
        </w:trPr>
        <w:tc>
          <w:tcPr>
            <w:tcW w:w="3255" w:type="dxa"/>
            <w:tcBorders>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Non-accelerated filer</w:t>
            </w:r>
          </w:p>
        </w:tc>
        <w:tc>
          <w:tcPr>
            <w:tcW w:w="255" w:type="dxa"/>
            <w:tcBorders>
              <w:top w:val="single" w:sz="4" w:space="0" w:color="000000"/>
              <w:bottom w:val="single" w:sz="4" w:space="0" w:color="000000"/>
              <w:right w:val="single" w:sz="4" w:space="0" w:color="000000"/>
            </w:tcBorders>
            <w:hideMark/>
          </w:tcPr>
          <w:p w:rsidR="00C25ECF" w:rsidRDefault="003A781F">
            <w:pPr>
              <w:pStyle w:val="NormalWeb"/>
              <w:rPr>
                <w:sz w:val="20"/>
                <w:szCs w:val="20"/>
              </w:rPr>
            </w:pPr>
            <w:r>
              <w:rPr>
                <w:sz w:val="20"/>
                <w:szCs w:val="20"/>
              </w:rPr>
              <w:t> </w:t>
            </w:r>
          </w:p>
        </w:tc>
        <w:tc>
          <w:tcPr>
            <w:tcW w:w="2940" w:type="dxa"/>
            <w:hideMark/>
          </w:tcPr>
          <w:p w:rsidR="00C25ECF" w:rsidRDefault="003A781F">
            <w:pPr>
              <w:pStyle w:val="NormalWeb"/>
              <w:rPr>
                <w:sz w:val="20"/>
                <w:szCs w:val="20"/>
              </w:rPr>
            </w:pPr>
            <w:r>
              <w:rPr>
                <w:sz w:val="20"/>
                <w:szCs w:val="20"/>
              </w:rPr>
              <w:t> </w:t>
            </w:r>
          </w:p>
        </w:tc>
        <w:tc>
          <w:tcPr>
            <w:tcW w:w="270" w:type="dxa"/>
            <w:hideMark/>
          </w:tcPr>
          <w:p w:rsidR="00C25ECF" w:rsidRDefault="003A781F">
            <w:pPr>
              <w:pStyle w:val="NormalWeb"/>
              <w:rPr>
                <w:sz w:val="20"/>
                <w:szCs w:val="20"/>
              </w:rPr>
            </w:pPr>
            <w:r>
              <w:rPr>
                <w:sz w:val="20"/>
                <w:szCs w:val="20"/>
              </w:rPr>
              <w:t> </w:t>
            </w:r>
          </w:p>
        </w:tc>
        <w:tc>
          <w:tcPr>
            <w:tcW w:w="3255" w:type="dxa"/>
            <w:gridSpan w:val="3"/>
            <w:tcBorders>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4" w:space="0" w:color="000000"/>
              <w:bottom w:val="single" w:sz="4" w:space="0" w:color="000000"/>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X</w:t>
            </w:r>
          </w:p>
        </w:tc>
        <w:tc>
          <w:tcPr>
            <w:tcW w:w="510" w:type="dxa"/>
            <w:hideMark/>
          </w:tcPr>
          <w:p w:rsidR="00C25ECF" w:rsidRDefault="003A781F">
            <w:pPr>
              <w:pStyle w:val="NormalWeb"/>
              <w:rPr>
                <w:sz w:val="20"/>
                <w:szCs w:val="20"/>
              </w:rPr>
            </w:pPr>
            <w:r>
              <w:rPr>
                <w:sz w:val="20"/>
                <w:szCs w:val="20"/>
              </w:rPr>
              <w:t> </w:t>
            </w:r>
          </w:p>
        </w:tc>
      </w:tr>
      <w:tr w:rsidR="00C25ECF">
        <w:trPr>
          <w:tblCellSpacing w:w="0" w:type="dxa"/>
          <w:jc w:val="center"/>
        </w:trPr>
        <w:tc>
          <w:tcPr>
            <w:tcW w:w="9180" w:type="dxa"/>
            <w:gridSpan w:val="5"/>
            <w:hideMark/>
          </w:tcPr>
          <w:p w:rsidR="00C25ECF" w:rsidRDefault="003A781F">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C25ECF" w:rsidRDefault="003A781F">
            <w:pPr>
              <w:pStyle w:val="NormalWeb"/>
              <w:rPr>
                <w:sz w:val="20"/>
                <w:szCs w:val="20"/>
              </w:rPr>
            </w:pPr>
            <w:r>
              <w:rPr>
                <w:sz w:val="20"/>
                <w:szCs w:val="20"/>
              </w:rPr>
              <w:t> </w:t>
            </w:r>
          </w:p>
        </w:tc>
      </w:tr>
      <w:tr w:rsidR="00C25ECF">
        <w:trPr>
          <w:tblCellSpacing w:w="0" w:type="dxa"/>
          <w:jc w:val="center"/>
        </w:trPr>
        <w:tc>
          <w:tcPr>
            <w:tcW w:w="9180" w:type="dxa"/>
            <w:gridSpan w:val="5"/>
            <w:tcBorders>
              <w:right w:val="single" w:sz="4" w:space="0" w:color="000000"/>
            </w:tcBorders>
            <w:hideMark/>
          </w:tcPr>
          <w:p w:rsidR="00C25ECF" w:rsidRDefault="003A781F">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4" w:space="0" w:color="000000"/>
              <w:bottom w:val="single" w:sz="4" w:space="0" w:color="000000"/>
              <w:right w:val="single" w:sz="4" w:space="0" w:color="000000"/>
            </w:tcBorders>
            <w:hideMark/>
          </w:tcPr>
          <w:p w:rsidR="00C25ECF" w:rsidRDefault="003A781F">
            <w:pPr>
              <w:pStyle w:val="NormalWeb"/>
              <w:rPr>
                <w:sz w:val="20"/>
                <w:szCs w:val="20"/>
              </w:rPr>
            </w:pPr>
            <w:r>
              <w:rPr>
                <w:sz w:val="20"/>
                <w:szCs w:val="20"/>
              </w:rPr>
              <w:t> </w:t>
            </w:r>
          </w:p>
        </w:tc>
        <w:tc>
          <w:tcPr>
            <w:tcW w:w="540" w:type="dxa"/>
            <w:tcBorders>
              <w:right w:val="single" w:sz="4" w:space="0" w:color="000000"/>
            </w:tcBorders>
            <w:hideMark/>
          </w:tcPr>
          <w:p w:rsidR="00C25ECF" w:rsidRDefault="003A781F">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C25ECF" w:rsidRDefault="003A781F">
            <w:pPr>
              <w:pStyle w:val="NormalWeb"/>
              <w:spacing w:before="0" w:beforeAutospacing="0" w:after="0" w:afterAutospacing="0"/>
              <w:jc w:val="center"/>
              <w:rPr>
                <w:sz w:val="20"/>
                <w:szCs w:val="20"/>
              </w:rPr>
            </w:pPr>
            <w:r>
              <w:rPr>
                <w:sz w:val="20"/>
                <w:szCs w:val="20"/>
              </w:rPr>
              <w:t>X</w:t>
            </w:r>
          </w:p>
        </w:tc>
        <w:tc>
          <w:tcPr>
            <w:tcW w:w="510" w:type="dxa"/>
            <w:hideMark/>
          </w:tcPr>
          <w:p w:rsidR="00C25ECF" w:rsidRDefault="003A781F">
            <w:pPr>
              <w:pStyle w:val="NormalWeb"/>
              <w:spacing w:before="0" w:beforeAutospacing="0" w:after="0" w:afterAutospacing="0"/>
              <w:rPr>
                <w:sz w:val="20"/>
                <w:szCs w:val="20"/>
              </w:rPr>
            </w:pPr>
            <w:r>
              <w:rPr>
                <w:sz w:val="20"/>
                <w:szCs w:val="20"/>
              </w:rPr>
              <w:t> No</w:t>
            </w:r>
          </w:p>
        </w:tc>
      </w:tr>
      <w:tr w:rsidR="00C25ECF">
        <w:trPr>
          <w:tblCellSpacing w:w="0" w:type="dxa"/>
          <w:jc w:val="center"/>
        </w:trPr>
        <w:tc>
          <w:tcPr>
            <w:tcW w:w="9180" w:type="dxa"/>
            <w:gridSpan w:val="5"/>
            <w:hideMark/>
          </w:tcPr>
          <w:p w:rsidR="00C25ECF" w:rsidRDefault="003A781F">
            <w:pPr>
              <w:pStyle w:val="NormalWeb"/>
              <w:rPr>
                <w:sz w:val="20"/>
                <w:szCs w:val="20"/>
              </w:rPr>
            </w:pPr>
            <w:r>
              <w:rPr>
                <w:sz w:val="20"/>
                <w:szCs w:val="20"/>
              </w:rPr>
              <w:t> </w:t>
            </w:r>
          </w:p>
        </w:tc>
        <w:tc>
          <w:tcPr>
            <w:tcW w:w="1605" w:type="dxa"/>
            <w:gridSpan w:val="4"/>
            <w:hideMark/>
          </w:tcPr>
          <w:p w:rsidR="00C25ECF" w:rsidRDefault="003A781F">
            <w:pPr>
              <w:pStyle w:val="NormalWeb"/>
              <w:rPr>
                <w:sz w:val="20"/>
                <w:szCs w:val="20"/>
              </w:rPr>
            </w:pPr>
            <w:r>
              <w:rPr>
                <w:sz w:val="20"/>
                <w:szCs w:val="20"/>
              </w:rPr>
              <w:t> </w:t>
            </w:r>
          </w:p>
        </w:tc>
      </w:tr>
      <w:tr w:rsidR="00C25ECF">
        <w:trPr>
          <w:tblCellSpacing w:w="0" w:type="dxa"/>
          <w:jc w:val="center"/>
        </w:trPr>
        <w:tc>
          <w:tcPr>
            <w:tcW w:w="10800" w:type="dxa"/>
            <w:gridSpan w:val="9"/>
            <w:hideMark/>
          </w:tcPr>
          <w:p w:rsidR="00C25ECF" w:rsidRDefault="003A781F">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C25ECF">
        <w:trPr>
          <w:tblCellSpacing w:w="0" w:type="dxa"/>
          <w:jc w:val="center"/>
        </w:trPr>
        <w:tc>
          <w:tcPr>
            <w:tcW w:w="10800" w:type="dxa"/>
            <w:gridSpan w:val="9"/>
            <w:hideMark/>
          </w:tcPr>
          <w:p w:rsidR="00C25ECF" w:rsidRDefault="003A781F">
            <w:pPr>
              <w:pStyle w:val="NormalWeb"/>
              <w:spacing w:before="0" w:beforeAutospacing="0" w:after="0" w:afterAutospacing="0"/>
              <w:rPr>
                <w:sz w:val="20"/>
                <w:szCs w:val="20"/>
              </w:rPr>
            </w:pPr>
            <w:r>
              <w:rPr>
                <w:sz w:val="20"/>
                <w:szCs w:val="20"/>
              </w:rPr>
              <w:t>As of November 3, 2010, there were 46,973,585 issued shares and 45,853,585 outstanding shares of Advanced Oxygen Technologies, Inc. common stock, $0.01 par value.</w:t>
            </w:r>
          </w:p>
        </w:tc>
      </w:tr>
      <w:tr w:rsidR="00C25ECF">
        <w:trPr>
          <w:tblCellSpacing w:w="0" w:type="dxa"/>
          <w:jc w:val="center"/>
        </w:trPr>
        <w:tc>
          <w:tcPr>
            <w:tcW w:w="10800" w:type="dxa"/>
            <w:gridSpan w:val="9"/>
            <w:hideMark/>
          </w:tcPr>
          <w:p w:rsidR="00C25ECF" w:rsidRDefault="003A781F">
            <w:pPr>
              <w:pStyle w:val="NormalWeb"/>
              <w:rPr>
                <w:sz w:val="20"/>
                <w:szCs w:val="20"/>
              </w:rPr>
            </w:pPr>
            <w:r>
              <w:rPr>
                <w:sz w:val="20"/>
                <w:szCs w:val="20"/>
              </w:rPr>
              <w:t> </w:t>
            </w:r>
          </w:p>
        </w:tc>
      </w:tr>
    </w:tbl>
    <w:p w:rsidR="00C25ECF" w:rsidRDefault="00620510">
      <w:pPr>
        <w:rPr>
          <w:rFonts w:eastAsia="Times New Roman"/>
        </w:rPr>
      </w:pPr>
      <w:r w:rsidRPr="00620510">
        <w:rPr>
          <w:rFonts w:eastAsia="Times New Roman"/>
        </w:rPr>
        <w:pict>
          <v:rect id="_x0000_i1027" style="width:0;height:.75pt" o:hralign="center" o:hrstd="t" o:hrnoshade="t" o:hr="t" fillcolor="black" stroked="f"/>
        </w:pict>
      </w:r>
    </w:p>
    <w:p w:rsidR="00C25ECF" w:rsidRDefault="00620510">
      <w:pPr>
        <w:rPr>
          <w:rFonts w:eastAsia="Times New Roman"/>
        </w:rPr>
      </w:pPr>
      <w:r w:rsidRPr="00620510">
        <w:rPr>
          <w:rFonts w:eastAsia="Times New Roman"/>
        </w:rPr>
        <w:pict>
          <v:rect id="_x0000_i1028" style="width:0;height:3pt" o:hralign="center" o:hrstd="t" o:hrnoshade="t" o:hr="t" fillcolor="black" stroked="f"/>
        </w:pict>
      </w:r>
    </w:p>
    <w:p w:rsidR="00C25ECF" w:rsidRDefault="003A781F">
      <w:pPr>
        <w:pStyle w:val="NormalWeb"/>
        <w:jc w:val="center"/>
      </w:pPr>
      <w:r>
        <w:rPr>
          <w:b/>
          <w:bCs/>
        </w:rPr>
        <w:lastRenderedPageBreak/>
        <w:t>ADVANCED OXYGEN TECHNOLOGIES, INC.</w:t>
      </w:r>
    </w:p>
    <w:p w:rsidR="00C25ECF" w:rsidRDefault="003A781F">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208"/>
        <w:gridCol w:w="207"/>
        <w:gridCol w:w="8709"/>
        <w:gridCol w:w="622"/>
        <w:gridCol w:w="622"/>
      </w:tblGrid>
      <w:tr w:rsidR="00C25ECF">
        <w:trPr>
          <w:tblCellSpacing w:w="0" w:type="dxa"/>
          <w:jc w:val="center"/>
        </w:trPr>
        <w:tc>
          <w:tcPr>
            <w:tcW w:w="100" w:type="pct"/>
            <w:shd w:val="clear" w:color="auto" w:fill="CCFFCC"/>
            <w:vAlign w:val="center"/>
            <w:hideMark/>
          </w:tcPr>
          <w:p w:rsidR="00C25ECF" w:rsidRDefault="00C25ECF">
            <w:pPr>
              <w:rPr>
                <w:rFonts w:eastAsia="Times New Roman"/>
              </w:rPr>
            </w:pPr>
          </w:p>
        </w:tc>
        <w:tc>
          <w:tcPr>
            <w:tcW w:w="100" w:type="pct"/>
            <w:shd w:val="clear" w:color="auto" w:fill="CCFFCC"/>
            <w:vAlign w:val="center"/>
            <w:hideMark/>
          </w:tcPr>
          <w:p w:rsidR="00C25ECF" w:rsidRDefault="00C25ECF">
            <w:pPr>
              <w:rPr>
                <w:rFonts w:eastAsia="Times New Roman"/>
              </w:rPr>
            </w:pPr>
          </w:p>
        </w:tc>
        <w:tc>
          <w:tcPr>
            <w:tcW w:w="0" w:type="auto"/>
            <w:gridSpan w:val="3"/>
            <w:shd w:val="clear" w:color="auto" w:fill="CCFFCC"/>
            <w:vAlign w:val="center"/>
            <w:hideMark/>
          </w:tcPr>
          <w:p w:rsidR="00C25ECF" w:rsidRDefault="003A781F">
            <w:pPr>
              <w:pStyle w:val="NormalWeb"/>
              <w:jc w:val="center"/>
            </w:pPr>
            <w:r>
              <w:rPr>
                <w:b/>
                <w:bCs/>
                <w:sz w:val="20"/>
                <w:szCs w:val="20"/>
              </w:rPr>
              <w:t>INDEX</w:t>
            </w:r>
          </w:p>
        </w:tc>
      </w:tr>
      <w:tr w:rsidR="00C25ECF">
        <w:trPr>
          <w:tblCellSpacing w:w="0" w:type="dxa"/>
          <w:jc w:val="center"/>
        </w:trPr>
        <w:tc>
          <w:tcPr>
            <w:tcW w:w="0" w:type="auto"/>
            <w:gridSpan w:val="3"/>
            <w:shd w:val="clear" w:color="auto" w:fill="FFFFFF"/>
            <w:vAlign w:val="center"/>
            <w:hideMark/>
          </w:tcPr>
          <w:p w:rsidR="00C25ECF" w:rsidRDefault="003A781F">
            <w:pPr>
              <w:rPr>
                <w:rFonts w:eastAsia="Times New Roman"/>
              </w:rPr>
            </w:pPr>
            <w:r>
              <w:rPr>
                <w:rFonts w:eastAsia="Times New Roman"/>
                <w:b/>
                <w:bCs/>
                <w:sz w:val="20"/>
                <w:szCs w:val="20"/>
              </w:rPr>
              <w:t>PART I</w:t>
            </w:r>
          </w:p>
        </w:tc>
        <w:tc>
          <w:tcPr>
            <w:tcW w:w="300" w:type="pct"/>
            <w:shd w:val="clear" w:color="auto" w:fill="FFFFFF"/>
            <w:vAlign w:val="center"/>
            <w:hideMark/>
          </w:tcPr>
          <w:p w:rsidR="00C25ECF" w:rsidRDefault="00C25ECF">
            <w:pPr>
              <w:jc w:val="right"/>
              <w:rPr>
                <w:rFonts w:eastAsia="Times New Roman"/>
              </w:rPr>
            </w:pPr>
          </w:p>
        </w:tc>
        <w:tc>
          <w:tcPr>
            <w:tcW w:w="300" w:type="pct"/>
            <w:shd w:val="clear" w:color="auto" w:fill="FFFFFF"/>
            <w:vAlign w:val="center"/>
            <w:hideMark/>
          </w:tcPr>
          <w:p w:rsidR="00C25ECF" w:rsidRDefault="00C25ECF">
            <w:pPr>
              <w:rPr>
                <w:rFonts w:eastAsia="Times New Roman"/>
              </w:rPr>
            </w:pP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gridSpan w:val="2"/>
            <w:shd w:val="clear" w:color="auto" w:fill="CCFFCC"/>
            <w:vAlign w:val="center"/>
            <w:hideMark/>
          </w:tcPr>
          <w:p w:rsidR="00C25ECF" w:rsidRDefault="003A781F">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Page</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rPr>
                <w:rFonts w:eastAsia="Times New Roman"/>
              </w:rPr>
            </w:pPr>
            <w:r>
              <w:rPr>
                <w:rFonts w:eastAsia="Times New Roman"/>
                <w:sz w:val="20"/>
                <w:szCs w:val="20"/>
              </w:rPr>
              <w:t>Unaudited consolidated Balance Sheet as of September 30, 2010 and June 30, 2010</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1</w:t>
            </w: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shd w:val="clear" w:color="auto" w:fill="CCFFCC"/>
            <w:vAlign w:val="center"/>
            <w:hideMark/>
          </w:tcPr>
          <w:p w:rsidR="00C25ECF" w:rsidRDefault="00C25ECF">
            <w:pPr>
              <w:jc w:val="center"/>
              <w:rPr>
                <w:rFonts w:eastAsia="Times New Roman"/>
              </w:rPr>
            </w:pPr>
          </w:p>
        </w:tc>
        <w:tc>
          <w:tcPr>
            <w:tcW w:w="0" w:type="auto"/>
            <w:shd w:val="clear" w:color="auto" w:fill="CCFFCC"/>
            <w:vAlign w:val="center"/>
            <w:hideMark/>
          </w:tcPr>
          <w:p w:rsidR="00C25ECF" w:rsidRDefault="003A781F">
            <w:pPr>
              <w:rPr>
                <w:rFonts w:eastAsia="Times New Roman"/>
              </w:rPr>
            </w:pPr>
            <w:r>
              <w:rPr>
                <w:rFonts w:eastAsia="Times New Roman"/>
                <w:sz w:val="20"/>
                <w:szCs w:val="20"/>
              </w:rPr>
              <w:t>Unaudited Consolidated Statement of Operations and Changes in Accumulated Deficit for the three months and Six months ended September 30, 2010 and September 30, 2009</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3</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rPr>
                <w:rFonts w:eastAsia="Times New Roman"/>
              </w:rPr>
            </w:pPr>
            <w:r>
              <w:rPr>
                <w:rFonts w:eastAsia="Times New Roman"/>
                <w:sz w:val="20"/>
                <w:szCs w:val="20"/>
              </w:rPr>
              <w:t>Unaudited Consolidated Statement of Changes in Stockholders’ Equity and (Capital Deficiency) for the three months ended September 30, 2010 and September 30, 2009</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4</w:t>
            </w: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rPr>
                <w:rFonts w:eastAsia="Times New Roman"/>
              </w:rPr>
            </w:pPr>
            <w:r>
              <w:rPr>
                <w:rFonts w:eastAsia="Times New Roman"/>
                <w:sz w:val="20"/>
                <w:szCs w:val="20"/>
              </w:rPr>
              <w:t>Unaudited Consolidated Statement of Cash Flow for the three months ended September 30, 2010 and September 30, 2009</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5</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6</w:t>
            </w: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gridSpan w:val="2"/>
            <w:shd w:val="clear" w:color="auto" w:fill="CCFFCC"/>
            <w:vAlign w:val="center"/>
            <w:hideMark/>
          </w:tcPr>
          <w:p w:rsidR="00C25ECF" w:rsidRDefault="003A781F">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11</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gridSpan w:val="2"/>
            <w:shd w:val="clear" w:color="auto" w:fill="FFFFFF"/>
            <w:vAlign w:val="center"/>
            <w:hideMark/>
          </w:tcPr>
          <w:p w:rsidR="00C25ECF" w:rsidRDefault="003A781F">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16</w:t>
            </w: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gridSpan w:val="2"/>
            <w:shd w:val="clear" w:color="auto" w:fill="CCFFCC"/>
            <w:vAlign w:val="center"/>
            <w:hideMark/>
          </w:tcPr>
          <w:p w:rsidR="00C25ECF" w:rsidRDefault="003A781F">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16</w:t>
            </w:r>
          </w:p>
        </w:tc>
      </w:tr>
      <w:tr w:rsidR="00C25ECF">
        <w:trPr>
          <w:tblCellSpacing w:w="0" w:type="dxa"/>
          <w:jc w:val="center"/>
        </w:trPr>
        <w:tc>
          <w:tcPr>
            <w:tcW w:w="0" w:type="auto"/>
            <w:gridSpan w:val="3"/>
            <w:shd w:val="clear" w:color="auto" w:fill="FFFFFF"/>
            <w:vAlign w:val="center"/>
            <w:hideMark/>
          </w:tcPr>
          <w:p w:rsidR="00C25ECF" w:rsidRDefault="003A781F">
            <w:pPr>
              <w:rPr>
                <w:rFonts w:eastAsia="Times New Roman"/>
              </w:rPr>
            </w:pPr>
            <w:r>
              <w:rPr>
                <w:rFonts w:eastAsia="Times New Roman"/>
                <w:sz w:val="20"/>
                <w:szCs w:val="20"/>
              </w:rPr>
              <w:t>PART II</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C25ECF">
            <w:pPr>
              <w:rPr>
                <w:rFonts w:eastAsia="Times New Roman"/>
              </w:rPr>
            </w:pP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gridSpan w:val="2"/>
            <w:shd w:val="clear" w:color="auto" w:fill="CCFFCC"/>
            <w:vAlign w:val="center"/>
            <w:hideMark/>
          </w:tcPr>
          <w:p w:rsidR="00C25ECF" w:rsidRDefault="003A781F">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18</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gridSpan w:val="2"/>
            <w:shd w:val="clear" w:color="auto" w:fill="FFFFFF"/>
            <w:vAlign w:val="center"/>
            <w:hideMark/>
          </w:tcPr>
          <w:p w:rsidR="00C25ECF" w:rsidRDefault="003A781F">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18</w:t>
            </w: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gridSpan w:val="2"/>
            <w:shd w:val="clear" w:color="auto" w:fill="CCFFCC"/>
            <w:vAlign w:val="center"/>
            <w:hideMark/>
          </w:tcPr>
          <w:p w:rsidR="00C25ECF" w:rsidRDefault="003A781F">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18</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gridSpan w:val="2"/>
            <w:shd w:val="clear" w:color="auto" w:fill="FFFFFF"/>
            <w:vAlign w:val="center"/>
            <w:hideMark/>
          </w:tcPr>
          <w:p w:rsidR="00C25ECF" w:rsidRDefault="003A781F">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18</w:t>
            </w:r>
          </w:p>
        </w:tc>
      </w:tr>
      <w:tr w:rsidR="00C25ECF">
        <w:trPr>
          <w:tblCellSpacing w:w="0" w:type="dxa"/>
          <w:jc w:val="center"/>
        </w:trPr>
        <w:tc>
          <w:tcPr>
            <w:tcW w:w="0" w:type="auto"/>
            <w:shd w:val="clear" w:color="auto" w:fill="CCFFCC"/>
            <w:vAlign w:val="center"/>
            <w:hideMark/>
          </w:tcPr>
          <w:p w:rsidR="00C25ECF" w:rsidRDefault="00C25ECF">
            <w:pPr>
              <w:rPr>
                <w:rFonts w:eastAsia="Times New Roman"/>
              </w:rPr>
            </w:pPr>
          </w:p>
        </w:tc>
        <w:tc>
          <w:tcPr>
            <w:tcW w:w="0" w:type="auto"/>
            <w:gridSpan w:val="2"/>
            <w:shd w:val="clear" w:color="auto" w:fill="CCFFCC"/>
            <w:vAlign w:val="center"/>
            <w:hideMark/>
          </w:tcPr>
          <w:p w:rsidR="00C25ECF" w:rsidRDefault="003A781F">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18</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gridSpan w:val="2"/>
            <w:shd w:val="clear" w:color="auto" w:fill="FFFFFF"/>
            <w:vAlign w:val="center"/>
            <w:hideMark/>
          </w:tcPr>
          <w:p w:rsidR="00C25ECF" w:rsidRDefault="003A781F">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18</w:t>
            </w:r>
          </w:p>
        </w:tc>
      </w:tr>
      <w:tr w:rsidR="00C25ECF">
        <w:trPr>
          <w:tblCellSpacing w:w="0" w:type="dxa"/>
          <w:jc w:val="center"/>
        </w:trPr>
        <w:tc>
          <w:tcPr>
            <w:tcW w:w="0" w:type="auto"/>
            <w:gridSpan w:val="3"/>
            <w:shd w:val="clear" w:color="auto" w:fill="CCFFCC"/>
            <w:vAlign w:val="center"/>
            <w:hideMark/>
          </w:tcPr>
          <w:p w:rsidR="00C25ECF" w:rsidRDefault="003A781F">
            <w:pPr>
              <w:rPr>
                <w:rFonts w:eastAsia="Times New Roman"/>
              </w:rPr>
            </w:pPr>
            <w:r>
              <w:rPr>
                <w:rFonts w:eastAsia="Times New Roman"/>
                <w:sz w:val="20"/>
                <w:szCs w:val="20"/>
              </w:rPr>
              <w:t>Signature</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19</w:t>
            </w:r>
          </w:p>
        </w:tc>
      </w:tr>
      <w:tr w:rsidR="00C25ECF">
        <w:trPr>
          <w:tblCellSpacing w:w="0" w:type="dxa"/>
          <w:jc w:val="center"/>
        </w:trPr>
        <w:tc>
          <w:tcPr>
            <w:tcW w:w="0" w:type="auto"/>
            <w:gridSpan w:val="3"/>
            <w:shd w:val="clear" w:color="auto" w:fill="FFFFFF"/>
            <w:vAlign w:val="center"/>
            <w:hideMark/>
          </w:tcPr>
          <w:p w:rsidR="00C25ECF" w:rsidRDefault="003A781F">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EX 31</w:t>
            </w:r>
          </w:p>
        </w:tc>
      </w:tr>
      <w:tr w:rsidR="00C25ECF">
        <w:trPr>
          <w:tblCellSpacing w:w="0" w:type="dxa"/>
          <w:jc w:val="center"/>
        </w:trPr>
        <w:tc>
          <w:tcPr>
            <w:tcW w:w="0" w:type="auto"/>
            <w:gridSpan w:val="3"/>
            <w:shd w:val="clear" w:color="auto" w:fill="CCFFCC"/>
            <w:vAlign w:val="center"/>
            <w:hideMark/>
          </w:tcPr>
          <w:p w:rsidR="00C25ECF" w:rsidRDefault="003A781F">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EX 32</w:t>
            </w:r>
          </w:p>
        </w:tc>
      </w:tr>
      <w:tr w:rsidR="00C25ECF">
        <w:trPr>
          <w:tblCellSpacing w:w="0" w:type="dxa"/>
          <w:jc w:val="center"/>
        </w:trPr>
        <w:tc>
          <w:tcPr>
            <w:tcW w:w="0" w:type="auto"/>
            <w:shd w:val="clear" w:color="auto" w:fill="FFFFFF"/>
            <w:vAlign w:val="center"/>
            <w:hideMark/>
          </w:tcPr>
          <w:p w:rsidR="00C25ECF" w:rsidRDefault="00C25ECF">
            <w:pPr>
              <w:rPr>
                <w:rFonts w:eastAsia="Times New Roman"/>
              </w:rPr>
            </w:pP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rPr>
                <w:rFonts w:eastAsia="Times New Roman"/>
              </w:rPr>
            </w:pPr>
            <w:r>
              <w:rPr>
                <w:rFonts w:eastAsia="Times New Roman"/>
                <w:sz w:val="20"/>
                <w:szCs w:val="20"/>
              </w:rPr>
              <w:t> </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3A781F">
            <w:pPr>
              <w:rPr>
                <w:rFonts w:eastAsia="Times New Roman"/>
              </w:rPr>
            </w:pPr>
            <w:r>
              <w:rPr>
                <w:rFonts w:eastAsia="Times New Roman"/>
                <w:sz w:val="20"/>
                <w:szCs w:val="20"/>
              </w:rPr>
              <w:t> </w:t>
            </w:r>
          </w:p>
        </w:tc>
      </w:tr>
    </w:tbl>
    <w:p w:rsidR="00C25ECF" w:rsidRDefault="00620510">
      <w:pPr>
        <w:rPr>
          <w:rFonts w:eastAsia="Times New Roman"/>
        </w:rPr>
      </w:pPr>
      <w:r w:rsidRPr="00620510">
        <w:rPr>
          <w:rFonts w:eastAsia="Times New Roman"/>
        </w:rPr>
        <w:pict>
          <v:rect id="_x0000_i1029" style="width:0;height:3pt" o:hralign="center" o:hrstd="t" o:hrnoshade="t" o:hr="t" fillcolor="black" stroked="f"/>
        </w:pict>
      </w:r>
    </w:p>
    <w:p w:rsidR="001D5D0B" w:rsidRDefault="001D5D0B">
      <w:pPr>
        <w:rPr>
          <w:b/>
          <w:bCs/>
          <w:sz w:val="20"/>
          <w:szCs w:val="20"/>
        </w:rPr>
      </w:pPr>
      <w:r>
        <w:rPr>
          <w:b/>
          <w:bCs/>
          <w:sz w:val="20"/>
          <w:szCs w:val="20"/>
        </w:rPr>
        <w:br w:type="page"/>
      </w:r>
    </w:p>
    <w:p w:rsidR="00C25ECF" w:rsidRPr="001D5D0B" w:rsidRDefault="003A781F">
      <w:pPr>
        <w:pStyle w:val="NormalWeb"/>
        <w:rPr>
          <w:sz w:val="18"/>
          <w:szCs w:val="18"/>
        </w:rPr>
      </w:pPr>
      <w:r>
        <w:rPr>
          <w:b/>
          <w:bCs/>
          <w:sz w:val="20"/>
          <w:szCs w:val="20"/>
        </w:rPr>
        <w:lastRenderedPageBreak/>
        <w:t xml:space="preserve">PART 1: FINANCIAL INFORMATION </w:t>
      </w:r>
    </w:p>
    <w:p w:rsidR="00C25ECF" w:rsidRPr="001D5D0B" w:rsidRDefault="003A781F">
      <w:pPr>
        <w:divId w:val="997346738"/>
        <w:rPr>
          <w:rFonts w:eastAsia="Times New Roman"/>
          <w:sz w:val="18"/>
          <w:szCs w:val="18"/>
        </w:rPr>
      </w:pPr>
      <w:r w:rsidRPr="001D5D0B">
        <w:rPr>
          <w:rFonts w:eastAsia="Times New Roman"/>
          <w:sz w:val="18"/>
          <w:szCs w:val="18"/>
        </w:rPr>
        <w:t>   </w:t>
      </w:r>
      <w:r w:rsidRPr="001D5D0B">
        <w:rPr>
          <w:rFonts w:eastAsia="Times New Roman"/>
          <w:b/>
          <w:bCs/>
          <w:sz w:val="18"/>
          <w:szCs w:val="18"/>
        </w:rPr>
        <w:t>Item I</w:t>
      </w:r>
      <w:r w:rsidRPr="001D5D0B">
        <w:rPr>
          <w:rFonts w:eastAsia="Times New Roman"/>
          <w:sz w:val="18"/>
          <w:szCs w:val="18"/>
        </w:rPr>
        <w:t xml:space="preserve">: Consolidated Financial Statements for the three months ending September 30, 2010 (unaudited). </w:t>
      </w:r>
    </w:p>
    <w:tbl>
      <w:tblPr>
        <w:tblW w:w="4500" w:type="pct"/>
        <w:tblCellSpacing w:w="0" w:type="dxa"/>
        <w:tblCellMar>
          <w:left w:w="0" w:type="dxa"/>
          <w:right w:w="0" w:type="dxa"/>
        </w:tblCellMar>
        <w:tblLook w:val="04A0"/>
      </w:tblPr>
      <w:tblGrid>
        <w:gridCol w:w="6711"/>
        <w:gridCol w:w="1219"/>
        <w:gridCol w:w="1219"/>
        <w:gridCol w:w="1219"/>
      </w:tblGrid>
      <w:tr w:rsidR="00C25ECF" w:rsidRPr="001D5D0B">
        <w:trPr>
          <w:divId w:val="997346738"/>
          <w:tblCellSpacing w:w="0" w:type="dxa"/>
        </w:trPr>
        <w:tc>
          <w:tcPr>
            <w:tcW w:w="0" w:type="auto"/>
            <w:gridSpan w:val="4"/>
            <w:shd w:val="clear" w:color="auto" w:fill="CCFFCC"/>
            <w:vAlign w:val="bottom"/>
            <w:hideMark/>
          </w:tcPr>
          <w:p w:rsidR="00C25ECF" w:rsidRPr="001D5D0B" w:rsidRDefault="003A781F" w:rsidP="001D5D0B">
            <w:pPr>
              <w:jc w:val="center"/>
              <w:rPr>
                <w:rFonts w:eastAsia="Times New Roman"/>
                <w:sz w:val="18"/>
                <w:szCs w:val="18"/>
              </w:rPr>
            </w:pPr>
            <w:r w:rsidRPr="001D5D0B">
              <w:rPr>
                <w:rFonts w:eastAsia="Times New Roman"/>
                <w:b/>
                <w:bCs/>
                <w:sz w:val="18"/>
                <w:szCs w:val="18"/>
              </w:rPr>
              <w:t> ADVANCED OXYGEN TECHNOLOGIES, INC.</w:t>
            </w:r>
            <w:r w:rsidRPr="001D5D0B">
              <w:rPr>
                <w:rFonts w:eastAsia="Times New Roman"/>
                <w:sz w:val="18"/>
                <w:szCs w:val="18"/>
              </w:rPr>
              <w:t xml:space="preserve"> </w:t>
            </w:r>
          </w:p>
          <w:p w:rsidR="00C25ECF" w:rsidRPr="001D5D0B" w:rsidRDefault="003A781F" w:rsidP="001D5D0B">
            <w:pPr>
              <w:pStyle w:val="NormalWeb"/>
              <w:spacing w:before="0" w:beforeAutospacing="0" w:after="0" w:afterAutospacing="0"/>
              <w:jc w:val="center"/>
              <w:rPr>
                <w:sz w:val="18"/>
                <w:szCs w:val="18"/>
              </w:rPr>
            </w:pPr>
            <w:r w:rsidRPr="001D5D0B">
              <w:rPr>
                <w:b/>
                <w:bCs/>
                <w:sz w:val="18"/>
                <w:szCs w:val="18"/>
              </w:rPr>
              <w:t>AND SUBSIDIARY</w:t>
            </w:r>
          </w:p>
          <w:p w:rsidR="00C25ECF" w:rsidRPr="001D5D0B" w:rsidRDefault="003A781F" w:rsidP="001D5D0B">
            <w:pPr>
              <w:pStyle w:val="NormalWeb"/>
              <w:spacing w:before="0" w:beforeAutospacing="0" w:after="0" w:afterAutospacing="0"/>
              <w:jc w:val="center"/>
              <w:rPr>
                <w:sz w:val="18"/>
                <w:szCs w:val="18"/>
              </w:rPr>
            </w:pPr>
            <w:r w:rsidRPr="001D5D0B">
              <w:rPr>
                <w:b/>
                <w:bCs/>
                <w:sz w:val="18"/>
                <w:szCs w:val="18"/>
              </w:rPr>
              <w:t>CONSOLATED BALANCE SHEETS</w:t>
            </w:r>
          </w:p>
        </w:tc>
      </w:tr>
      <w:tr w:rsidR="00C25ECF" w:rsidRPr="001D5D0B" w:rsidTr="006F3022">
        <w:trPr>
          <w:divId w:val="997346738"/>
          <w:tblCellSpacing w:w="0" w:type="dxa"/>
        </w:trPr>
        <w:tc>
          <w:tcPr>
            <w:tcW w:w="3236" w:type="pct"/>
            <w:shd w:val="clear" w:color="auto" w:fill="FFFFFF"/>
            <w:vAlign w:val="bottom"/>
            <w:hideMark/>
          </w:tcPr>
          <w:p w:rsidR="00C25ECF" w:rsidRPr="001D5D0B" w:rsidRDefault="00C25ECF">
            <w:pPr>
              <w:rPr>
                <w:rFonts w:eastAsia="Times New Roman"/>
                <w:sz w:val="18"/>
                <w:szCs w:val="18"/>
              </w:rPr>
            </w:pPr>
          </w:p>
        </w:tc>
        <w:tc>
          <w:tcPr>
            <w:tcW w:w="588" w:type="pct"/>
            <w:shd w:val="clear" w:color="auto" w:fill="FFFFFF"/>
            <w:vAlign w:val="bottom"/>
            <w:hideMark/>
          </w:tcPr>
          <w:p w:rsidR="00C25ECF" w:rsidRPr="001D5D0B" w:rsidRDefault="003A781F" w:rsidP="001D5D0B">
            <w:pPr>
              <w:jc w:val="center"/>
              <w:rPr>
                <w:rFonts w:eastAsia="Times New Roman"/>
                <w:sz w:val="18"/>
                <w:szCs w:val="18"/>
              </w:rPr>
            </w:pPr>
            <w:r w:rsidRPr="001D5D0B">
              <w:rPr>
                <w:rFonts w:eastAsia="Times New Roman"/>
                <w:b/>
                <w:bCs/>
                <w:sz w:val="18"/>
                <w:szCs w:val="18"/>
              </w:rPr>
              <w:t xml:space="preserve">Unaudited </w:t>
            </w:r>
          </w:p>
          <w:p w:rsidR="00C25ECF" w:rsidRPr="001D5D0B" w:rsidRDefault="003A781F" w:rsidP="001D5D0B">
            <w:pPr>
              <w:pStyle w:val="NormalWeb"/>
              <w:spacing w:before="0" w:beforeAutospacing="0" w:after="0" w:afterAutospacing="0"/>
              <w:jc w:val="center"/>
              <w:rPr>
                <w:sz w:val="18"/>
                <w:szCs w:val="18"/>
              </w:rPr>
            </w:pPr>
            <w:r w:rsidRPr="001D5D0B">
              <w:rPr>
                <w:b/>
                <w:bCs/>
                <w:sz w:val="18"/>
                <w:szCs w:val="18"/>
              </w:rPr>
              <w:t>as of September 30,</w:t>
            </w:r>
          </w:p>
        </w:tc>
        <w:tc>
          <w:tcPr>
            <w:tcW w:w="0" w:type="auto"/>
            <w:gridSpan w:val="2"/>
            <w:shd w:val="clear" w:color="auto" w:fill="FFFFFF"/>
            <w:vAlign w:val="bottom"/>
            <w:hideMark/>
          </w:tcPr>
          <w:p w:rsidR="00C25ECF" w:rsidRPr="001D5D0B" w:rsidRDefault="003A781F" w:rsidP="001D5D0B">
            <w:pPr>
              <w:jc w:val="center"/>
              <w:rPr>
                <w:rFonts w:eastAsia="Times New Roman"/>
                <w:sz w:val="18"/>
                <w:szCs w:val="18"/>
              </w:rPr>
            </w:pPr>
            <w:r w:rsidRPr="001D5D0B">
              <w:rPr>
                <w:rFonts w:eastAsia="Times New Roman"/>
                <w:b/>
                <w:bCs/>
                <w:sz w:val="18"/>
                <w:szCs w:val="18"/>
              </w:rPr>
              <w:t>Audited</w:t>
            </w:r>
            <w:r w:rsidRPr="001D5D0B">
              <w:rPr>
                <w:rFonts w:eastAsia="Times New Roman"/>
                <w:sz w:val="18"/>
                <w:szCs w:val="18"/>
              </w:rPr>
              <w:t xml:space="preserve"> </w:t>
            </w:r>
          </w:p>
          <w:p w:rsidR="00C25ECF" w:rsidRPr="001D5D0B" w:rsidRDefault="003A781F" w:rsidP="001D5D0B">
            <w:pPr>
              <w:pStyle w:val="NormalWeb"/>
              <w:spacing w:before="0" w:beforeAutospacing="0" w:after="0" w:afterAutospacing="0"/>
              <w:jc w:val="center"/>
              <w:rPr>
                <w:sz w:val="18"/>
                <w:szCs w:val="18"/>
              </w:rPr>
            </w:pPr>
            <w:r w:rsidRPr="001D5D0B">
              <w:rPr>
                <w:b/>
                <w:bCs/>
                <w:sz w:val="18"/>
                <w:szCs w:val="18"/>
              </w:rPr>
              <w:t>as of June 30,</w:t>
            </w:r>
          </w:p>
        </w:tc>
      </w:tr>
      <w:tr w:rsidR="00C25ECF" w:rsidRPr="001D5D0B" w:rsidTr="006F3022">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b/>
                <w:bCs/>
                <w:sz w:val="18"/>
                <w:szCs w:val="18"/>
              </w:rPr>
              <w:t>ASSETS</w:t>
            </w:r>
          </w:p>
        </w:tc>
        <w:tc>
          <w:tcPr>
            <w:tcW w:w="588" w:type="pct"/>
            <w:shd w:val="clear" w:color="auto" w:fill="CCFFCC"/>
            <w:vAlign w:val="bottom"/>
            <w:hideMark/>
          </w:tcPr>
          <w:p w:rsidR="00C25ECF" w:rsidRPr="001D5D0B" w:rsidRDefault="003A781F">
            <w:pPr>
              <w:jc w:val="center"/>
              <w:rPr>
                <w:rFonts w:eastAsia="Times New Roman"/>
                <w:sz w:val="18"/>
                <w:szCs w:val="18"/>
              </w:rPr>
            </w:pPr>
            <w:r w:rsidRPr="001D5D0B">
              <w:rPr>
                <w:rFonts w:eastAsia="Times New Roman"/>
                <w:b/>
                <w:bCs/>
                <w:sz w:val="18"/>
                <w:szCs w:val="18"/>
              </w:rPr>
              <w:t>2011  </w:t>
            </w:r>
          </w:p>
          <w:p w:rsidR="00C25ECF" w:rsidRPr="001D5D0B" w:rsidRDefault="00620510">
            <w:pPr>
              <w:jc w:val="center"/>
              <w:rPr>
                <w:rFonts w:eastAsia="Times New Roman"/>
                <w:sz w:val="18"/>
                <w:szCs w:val="18"/>
              </w:rPr>
            </w:pPr>
            <w:r w:rsidRPr="00620510">
              <w:rPr>
                <w:rFonts w:eastAsia="Times New Roman"/>
                <w:sz w:val="18"/>
                <w:szCs w:val="18"/>
              </w:rPr>
              <w:pict>
                <v:rect id="_x0000_i1030" style="width:0;height:1.5pt" o:hralign="center" o:hrstd="t" o:hr="t" fillcolor="#aca899" stroked="f"/>
              </w:pict>
            </w:r>
          </w:p>
        </w:tc>
        <w:tc>
          <w:tcPr>
            <w:tcW w:w="588" w:type="pct"/>
            <w:shd w:val="clear" w:color="auto" w:fill="CCFFCC"/>
            <w:vAlign w:val="bottom"/>
            <w:hideMark/>
          </w:tcPr>
          <w:p w:rsidR="00C25ECF" w:rsidRPr="001D5D0B" w:rsidRDefault="003A781F">
            <w:pPr>
              <w:jc w:val="center"/>
              <w:rPr>
                <w:rFonts w:eastAsia="Times New Roman"/>
                <w:sz w:val="18"/>
                <w:szCs w:val="18"/>
              </w:rPr>
            </w:pPr>
            <w:r w:rsidRPr="001D5D0B">
              <w:rPr>
                <w:rFonts w:eastAsia="Times New Roman"/>
                <w:b/>
                <w:bCs/>
                <w:sz w:val="18"/>
                <w:szCs w:val="18"/>
              </w:rPr>
              <w:t>2011  </w:t>
            </w:r>
          </w:p>
          <w:p w:rsidR="00C25ECF" w:rsidRPr="001D5D0B" w:rsidRDefault="00620510">
            <w:pPr>
              <w:jc w:val="center"/>
              <w:rPr>
                <w:rFonts w:eastAsia="Times New Roman"/>
                <w:sz w:val="18"/>
                <w:szCs w:val="18"/>
              </w:rPr>
            </w:pPr>
            <w:r w:rsidRPr="00620510">
              <w:rPr>
                <w:rFonts w:eastAsia="Times New Roman"/>
                <w:sz w:val="18"/>
                <w:szCs w:val="18"/>
              </w:rPr>
              <w:pict>
                <v:rect id="_x0000_i1031" style="width:0;height:1.5pt" o:hralign="center" o:hrstd="t" o:hr="t" fillcolor="#aca899" stroked="f"/>
              </w:pict>
            </w:r>
          </w:p>
        </w:tc>
        <w:tc>
          <w:tcPr>
            <w:tcW w:w="588" w:type="pct"/>
            <w:shd w:val="clear" w:color="auto" w:fill="CCFFCC"/>
            <w:vAlign w:val="bottom"/>
            <w:hideMark/>
          </w:tcPr>
          <w:p w:rsidR="00C25ECF" w:rsidRPr="001D5D0B" w:rsidRDefault="003A781F">
            <w:pPr>
              <w:jc w:val="center"/>
              <w:rPr>
                <w:rFonts w:eastAsia="Times New Roman"/>
                <w:sz w:val="18"/>
                <w:szCs w:val="18"/>
              </w:rPr>
            </w:pPr>
            <w:r w:rsidRPr="001D5D0B">
              <w:rPr>
                <w:rFonts w:eastAsia="Times New Roman"/>
                <w:b/>
                <w:bCs/>
                <w:sz w:val="18"/>
                <w:szCs w:val="18"/>
              </w:rPr>
              <w:t>2010  </w:t>
            </w:r>
          </w:p>
          <w:p w:rsidR="00C25ECF" w:rsidRPr="001D5D0B" w:rsidRDefault="00620510">
            <w:pPr>
              <w:jc w:val="center"/>
              <w:rPr>
                <w:rFonts w:eastAsia="Times New Roman"/>
                <w:sz w:val="18"/>
                <w:szCs w:val="18"/>
              </w:rPr>
            </w:pPr>
            <w:r w:rsidRPr="00620510">
              <w:rPr>
                <w:rFonts w:eastAsia="Times New Roman"/>
                <w:sz w:val="18"/>
                <w:szCs w:val="18"/>
              </w:rPr>
              <w:pict>
                <v:rect id="_x0000_i1032" style="width:0;height:1.5pt" o:hralign="center" o:hrstd="t" o:hr="t" fillcolor="#aca899" stroked="f"/>
              </w:pic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CURRENT ASSETS</w:t>
            </w:r>
          </w:p>
        </w:tc>
        <w:tc>
          <w:tcPr>
            <w:tcW w:w="0" w:type="auto"/>
            <w:shd w:val="clear" w:color="auto" w:fill="CCFFCC"/>
            <w:vAlign w:val="bottom"/>
            <w:hideMark/>
          </w:tcPr>
          <w:p w:rsidR="00C25ECF" w:rsidRPr="001D5D0B" w:rsidRDefault="00C25ECF">
            <w:pPr>
              <w:jc w:val="center"/>
              <w:rPr>
                <w:rFonts w:eastAsia="Times New Roman"/>
                <w:sz w:val="18"/>
                <w:szCs w:val="18"/>
              </w:rPr>
            </w:pPr>
          </w:p>
        </w:tc>
        <w:tc>
          <w:tcPr>
            <w:tcW w:w="0" w:type="auto"/>
            <w:shd w:val="clear" w:color="auto" w:fill="CCFFCC"/>
            <w:vAlign w:val="bottom"/>
            <w:hideMark/>
          </w:tcPr>
          <w:p w:rsidR="00C25ECF" w:rsidRPr="001D5D0B" w:rsidRDefault="00C25ECF">
            <w:pPr>
              <w:jc w:val="center"/>
              <w:rPr>
                <w:rFonts w:eastAsia="Times New Roman"/>
                <w:sz w:val="18"/>
                <w:szCs w:val="18"/>
              </w:rPr>
            </w:pPr>
          </w:p>
        </w:tc>
        <w:tc>
          <w:tcPr>
            <w:tcW w:w="0" w:type="auto"/>
            <w:shd w:val="clear" w:color="auto" w:fill="CCFFCC"/>
            <w:vAlign w:val="bottom"/>
            <w:hideMark/>
          </w:tcPr>
          <w:p w:rsidR="00C25ECF" w:rsidRPr="001D5D0B" w:rsidRDefault="00C25ECF">
            <w:pPr>
              <w:jc w:val="center"/>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Cash</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       32,982</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       24,410</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       21,120</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Accounts Receivable, Related Party</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7,547</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Total Current Assets</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32,982</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 31,957</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 21,120</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FIXED ASSETS</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Land and buildings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622,642</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622,642</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 525,000</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b/>
                <w:bCs/>
                <w:sz w:val="18"/>
                <w:szCs w:val="18"/>
              </w:rPr>
              <w:t>TOTAL ASSETS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    655,624</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    654,599</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    546,120</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jc w:val="center"/>
              <w:rPr>
                <w:rFonts w:eastAsia="Times New Roman"/>
                <w:sz w:val="18"/>
                <w:szCs w:val="18"/>
              </w:rPr>
            </w:pPr>
            <w:r w:rsidRPr="001D5D0B">
              <w:rPr>
                <w:rFonts w:eastAsia="Times New Roman"/>
                <w:sz w:val="18"/>
                <w:szCs w:val="18"/>
              </w:rPr>
              <w:t> </w:t>
            </w:r>
            <w:r w:rsidRPr="001D5D0B">
              <w:rPr>
                <w:rFonts w:eastAsia="Times New Roman"/>
                <w:b/>
                <w:bCs/>
                <w:sz w:val="18"/>
                <w:szCs w:val="18"/>
              </w:rPr>
              <w:t>See accompanying notes to financial statements.</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b/>
                <w:bCs/>
                <w:sz w:val="18"/>
                <w:szCs w:val="18"/>
              </w:rPr>
              <w:t>            LIABILITIES AND STOCKHOLDERS' DEFICIENCY              </w:t>
            </w:r>
            <w:r w:rsidRPr="001D5D0B">
              <w:rPr>
                <w:rFonts w:eastAsia="Times New Roman"/>
                <w:sz w:val="18"/>
                <w:szCs w:val="18"/>
              </w:rPr>
              <w:t>         </w:t>
            </w: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CURRENT LIABILITIES</w:t>
            </w: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Accounts payable</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    9,425</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    9,425</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    23,880</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Accrued Expenses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Current Portion of Long Term Debt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7,925</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7,925</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6,246</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Note Payable</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167,263</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165,976</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169,084</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Payroll and sales taxes payable</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90,722</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93,105</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42,949</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Prepaid Rental Revenues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10,874</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10,874</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9,448</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Total current liabilities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286,209</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287,305</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251,607</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Long Term Debt, subsidiary</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67,645</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69,820</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68,576</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Due to affiliate</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38,792</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38,793</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36,458</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Total Long Term Debt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106,437</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108,613</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105,034</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Total Liabilities</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392,646</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395,919</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356,641</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STOCKHOLDERS' DEFICIENCY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rHeight w:val="300"/>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Convertible preferred stock, Series 2, par value $0.01; authorized  10,000,000 shares; issued and outstanding 5,000 shares liquidating preference $25,000  </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50</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50</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50</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Convertible preferred stock, Series 3, par value $0.01; authorized and issued, 1,670,000 shares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16,700</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16,700</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16,700</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Convertible preferred stock, Series 4; issued and outstanding,</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Convertible preferred stock, Series 5; issued, 1 share</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Common stock, par value $0.01; authorized, 90,000,000 shares; issued 46,973,585 shares</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469,736</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469,736</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469,736</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Additional paid-in capital</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20,497,769</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20,497,769</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20,497,769</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Accumulated deficit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(20,713,994)</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(20,718,292)</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(20,787,492)</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Less treasury stock, at cost</w:t>
            </w: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c>
          <w:tcPr>
            <w:tcW w:w="0" w:type="auto"/>
            <w:shd w:val="clear" w:color="auto" w:fill="FFFFFF"/>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1,670,000 shares of convertible preferred   stock, Series 3</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(7,284)</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(7,284)</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(7,284)</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sz w:val="18"/>
                <w:szCs w:val="18"/>
              </w:rPr>
              <w:t>      1,120,000 shares of common stock</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CCFFCC"/>
            <w:vAlign w:val="bottom"/>
            <w:hideMark/>
          </w:tcPr>
          <w:p w:rsidR="00C25ECF" w:rsidRPr="001D5D0B" w:rsidRDefault="003A781F">
            <w:pPr>
              <w:rPr>
                <w:rFonts w:eastAsia="Times New Roman"/>
                <w:sz w:val="18"/>
                <w:szCs w:val="18"/>
              </w:rPr>
            </w:pPr>
            <w:r w:rsidRPr="001D5D0B">
              <w:rPr>
                <w:rFonts w:eastAsia="Times New Roman"/>
                <w:sz w:val="18"/>
                <w:szCs w:val="18"/>
              </w:rPr>
              <w:t>     </w:t>
            </w: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c>
          <w:tcPr>
            <w:tcW w:w="0" w:type="auto"/>
            <w:shd w:val="clear" w:color="auto" w:fill="CCFFCC"/>
            <w:vAlign w:val="bottom"/>
            <w:hideMark/>
          </w:tcPr>
          <w:p w:rsidR="00C25ECF" w:rsidRPr="001D5D0B" w:rsidRDefault="00C25ECF">
            <w:pPr>
              <w:jc w:val="right"/>
              <w:rPr>
                <w:rFonts w:eastAsia="Times New Roman"/>
                <w:sz w:val="18"/>
                <w:szCs w:val="18"/>
              </w:rPr>
            </w:pP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b/>
                <w:bCs/>
                <w:sz w:val="18"/>
                <w:szCs w:val="18"/>
              </w:rPr>
              <w:t>  TOTAL SHAREHOLDERS EQUITY</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262,978</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258,679</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191,173</w:t>
            </w:r>
          </w:p>
        </w:tc>
      </w:tr>
      <w:tr w:rsidR="00C25ECF" w:rsidRPr="001D5D0B">
        <w:trPr>
          <w:divId w:val="997346738"/>
          <w:tblCellSpacing w:w="0" w:type="dxa"/>
        </w:trPr>
        <w:tc>
          <w:tcPr>
            <w:tcW w:w="0" w:type="auto"/>
            <w:shd w:val="clear" w:color="auto" w:fill="CCFFCC"/>
            <w:vAlign w:val="bottom"/>
            <w:hideMark/>
          </w:tcPr>
          <w:p w:rsidR="00C25ECF" w:rsidRPr="001D5D0B" w:rsidRDefault="00C25ECF">
            <w:pPr>
              <w:rPr>
                <w:rFonts w:eastAsia="Times New Roman"/>
                <w:sz w:val="18"/>
                <w:szCs w:val="18"/>
              </w:rPr>
            </w:pP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shd w:val="clear" w:color="auto" w:fill="FFFFFF"/>
            <w:vAlign w:val="bottom"/>
            <w:hideMark/>
          </w:tcPr>
          <w:p w:rsidR="00C25ECF" w:rsidRPr="001D5D0B" w:rsidRDefault="003A781F">
            <w:pPr>
              <w:rPr>
                <w:rFonts w:eastAsia="Times New Roman"/>
                <w:sz w:val="18"/>
                <w:szCs w:val="18"/>
              </w:rPr>
            </w:pPr>
            <w:r w:rsidRPr="001D5D0B">
              <w:rPr>
                <w:rFonts w:eastAsia="Times New Roman"/>
                <w:b/>
                <w:bCs/>
                <w:sz w:val="18"/>
                <w:szCs w:val="18"/>
              </w:rPr>
              <w:t>  TOTAL LIABILITIES AND SHAREHOLDERS EQUITY</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  655,624</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   654,598</w:t>
            </w:r>
          </w:p>
        </w:tc>
        <w:tc>
          <w:tcPr>
            <w:tcW w:w="0" w:type="auto"/>
            <w:shd w:val="clear" w:color="auto" w:fill="FFFFFF"/>
            <w:vAlign w:val="bottom"/>
            <w:hideMark/>
          </w:tcPr>
          <w:p w:rsidR="00C25ECF" w:rsidRPr="001D5D0B" w:rsidRDefault="003A781F">
            <w:pPr>
              <w:jc w:val="right"/>
              <w:rPr>
                <w:rFonts w:eastAsia="Times New Roman"/>
                <w:sz w:val="18"/>
                <w:szCs w:val="18"/>
              </w:rPr>
            </w:pPr>
            <w:r w:rsidRPr="001D5D0B">
              <w:rPr>
                <w:rFonts w:eastAsia="Times New Roman"/>
                <w:b/>
                <w:bCs/>
                <w:sz w:val="18"/>
                <w:szCs w:val="18"/>
              </w:rPr>
              <w:t>$   546,120</w:t>
            </w:r>
          </w:p>
        </w:tc>
      </w:tr>
      <w:tr w:rsidR="00C25ECF" w:rsidRPr="001D5D0B">
        <w:trPr>
          <w:divId w:val="997346738"/>
          <w:tblCellSpacing w:w="0" w:type="dxa"/>
        </w:trPr>
        <w:tc>
          <w:tcPr>
            <w:tcW w:w="0" w:type="auto"/>
            <w:shd w:val="clear" w:color="auto" w:fill="CCFFCC"/>
            <w:vAlign w:val="bottom"/>
            <w:hideMark/>
          </w:tcPr>
          <w:p w:rsidR="00C25ECF" w:rsidRPr="001D5D0B" w:rsidRDefault="00C25ECF">
            <w:pPr>
              <w:rPr>
                <w:rFonts w:eastAsia="Times New Roman"/>
                <w:sz w:val="18"/>
                <w:szCs w:val="18"/>
              </w:rPr>
            </w:pP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c>
          <w:tcPr>
            <w:tcW w:w="0" w:type="auto"/>
            <w:shd w:val="clear" w:color="auto" w:fill="CCFFCC"/>
            <w:vAlign w:val="bottom"/>
            <w:hideMark/>
          </w:tcPr>
          <w:p w:rsidR="00C25ECF" w:rsidRPr="001D5D0B" w:rsidRDefault="003A781F">
            <w:pPr>
              <w:jc w:val="right"/>
              <w:rPr>
                <w:rFonts w:eastAsia="Times New Roman"/>
                <w:sz w:val="18"/>
                <w:szCs w:val="18"/>
              </w:rPr>
            </w:pPr>
            <w:r w:rsidRPr="001D5D0B">
              <w:rPr>
                <w:rFonts w:eastAsia="Times New Roman"/>
                <w:sz w:val="18"/>
                <w:szCs w:val="18"/>
              </w:rPr>
              <w:t>============</w:t>
            </w:r>
          </w:p>
        </w:tc>
      </w:tr>
      <w:tr w:rsidR="00C25ECF" w:rsidRPr="001D5D0B">
        <w:trPr>
          <w:divId w:val="997346738"/>
          <w:tblCellSpacing w:w="0" w:type="dxa"/>
        </w:trPr>
        <w:tc>
          <w:tcPr>
            <w:tcW w:w="0" w:type="auto"/>
            <w:gridSpan w:val="4"/>
            <w:shd w:val="clear" w:color="auto" w:fill="FFFFFF"/>
            <w:vAlign w:val="bottom"/>
            <w:hideMark/>
          </w:tcPr>
          <w:p w:rsidR="00C25ECF" w:rsidRPr="001D5D0B" w:rsidRDefault="003A781F">
            <w:pPr>
              <w:jc w:val="center"/>
              <w:rPr>
                <w:rFonts w:eastAsia="Times New Roman"/>
                <w:sz w:val="18"/>
                <w:szCs w:val="18"/>
              </w:rPr>
            </w:pPr>
            <w:r w:rsidRPr="001D5D0B">
              <w:rPr>
                <w:rFonts w:eastAsia="Times New Roman"/>
                <w:b/>
                <w:bCs/>
                <w:sz w:val="18"/>
                <w:szCs w:val="18"/>
              </w:rPr>
              <w:t>See accompanying notes to financial statements.</w:t>
            </w:r>
          </w:p>
        </w:tc>
      </w:tr>
    </w:tbl>
    <w:p w:rsidR="00C25ECF" w:rsidRDefault="00620510">
      <w:pPr>
        <w:pStyle w:val="NormalWeb"/>
        <w:divId w:val="997346738"/>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33" style="width:0;height:3pt" o:hralign="center" o:hrstd="t" o:hrnoshade="t" o:hr="t" fillcolor="black" stroked="f"/>
        </w:pict>
      </w:r>
    </w:p>
    <w:p w:rsidR="00C25ECF" w:rsidRDefault="003A781F">
      <w:pPr>
        <w:rPr>
          <w:rFonts w:eastAsia="Times New Roman"/>
        </w:rPr>
      </w:pPr>
      <w:r>
        <w:rPr>
          <w:rFonts w:eastAsia="Times New Roman"/>
        </w:rPr>
        <w:lastRenderedPageBreak/>
        <w:t xml:space="preserve">  </w:t>
      </w:r>
    </w:p>
    <w:tbl>
      <w:tblPr>
        <w:tblW w:w="4500" w:type="pct"/>
        <w:tblCellSpacing w:w="15" w:type="dxa"/>
        <w:tblCellMar>
          <w:left w:w="0" w:type="dxa"/>
          <w:right w:w="0" w:type="dxa"/>
        </w:tblCellMar>
        <w:tblLook w:val="04A0"/>
      </w:tblPr>
      <w:tblGrid>
        <w:gridCol w:w="7215"/>
        <w:gridCol w:w="1064"/>
        <w:gridCol w:w="1064"/>
        <w:gridCol w:w="1079"/>
      </w:tblGrid>
      <w:tr w:rsidR="00C25ECF">
        <w:trPr>
          <w:tblCellSpacing w:w="15" w:type="dxa"/>
        </w:trPr>
        <w:tc>
          <w:tcPr>
            <w:tcW w:w="0" w:type="auto"/>
            <w:gridSpan w:val="3"/>
            <w:shd w:val="clear" w:color="auto" w:fill="CCFFCC"/>
            <w:hideMark/>
          </w:tcPr>
          <w:p w:rsidR="00C25ECF" w:rsidRDefault="003A781F">
            <w:pPr>
              <w:pStyle w:val="NormalWeb"/>
              <w:jc w:val="center"/>
            </w:pPr>
            <w:r>
              <w:rPr>
                <w:b/>
                <w:bCs/>
                <w:sz w:val="20"/>
                <w:szCs w:val="20"/>
              </w:rPr>
              <w:t>ADVANCED OXYGEN TECHNOLOGIES, INC.</w:t>
            </w:r>
          </w:p>
        </w:tc>
        <w:tc>
          <w:tcPr>
            <w:tcW w:w="0" w:type="auto"/>
            <w:shd w:val="clear" w:color="auto" w:fill="CCFFCC"/>
            <w:hideMark/>
          </w:tcPr>
          <w:p w:rsidR="00C25ECF" w:rsidRDefault="00C25ECF">
            <w:pPr>
              <w:rPr>
                <w:rFonts w:eastAsia="Times New Roman"/>
              </w:rPr>
            </w:pPr>
          </w:p>
        </w:tc>
      </w:tr>
      <w:tr w:rsidR="00C25ECF">
        <w:trPr>
          <w:tblCellSpacing w:w="15" w:type="dxa"/>
        </w:trPr>
        <w:tc>
          <w:tcPr>
            <w:tcW w:w="0" w:type="auto"/>
            <w:gridSpan w:val="3"/>
            <w:shd w:val="clear" w:color="auto" w:fill="FFFFFF"/>
            <w:hideMark/>
          </w:tcPr>
          <w:p w:rsidR="00C25ECF" w:rsidRDefault="003A781F">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C25ECF" w:rsidRDefault="00C25ECF">
            <w:pPr>
              <w:rPr>
                <w:rFonts w:eastAsia="Times New Roman"/>
              </w:rPr>
            </w:pPr>
          </w:p>
        </w:tc>
      </w:tr>
      <w:tr w:rsidR="00C25ECF">
        <w:trPr>
          <w:tblCellSpacing w:w="15" w:type="dxa"/>
        </w:trPr>
        <w:tc>
          <w:tcPr>
            <w:tcW w:w="3500" w:type="pct"/>
            <w:shd w:val="clear" w:color="auto" w:fill="CCFFCC"/>
            <w:hideMark/>
          </w:tcPr>
          <w:p w:rsidR="00C25ECF" w:rsidRDefault="00C25ECF">
            <w:pPr>
              <w:rPr>
                <w:rFonts w:eastAsia="Times New Roman"/>
              </w:rPr>
            </w:pPr>
          </w:p>
        </w:tc>
        <w:tc>
          <w:tcPr>
            <w:tcW w:w="0" w:type="auto"/>
            <w:gridSpan w:val="2"/>
            <w:shd w:val="clear" w:color="auto" w:fill="CCFFCC"/>
            <w:hideMark/>
          </w:tcPr>
          <w:p w:rsidR="00C25ECF" w:rsidRDefault="00C25ECF">
            <w:pPr>
              <w:rPr>
                <w:rFonts w:eastAsia="Times New Roman"/>
              </w:rPr>
            </w:pPr>
          </w:p>
        </w:tc>
        <w:tc>
          <w:tcPr>
            <w:tcW w:w="0" w:type="auto"/>
            <w:shd w:val="clear" w:color="auto" w:fill="CCFFCC"/>
            <w:hideMark/>
          </w:tcPr>
          <w:p w:rsidR="00C25ECF" w:rsidRDefault="00C25ECF">
            <w:pPr>
              <w:rPr>
                <w:rFonts w:eastAsia="Times New Roman"/>
              </w:rPr>
            </w:pPr>
          </w:p>
        </w:tc>
      </w:tr>
      <w:tr w:rsidR="00C25ECF">
        <w:trPr>
          <w:tblCellSpacing w:w="15" w:type="dxa"/>
        </w:trPr>
        <w:tc>
          <w:tcPr>
            <w:tcW w:w="0" w:type="auto"/>
            <w:shd w:val="clear" w:color="auto" w:fill="FFFFFF"/>
            <w:hideMark/>
          </w:tcPr>
          <w:p w:rsidR="00C25ECF" w:rsidRDefault="00C25ECF">
            <w:pPr>
              <w:rPr>
                <w:rFonts w:eastAsia="Times New Roman"/>
              </w:rPr>
            </w:pPr>
          </w:p>
        </w:tc>
        <w:tc>
          <w:tcPr>
            <w:tcW w:w="0" w:type="auto"/>
            <w:gridSpan w:val="2"/>
            <w:shd w:val="clear" w:color="auto" w:fill="FFFFFF"/>
            <w:hideMark/>
          </w:tcPr>
          <w:p w:rsidR="00C25ECF" w:rsidRDefault="003A781F">
            <w:pPr>
              <w:pStyle w:val="NormalWeb"/>
              <w:jc w:val="center"/>
            </w:pPr>
            <w:r>
              <w:rPr>
                <w:sz w:val="20"/>
                <w:szCs w:val="20"/>
              </w:rPr>
              <w:t>3 Month Period Ending</w:t>
            </w:r>
            <w:r>
              <w:rPr>
                <w:sz w:val="20"/>
                <w:szCs w:val="20"/>
              </w:rPr>
              <w:br/>
              <w:t>September 30,</w:t>
            </w:r>
          </w:p>
        </w:tc>
        <w:tc>
          <w:tcPr>
            <w:tcW w:w="0" w:type="auto"/>
            <w:shd w:val="clear" w:color="auto" w:fill="FFFFFF"/>
            <w:hideMark/>
          </w:tcPr>
          <w:p w:rsidR="00C25ECF" w:rsidRDefault="003A781F">
            <w:pPr>
              <w:pStyle w:val="NormalWeb"/>
              <w:jc w:val="center"/>
            </w:pPr>
            <w:r>
              <w:rPr>
                <w:sz w:val="20"/>
                <w:szCs w:val="20"/>
              </w:rPr>
              <w:t>12 Month Period Ending</w:t>
            </w:r>
            <w:r>
              <w:rPr>
                <w:sz w:val="20"/>
                <w:szCs w:val="20"/>
              </w:rPr>
              <w:br/>
              <w:t>June 30,</w:t>
            </w:r>
          </w:p>
        </w:tc>
      </w:tr>
      <w:tr w:rsidR="00C25ECF">
        <w:trPr>
          <w:tblCellSpacing w:w="15" w:type="dxa"/>
        </w:trPr>
        <w:tc>
          <w:tcPr>
            <w:tcW w:w="0" w:type="auto"/>
            <w:shd w:val="clear" w:color="auto" w:fill="CCFFCC"/>
            <w:hideMark/>
          </w:tcPr>
          <w:p w:rsidR="00C25ECF" w:rsidRDefault="00C25ECF">
            <w:pPr>
              <w:rPr>
                <w:rFonts w:eastAsia="Times New Roman"/>
              </w:rPr>
            </w:pPr>
          </w:p>
        </w:tc>
        <w:tc>
          <w:tcPr>
            <w:tcW w:w="0" w:type="auto"/>
            <w:gridSpan w:val="2"/>
            <w:shd w:val="clear" w:color="auto" w:fill="CCFFCC"/>
            <w:hideMark/>
          </w:tcPr>
          <w:p w:rsidR="00C25ECF" w:rsidRDefault="003A781F">
            <w:pPr>
              <w:pStyle w:val="NormalWeb"/>
              <w:jc w:val="center"/>
            </w:pPr>
            <w:r>
              <w:rPr>
                <w:b/>
                <w:bCs/>
                <w:sz w:val="20"/>
                <w:szCs w:val="20"/>
              </w:rPr>
              <w:t>(Unaudited)</w:t>
            </w:r>
          </w:p>
        </w:tc>
        <w:tc>
          <w:tcPr>
            <w:tcW w:w="0" w:type="auto"/>
            <w:shd w:val="clear" w:color="auto" w:fill="CCFFCC"/>
            <w:hideMark/>
          </w:tcPr>
          <w:p w:rsidR="00C25ECF" w:rsidRDefault="003A781F">
            <w:pPr>
              <w:pStyle w:val="NormalWeb"/>
              <w:jc w:val="center"/>
            </w:pPr>
            <w:r>
              <w:rPr>
                <w:b/>
                <w:bCs/>
                <w:sz w:val="20"/>
                <w:szCs w:val="20"/>
              </w:rPr>
              <w:t>(Audited)</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 </w:t>
            </w:r>
          </w:p>
        </w:tc>
        <w:tc>
          <w:tcPr>
            <w:tcW w:w="0" w:type="auto"/>
            <w:shd w:val="clear" w:color="auto" w:fill="FFFFFF"/>
            <w:hideMark/>
          </w:tcPr>
          <w:p w:rsidR="00C25ECF" w:rsidRDefault="003A781F">
            <w:pPr>
              <w:pStyle w:val="NormalWeb"/>
              <w:jc w:val="right"/>
            </w:pPr>
            <w:r>
              <w:rPr>
                <w:b/>
                <w:bCs/>
                <w:sz w:val="20"/>
                <w:szCs w:val="20"/>
              </w:rPr>
              <w:t>2011</w:t>
            </w:r>
          </w:p>
        </w:tc>
        <w:tc>
          <w:tcPr>
            <w:tcW w:w="0" w:type="auto"/>
            <w:shd w:val="clear" w:color="auto" w:fill="FFFFFF"/>
            <w:hideMark/>
          </w:tcPr>
          <w:p w:rsidR="00C25ECF" w:rsidRDefault="003A781F">
            <w:pPr>
              <w:pStyle w:val="NormalWeb"/>
              <w:jc w:val="right"/>
            </w:pPr>
            <w:r>
              <w:rPr>
                <w:b/>
                <w:bCs/>
                <w:sz w:val="20"/>
                <w:szCs w:val="20"/>
              </w:rPr>
              <w:t>2010</w:t>
            </w:r>
          </w:p>
        </w:tc>
        <w:tc>
          <w:tcPr>
            <w:tcW w:w="0" w:type="auto"/>
            <w:shd w:val="clear" w:color="auto" w:fill="FFFFFF"/>
            <w:hideMark/>
          </w:tcPr>
          <w:p w:rsidR="00C25ECF" w:rsidRDefault="003A781F">
            <w:pPr>
              <w:pStyle w:val="NormalWeb"/>
              <w:jc w:val="right"/>
            </w:pPr>
            <w:r>
              <w:rPr>
                <w:b/>
                <w:bCs/>
                <w:sz w:val="20"/>
                <w:szCs w:val="20"/>
              </w:rPr>
              <w:t>2011</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Revenues</w:t>
            </w: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Real Estate Rental Income, subsidiary</w:t>
            </w:r>
          </w:p>
        </w:tc>
        <w:tc>
          <w:tcPr>
            <w:tcW w:w="0" w:type="auto"/>
            <w:shd w:val="clear" w:color="auto" w:fill="FFFFFF"/>
            <w:hideMark/>
          </w:tcPr>
          <w:p w:rsidR="00C25ECF" w:rsidRDefault="003A781F">
            <w:pPr>
              <w:jc w:val="right"/>
              <w:rPr>
                <w:rFonts w:eastAsia="Times New Roman"/>
              </w:rPr>
            </w:pPr>
            <w:r>
              <w:rPr>
                <w:rFonts w:eastAsia="Times New Roman"/>
                <w:sz w:val="20"/>
                <w:szCs w:val="20"/>
              </w:rPr>
              <w:t>10,561</w:t>
            </w:r>
          </w:p>
        </w:tc>
        <w:tc>
          <w:tcPr>
            <w:tcW w:w="0" w:type="auto"/>
            <w:shd w:val="clear" w:color="auto" w:fill="FFFFFF"/>
            <w:hideMark/>
          </w:tcPr>
          <w:p w:rsidR="00C25ECF" w:rsidRDefault="003A781F">
            <w:pPr>
              <w:jc w:val="right"/>
              <w:rPr>
                <w:rFonts w:eastAsia="Times New Roman"/>
              </w:rPr>
            </w:pPr>
            <w:r>
              <w:rPr>
                <w:rFonts w:eastAsia="Times New Roman"/>
                <w:sz w:val="20"/>
                <w:szCs w:val="20"/>
              </w:rPr>
              <w:t>10,114</w:t>
            </w:r>
          </w:p>
        </w:tc>
        <w:tc>
          <w:tcPr>
            <w:tcW w:w="0" w:type="auto"/>
            <w:shd w:val="clear" w:color="auto" w:fill="FFFFFF"/>
            <w:hideMark/>
          </w:tcPr>
          <w:p w:rsidR="00C25ECF" w:rsidRDefault="003A781F">
            <w:pPr>
              <w:jc w:val="right"/>
              <w:rPr>
                <w:rFonts w:eastAsia="Times New Roman"/>
              </w:rPr>
            </w:pPr>
            <w:r>
              <w:rPr>
                <w:rFonts w:eastAsia="Times New Roman"/>
                <w:sz w:val="20"/>
                <w:szCs w:val="20"/>
              </w:rPr>
              <w:t>41,923</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Total Revenues</w:t>
            </w:r>
          </w:p>
        </w:tc>
        <w:tc>
          <w:tcPr>
            <w:tcW w:w="0" w:type="auto"/>
            <w:shd w:val="clear" w:color="auto" w:fill="CCFFCC"/>
            <w:hideMark/>
          </w:tcPr>
          <w:p w:rsidR="00C25ECF" w:rsidRDefault="003A781F">
            <w:pPr>
              <w:jc w:val="right"/>
              <w:rPr>
                <w:rFonts w:eastAsia="Times New Roman"/>
              </w:rPr>
            </w:pPr>
            <w:r>
              <w:rPr>
                <w:rFonts w:eastAsia="Times New Roman"/>
                <w:sz w:val="20"/>
                <w:szCs w:val="20"/>
              </w:rPr>
              <w:t>10,561</w:t>
            </w:r>
          </w:p>
        </w:tc>
        <w:tc>
          <w:tcPr>
            <w:tcW w:w="0" w:type="auto"/>
            <w:shd w:val="clear" w:color="auto" w:fill="CCFFCC"/>
            <w:hideMark/>
          </w:tcPr>
          <w:p w:rsidR="00C25ECF" w:rsidRDefault="003A781F">
            <w:pPr>
              <w:jc w:val="right"/>
              <w:rPr>
                <w:rFonts w:eastAsia="Times New Roman"/>
              </w:rPr>
            </w:pPr>
            <w:r>
              <w:rPr>
                <w:rFonts w:eastAsia="Times New Roman"/>
                <w:sz w:val="20"/>
                <w:szCs w:val="20"/>
              </w:rPr>
              <w:t>10,114</w:t>
            </w:r>
          </w:p>
        </w:tc>
        <w:tc>
          <w:tcPr>
            <w:tcW w:w="0" w:type="auto"/>
            <w:shd w:val="clear" w:color="auto" w:fill="CCFFCC"/>
            <w:hideMark/>
          </w:tcPr>
          <w:p w:rsidR="00C25ECF" w:rsidRDefault="003A781F">
            <w:pPr>
              <w:jc w:val="right"/>
              <w:rPr>
                <w:rFonts w:eastAsia="Times New Roman"/>
              </w:rPr>
            </w:pPr>
            <w:r>
              <w:rPr>
                <w:rFonts w:eastAsia="Times New Roman"/>
                <w:sz w:val="20"/>
                <w:szCs w:val="20"/>
              </w:rPr>
              <w:t>41,923</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 </w:t>
            </w:r>
          </w:p>
        </w:tc>
        <w:tc>
          <w:tcPr>
            <w:tcW w:w="0" w:type="auto"/>
            <w:shd w:val="clear" w:color="auto" w:fill="FFFFFF"/>
            <w:hideMark/>
          </w:tcPr>
          <w:p w:rsidR="00C25ECF" w:rsidRDefault="00C25ECF">
            <w:pPr>
              <w:jc w:val="right"/>
              <w:rPr>
                <w:rFonts w:eastAsia="Times New Roman"/>
              </w:rPr>
            </w:pPr>
          </w:p>
        </w:tc>
        <w:tc>
          <w:tcPr>
            <w:tcW w:w="0" w:type="auto"/>
            <w:shd w:val="clear" w:color="auto" w:fill="FFFFFF"/>
            <w:hideMark/>
          </w:tcPr>
          <w:p w:rsidR="00C25ECF" w:rsidRDefault="00C25ECF">
            <w:pPr>
              <w:jc w:val="right"/>
              <w:rPr>
                <w:rFonts w:eastAsia="Times New Roman"/>
              </w:rPr>
            </w:pPr>
          </w:p>
        </w:tc>
        <w:tc>
          <w:tcPr>
            <w:tcW w:w="0" w:type="auto"/>
            <w:shd w:val="clear" w:color="auto" w:fill="FFFFFF"/>
            <w:hideMark/>
          </w:tcPr>
          <w:p w:rsidR="00C25ECF" w:rsidRDefault="00C25ECF">
            <w:pPr>
              <w:jc w:val="right"/>
              <w:rPr>
                <w:rFonts w:eastAsia="Times New Roman"/>
              </w:rPr>
            </w:pP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Cost of Sales</w:t>
            </w: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Cost of Sales, subsidiary</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 </w:t>
            </w:r>
          </w:p>
        </w:tc>
        <w:tc>
          <w:tcPr>
            <w:tcW w:w="0" w:type="auto"/>
            <w:shd w:val="clear" w:color="auto" w:fill="CCFFCC"/>
            <w:hideMark/>
          </w:tcPr>
          <w:p w:rsidR="00C25ECF" w:rsidRDefault="003A781F">
            <w:pPr>
              <w:jc w:val="right"/>
              <w:rPr>
                <w:rFonts w:eastAsia="Times New Roman"/>
              </w:rPr>
            </w:pPr>
            <w:r>
              <w:rPr>
                <w:rFonts w:eastAsia="Times New Roman"/>
                <w:sz w:val="20"/>
                <w:szCs w:val="20"/>
              </w:rPr>
              <w:t>========</w:t>
            </w:r>
          </w:p>
        </w:tc>
        <w:tc>
          <w:tcPr>
            <w:tcW w:w="0" w:type="auto"/>
            <w:shd w:val="clear" w:color="auto" w:fill="CCFFCC"/>
            <w:hideMark/>
          </w:tcPr>
          <w:p w:rsidR="00C25ECF" w:rsidRDefault="003A781F">
            <w:pPr>
              <w:jc w:val="right"/>
              <w:rPr>
                <w:rFonts w:eastAsia="Times New Roman"/>
              </w:rPr>
            </w:pPr>
            <w:r>
              <w:rPr>
                <w:rFonts w:eastAsia="Times New Roman"/>
                <w:sz w:val="20"/>
                <w:szCs w:val="20"/>
              </w:rPr>
              <w:t>========</w:t>
            </w:r>
          </w:p>
        </w:tc>
        <w:tc>
          <w:tcPr>
            <w:tcW w:w="0" w:type="auto"/>
            <w:shd w:val="clear" w:color="auto" w:fill="CCFFCC"/>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Gross Profit</w:t>
            </w:r>
          </w:p>
        </w:tc>
        <w:tc>
          <w:tcPr>
            <w:tcW w:w="0" w:type="auto"/>
            <w:shd w:val="clear" w:color="auto" w:fill="FFFFFF"/>
            <w:hideMark/>
          </w:tcPr>
          <w:p w:rsidR="00C25ECF" w:rsidRDefault="003A781F">
            <w:pPr>
              <w:jc w:val="right"/>
              <w:rPr>
                <w:rFonts w:eastAsia="Times New Roman"/>
              </w:rPr>
            </w:pPr>
            <w:r>
              <w:rPr>
                <w:rFonts w:eastAsia="Times New Roman"/>
                <w:sz w:val="20"/>
                <w:szCs w:val="20"/>
              </w:rPr>
              <w:t>10,561</w:t>
            </w:r>
          </w:p>
        </w:tc>
        <w:tc>
          <w:tcPr>
            <w:tcW w:w="0" w:type="auto"/>
            <w:shd w:val="clear" w:color="auto" w:fill="FFFFFF"/>
            <w:hideMark/>
          </w:tcPr>
          <w:p w:rsidR="00C25ECF" w:rsidRDefault="003A781F">
            <w:pPr>
              <w:jc w:val="right"/>
              <w:rPr>
                <w:rFonts w:eastAsia="Times New Roman"/>
              </w:rPr>
            </w:pPr>
            <w:r>
              <w:rPr>
                <w:rFonts w:eastAsia="Times New Roman"/>
                <w:sz w:val="20"/>
                <w:szCs w:val="20"/>
              </w:rPr>
              <w:t>10,114</w:t>
            </w:r>
          </w:p>
        </w:tc>
        <w:tc>
          <w:tcPr>
            <w:tcW w:w="0" w:type="auto"/>
            <w:shd w:val="clear" w:color="auto" w:fill="FFFFFF"/>
            <w:hideMark/>
          </w:tcPr>
          <w:p w:rsidR="00C25ECF" w:rsidRDefault="003A781F">
            <w:pPr>
              <w:jc w:val="right"/>
              <w:rPr>
                <w:rFonts w:eastAsia="Times New Roman"/>
              </w:rPr>
            </w:pPr>
            <w:r>
              <w:rPr>
                <w:rFonts w:eastAsia="Times New Roman"/>
                <w:sz w:val="20"/>
                <w:szCs w:val="20"/>
              </w:rPr>
              <w:t>41,923</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 </w:t>
            </w: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Expenses</w:t>
            </w:r>
          </w:p>
        </w:tc>
        <w:tc>
          <w:tcPr>
            <w:tcW w:w="0" w:type="auto"/>
            <w:shd w:val="clear" w:color="auto" w:fill="FFFFFF"/>
            <w:hideMark/>
          </w:tcPr>
          <w:p w:rsidR="00C25ECF" w:rsidRDefault="00C25ECF">
            <w:pPr>
              <w:jc w:val="right"/>
              <w:rPr>
                <w:rFonts w:eastAsia="Times New Roman"/>
              </w:rPr>
            </w:pPr>
          </w:p>
        </w:tc>
        <w:tc>
          <w:tcPr>
            <w:tcW w:w="0" w:type="auto"/>
            <w:shd w:val="clear" w:color="auto" w:fill="FFFFFF"/>
            <w:hideMark/>
          </w:tcPr>
          <w:p w:rsidR="00C25ECF" w:rsidRDefault="00C25ECF">
            <w:pPr>
              <w:jc w:val="right"/>
              <w:rPr>
                <w:rFonts w:eastAsia="Times New Roman"/>
              </w:rPr>
            </w:pPr>
          </w:p>
        </w:tc>
        <w:tc>
          <w:tcPr>
            <w:tcW w:w="0" w:type="auto"/>
            <w:shd w:val="clear" w:color="auto" w:fill="FFFFFF"/>
            <w:hideMark/>
          </w:tcPr>
          <w:p w:rsidR="00C25ECF" w:rsidRDefault="00C25ECF">
            <w:pPr>
              <w:jc w:val="right"/>
              <w:rPr>
                <w:rFonts w:eastAsia="Times New Roman"/>
              </w:rPr>
            </w:pP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Accounting Expense</w:t>
            </w:r>
          </w:p>
        </w:tc>
        <w:tc>
          <w:tcPr>
            <w:tcW w:w="0" w:type="auto"/>
            <w:shd w:val="clear" w:color="auto" w:fill="CCFFCC"/>
            <w:hideMark/>
          </w:tcPr>
          <w:p w:rsidR="00C25ECF" w:rsidRDefault="003A781F">
            <w:pPr>
              <w:jc w:val="right"/>
              <w:rPr>
                <w:rFonts w:eastAsia="Times New Roman"/>
              </w:rPr>
            </w:pPr>
            <w:r>
              <w:rPr>
                <w:rFonts w:eastAsia="Times New Roman"/>
                <w:sz w:val="20"/>
                <w:szCs w:val="20"/>
              </w:rPr>
              <w:t>-</w:t>
            </w:r>
          </w:p>
        </w:tc>
        <w:tc>
          <w:tcPr>
            <w:tcW w:w="0" w:type="auto"/>
            <w:shd w:val="clear" w:color="auto" w:fill="CCFFCC"/>
            <w:hideMark/>
          </w:tcPr>
          <w:p w:rsidR="00C25ECF" w:rsidRDefault="003A781F">
            <w:pPr>
              <w:jc w:val="right"/>
              <w:rPr>
                <w:rFonts w:eastAsia="Times New Roman"/>
              </w:rPr>
            </w:pPr>
            <w:r>
              <w:rPr>
                <w:rFonts w:eastAsia="Times New Roman"/>
                <w:sz w:val="20"/>
                <w:szCs w:val="20"/>
              </w:rPr>
              <w:t>8,257</w:t>
            </w:r>
          </w:p>
        </w:tc>
        <w:tc>
          <w:tcPr>
            <w:tcW w:w="0" w:type="auto"/>
            <w:shd w:val="clear" w:color="auto" w:fill="CCFFCC"/>
            <w:hideMark/>
          </w:tcPr>
          <w:p w:rsidR="00C25ECF" w:rsidRDefault="003A781F">
            <w:pPr>
              <w:jc w:val="right"/>
              <w:rPr>
                <w:rFonts w:eastAsia="Times New Roman"/>
              </w:rPr>
            </w:pPr>
            <w:r>
              <w:rPr>
                <w:rFonts w:eastAsia="Times New Roman"/>
                <w:sz w:val="20"/>
                <w:szCs w:val="20"/>
              </w:rPr>
              <w:t>6,796</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Interest Expense</w:t>
            </w:r>
          </w:p>
        </w:tc>
        <w:tc>
          <w:tcPr>
            <w:tcW w:w="0" w:type="auto"/>
            <w:shd w:val="clear" w:color="auto" w:fill="FFFFFF"/>
            <w:hideMark/>
          </w:tcPr>
          <w:p w:rsidR="00C25ECF" w:rsidRDefault="003A781F">
            <w:pPr>
              <w:jc w:val="right"/>
              <w:rPr>
                <w:rFonts w:eastAsia="Times New Roman"/>
              </w:rPr>
            </w:pPr>
            <w:r>
              <w:rPr>
                <w:rFonts w:eastAsia="Times New Roman"/>
                <w:sz w:val="20"/>
                <w:szCs w:val="20"/>
              </w:rPr>
              <w:t>1,400</w:t>
            </w:r>
          </w:p>
        </w:tc>
        <w:tc>
          <w:tcPr>
            <w:tcW w:w="0" w:type="auto"/>
            <w:shd w:val="clear" w:color="auto" w:fill="FFFFFF"/>
            <w:hideMark/>
          </w:tcPr>
          <w:p w:rsidR="00C25ECF" w:rsidRDefault="003A781F">
            <w:pPr>
              <w:jc w:val="right"/>
              <w:rPr>
                <w:rFonts w:eastAsia="Times New Roman"/>
              </w:rPr>
            </w:pPr>
            <w:r>
              <w:rPr>
                <w:rFonts w:eastAsia="Times New Roman"/>
                <w:sz w:val="20"/>
                <w:szCs w:val="20"/>
              </w:rPr>
              <w:t>1,508</w:t>
            </w:r>
          </w:p>
        </w:tc>
        <w:tc>
          <w:tcPr>
            <w:tcW w:w="0" w:type="auto"/>
            <w:shd w:val="clear" w:color="auto" w:fill="FFFFFF"/>
            <w:hideMark/>
          </w:tcPr>
          <w:p w:rsidR="00C25ECF" w:rsidRDefault="003A781F">
            <w:pPr>
              <w:jc w:val="right"/>
              <w:rPr>
                <w:rFonts w:eastAsia="Times New Roman"/>
              </w:rPr>
            </w:pPr>
            <w:r>
              <w:rPr>
                <w:rFonts w:eastAsia="Times New Roman"/>
                <w:sz w:val="20"/>
                <w:szCs w:val="20"/>
              </w:rPr>
              <w:t>5,962</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General &amp; Administrative</w:t>
            </w:r>
          </w:p>
        </w:tc>
        <w:tc>
          <w:tcPr>
            <w:tcW w:w="0" w:type="auto"/>
            <w:shd w:val="clear" w:color="auto" w:fill="CCFFCC"/>
            <w:hideMark/>
          </w:tcPr>
          <w:p w:rsidR="00C25ECF" w:rsidRDefault="003A781F">
            <w:pPr>
              <w:jc w:val="right"/>
              <w:rPr>
                <w:rFonts w:eastAsia="Times New Roman"/>
              </w:rPr>
            </w:pPr>
            <w:r>
              <w:rPr>
                <w:rFonts w:eastAsia="Times New Roman"/>
                <w:sz w:val="20"/>
                <w:szCs w:val="20"/>
              </w:rPr>
              <w:t>4,899</w:t>
            </w:r>
          </w:p>
        </w:tc>
        <w:tc>
          <w:tcPr>
            <w:tcW w:w="0" w:type="auto"/>
            <w:shd w:val="clear" w:color="auto" w:fill="CCFFCC"/>
            <w:hideMark/>
          </w:tcPr>
          <w:p w:rsidR="00C25ECF" w:rsidRDefault="003A781F">
            <w:pPr>
              <w:jc w:val="right"/>
              <w:rPr>
                <w:rFonts w:eastAsia="Times New Roman"/>
              </w:rPr>
            </w:pPr>
            <w:r>
              <w:rPr>
                <w:rFonts w:eastAsia="Times New Roman"/>
                <w:sz w:val="20"/>
                <w:szCs w:val="20"/>
              </w:rPr>
              <w:t>1,940</w:t>
            </w:r>
          </w:p>
        </w:tc>
        <w:tc>
          <w:tcPr>
            <w:tcW w:w="0" w:type="auto"/>
            <w:shd w:val="clear" w:color="auto" w:fill="CCFFCC"/>
            <w:hideMark/>
          </w:tcPr>
          <w:p w:rsidR="00C25ECF" w:rsidRDefault="003A781F">
            <w:pPr>
              <w:jc w:val="right"/>
              <w:rPr>
                <w:rFonts w:eastAsia="Times New Roman"/>
              </w:rPr>
            </w:pPr>
            <w:r>
              <w:rPr>
                <w:rFonts w:eastAsia="Times New Roman"/>
                <w:sz w:val="20"/>
                <w:szCs w:val="20"/>
              </w:rPr>
              <w:t>20,741</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Taxes</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81,003</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Transfer Agent Expenses</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2,100</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Total Expenses</w:t>
            </w:r>
          </w:p>
        </w:tc>
        <w:tc>
          <w:tcPr>
            <w:tcW w:w="0" w:type="auto"/>
            <w:shd w:val="clear" w:color="auto" w:fill="FFFFFF"/>
            <w:hideMark/>
          </w:tcPr>
          <w:p w:rsidR="00C25ECF" w:rsidRDefault="003A781F">
            <w:pPr>
              <w:jc w:val="right"/>
              <w:rPr>
                <w:rFonts w:eastAsia="Times New Roman"/>
              </w:rPr>
            </w:pPr>
            <w:r>
              <w:rPr>
                <w:rFonts w:eastAsia="Times New Roman"/>
                <w:sz w:val="20"/>
                <w:szCs w:val="20"/>
              </w:rPr>
              <w:t>6,299</w:t>
            </w:r>
          </w:p>
        </w:tc>
        <w:tc>
          <w:tcPr>
            <w:tcW w:w="0" w:type="auto"/>
            <w:shd w:val="clear" w:color="auto" w:fill="FFFFFF"/>
            <w:hideMark/>
          </w:tcPr>
          <w:p w:rsidR="00C25ECF" w:rsidRDefault="003A781F">
            <w:pPr>
              <w:jc w:val="right"/>
              <w:rPr>
                <w:rFonts w:eastAsia="Times New Roman"/>
              </w:rPr>
            </w:pPr>
            <w:r>
              <w:rPr>
                <w:rFonts w:eastAsia="Times New Roman"/>
                <w:sz w:val="20"/>
                <w:szCs w:val="20"/>
              </w:rPr>
              <w:t>11,705</w:t>
            </w:r>
          </w:p>
        </w:tc>
        <w:tc>
          <w:tcPr>
            <w:tcW w:w="0" w:type="auto"/>
            <w:shd w:val="clear" w:color="auto" w:fill="FFFFFF"/>
            <w:hideMark/>
          </w:tcPr>
          <w:p w:rsidR="00C25ECF" w:rsidRDefault="003A781F">
            <w:pPr>
              <w:jc w:val="right"/>
              <w:rPr>
                <w:rFonts w:eastAsia="Times New Roman"/>
              </w:rPr>
            </w:pPr>
            <w:r>
              <w:rPr>
                <w:rFonts w:eastAsia="Times New Roman"/>
                <w:sz w:val="20"/>
                <w:szCs w:val="20"/>
              </w:rPr>
              <w:t>119,670</w:t>
            </w:r>
          </w:p>
        </w:tc>
      </w:tr>
      <w:tr w:rsidR="00C25ECF">
        <w:trPr>
          <w:tblCellSpacing w:w="15" w:type="dxa"/>
        </w:trPr>
        <w:tc>
          <w:tcPr>
            <w:tcW w:w="0" w:type="auto"/>
            <w:shd w:val="clear" w:color="auto" w:fill="CCFFCC"/>
            <w:vAlign w:val="center"/>
            <w:hideMark/>
          </w:tcPr>
          <w:p w:rsidR="00C25ECF" w:rsidRDefault="00C25ECF">
            <w:pPr>
              <w:rPr>
                <w:rFonts w:eastAsia="Times New Roman"/>
              </w:rPr>
            </w:pP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FFFFFF"/>
            <w:vAlign w:val="center"/>
            <w:hideMark/>
          </w:tcPr>
          <w:p w:rsidR="00C25ECF" w:rsidRDefault="003A781F">
            <w:pPr>
              <w:rPr>
                <w:rFonts w:eastAsia="Times New Roman"/>
              </w:rPr>
            </w:pPr>
            <w:r>
              <w:rPr>
                <w:rFonts w:eastAsia="Times New Roman"/>
                <w:b/>
                <w:bCs/>
                <w:sz w:val="20"/>
                <w:szCs w:val="20"/>
              </w:rPr>
              <w:t>Income (loss) from Operations</w:t>
            </w: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4,262</w:t>
            </w: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(1,591)</w:t>
            </w:r>
          </w:p>
        </w:tc>
        <w:tc>
          <w:tcPr>
            <w:tcW w:w="0" w:type="auto"/>
            <w:shd w:val="clear" w:color="auto" w:fill="FFFFFF"/>
            <w:vAlign w:val="center"/>
            <w:hideMark/>
          </w:tcPr>
          <w:p w:rsidR="00C25ECF" w:rsidRDefault="003A781F">
            <w:pPr>
              <w:jc w:val="right"/>
              <w:rPr>
                <w:rFonts w:eastAsia="Times New Roman"/>
              </w:rPr>
            </w:pPr>
            <w:r>
              <w:rPr>
                <w:rFonts w:eastAsia="Times New Roman"/>
                <w:sz w:val="20"/>
                <w:szCs w:val="20"/>
              </w:rPr>
              <w:t>(77,747)</w:t>
            </w:r>
          </w:p>
        </w:tc>
      </w:tr>
      <w:tr w:rsidR="00C25ECF">
        <w:trPr>
          <w:tblCellSpacing w:w="15" w:type="dxa"/>
        </w:trPr>
        <w:tc>
          <w:tcPr>
            <w:tcW w:w="0" w:type="auto"/>
            <w:shd w:val="clear" w:color="auto" w:fill="CCFFCC"/>
            <w:vAlign w:val="center"/>
            <w:hideMark/>
          </w:tcPr>
          <w:p w:rsidR="00C25ECF" w:rsidRDefault="003A781F">
            <w:pPr>
              <w:rPr>
                <w:rFonts w:eastAsia="Times New Roman"/>
              </w:rPr>
            </w:pPr>
            <w:r>
              <w:rPr>
                <w:rFonts w:eastAsia="Times New Roman"/>
                <w:sz w:val="20"/>
                <w:szCs w:val="20"/>
              </w:rPr>
              <w:t> </w:t>
            </w: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C25ECF">
            <w:pPr>
              <w:jc w:val="right"/>
              <w:rPr>
                <w:rFonts w:eastAsia="Times New Roman"/>
              </w:rPr>
            </w:pPr>
          </w:p>
        </w:tc>
        <w:tc>
          <w:tcPr>
            <w:tcW w:w="0" w:type="auto"/>
            <w:shd w:val="clear" w:color="auto" w:fill="CCFFCC"/>
            <w:vAlign w:val="center"/>
            <w:hideMark/>
          </w:tcPr>
          <w:p w:rsidR="00C25ECF" w:rsidRDefault="00C25ECF">
            <w:pPr>
              <w:jc w:val="right"/>
              <w:rPr>
                <w:rFonts w:eastAsia="Times New Roman"/>
              </w:rPr>
            </w:pPr>
          </w:p>
        </w:tc>
      </w:tr>
      <w:tr w:rsidR="00C25ECF">
        <w:trPr>
          <w:tblCellSpacing w:w="15" w:type="dxa"/>
        </w:trPr>
        <w:tc>
          <w:tcPr>
            <w:tcW w:w="0" w:type="auto"/>
            <w:shd w:val="clear" w:color="auto" w:fill="FFFFFF"/>
            <w:vAlign w:val="center"/>
            <w:hideMark/>
          </w:tcPr>
          <w:p w:rsidR="00C25ECF" w:rsidRDefault="003A781F">
            <w:pPr>
              <w:rPr>
                <w:rFonts w:eastAsia="Times New Roman"/>
              </w:rPr>
            </w:pPr>
            <w:r>
              <w:rPr>
                <w:rFonts w:eastAsia="Times New Roman"/>
                <w:sz w:val="20"/>
                <w:szCs w:val="20"/>
              </w:rPr>
              <w:t>Other Income (Expense)</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C25ECF">
            <w:pPr>
              <w:jc w:val="right"/>
              <w:rPr>
                <w:rFonts w:eastAsia="Times New Roman"/>
              </w:rPr>
            </w:pPr>
          </w:p>
        </w:tc>
      </w:tr>
      <w:tr w:rsidR="00C25ECF">
        <w:trPr>
          <w:tblCellSpacing w:w="15" w:type="dxa"/>
        </w:trPr>
        <w:tc>
          <w:tcPr>
            <w:tcW w:w="0" w:type="auto"/>
            <w:shd w:val="clear" w:color="auto" w:fill="CCFFCC"/>
            <w:vAlign w:val="center"/>
            <w:hideMark/>
          </w:tcPr>
          <w:p w:rsidR="00C25ECF" w:rsidRDefault="003A781F">
            <w:pPr>
              <w:rPr>
                <w:rFonts w:eastAsia="Times New Roman"/>
              </w:rPr>
            </w:pPr>
            <w:r>
              <w:rPr>
                <w:rFonts w:eastAsia="Times New Roman"/>
                <w:sz w:val="20"/>
                <w:szCs w:val="20"/>
              </w:rPr>
              <w:t>Interest Income</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36</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9</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58</w:t>
            </w:r>
          </w:p>
        </w:tc>
      </w:tr>
      <w:tr w:rsidR="00C25ECF">
        <w:trPr>
          <w:tblCellSpacing w:w="15" w:type="dxa"/>
        </w:trPr>
        <w:tc>
          <w:tcPr>
            <w:tcW w:w="0" w:type="auto"/>
            <w:shd w:val="clear" w:color="auto" w:fill="CCFFCC"/>
            <w:vAlign w:val="center"/>
            <w:hideMark/>
          </w:tcPr>
          <w:p w:rsidR="00C25ECF" w:rsidRDefault="003A781F">
            <w:pPr>
              <w:rPr>
                <w:rFonts w:eastAsia="Times New Roman"/>
              </w:rPr>
            </w:pPr>
            <w:r>
              <w:rPr>
                <w:rFonts w:eastAsia="Times New Roman"/>
                <w:sz w:val="20"/>
                <w:szCs w:val="20"/>
              </w:rPr>
              <w:t>Foreign Exchange gain (loss) of Land and Buildings</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97,641</w:t>
            </w:r>
          </w:p>
        </w:tc>
      </w:tr>
      <w:tr w:rsidR="00C25ECF">
        <w:trPr>
          <w:tblCellSpacing w:w="15" w:type="dxa"/>
        </w:trPr>
        <w:tc>
          <w:tcPr>
            <w:tcW w:w="0" w:type="auto"/>
            <w:shd w:val="clear" w:color="auto" w:fill="CCFFCC"/>
            <w:vAlign w:val="center"/>
            <w:hideMark/>
          </w:tcPr>
          <w:p w:rsidR="00C25ECF" w:rsidRDefault="003A781F">
            <w:pPr>
              <w:rPr>
                <w:rFonts w:eastAsia="Times New Roman"/>
              </w:rPr>
            </w:pPr>
            <w:r>
              <w:rPr>
                <w:rFonts w:eastAsia="Times New Roman"/>
                <w:sz w:val="20"/>
                <w:szCs w:val="20"/>
              </w:rPr>
              <w:t>Vendor Debt Write Down</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49,249</w:t>
            </w:r>
          </w:p>
        </w:tc>
      </w:tr>
      <w:tr w:rsidR="00C25ECF">
        <w:trPr>
          <w:tblCellSpacing w:w="15" w:type="dxa"/>
        </w:trPr>
        <w:tc>
          <w:tcPr>
            <w:tcW w:w="0" w:type="auto"/>
            <w:shd w:val="clear" w:color="auto" w:fill="CCFFCC"/>
            <w:vAlign w:val="center"/>
            <w:hideMark/>
          </w:tcPr>
          <w:p w:rsidR="00C25ECF" w:rsidRDefault="003A781F">
            <w:pPr>
              <w:rPr>
                <w:rFonts w:eastAsia="Times New Roman"/>
              </w:rPr>
            </w:pPr>
            <w:r>
              <w:rPr>
                <w:rFonts w:eastAsia="Times New Roman"/>
                <w:sz w:val="20"/>
                <w:szCs w:val="20"/>
              </w:rPr>
              <w:t>Total Other Income (Expense)</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36</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9</w:t>
            </w:r>
          </w:p>
        </w:tc>
        <w:tc>
          <w:tcPr>
            <w:tcW w:w="0" w:type="auto"/>
            <w:shd w:val="clear" w:color="auto" w:fill="CCFFCC"/>
            <w:vAlign w:val="center"/>
            <w:hideMark/>
          </w:tcPr>
          <w:p w:rsidR="00C25ECF" w:rsidRDefault="003A781F">
            <w:pPr>
              <w:jc w:val="right"/>
              <w:rPr>
                <w:rFonts w:eastAsia="Times New Roman"/>
              </w:rPr>
            </w:pPr>
            <w:r>
              <w:rPr>
                <w:rFonts w:eastAsia="Times New Roman"/>
                <w:sz w:val="20"/>
                <w:szCs w:val="20"/>
              </w:rPr>
              <w:t>146,948</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 </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b/>
                <w:bCs/>
                <w:sz w:val="20"/>
                <w:szCs w:val="20"/>
              </w:rPr>
              <w:t>Net Income (Loss)</w:t>
            </w:r>
          </w:p>
        </w:tc>
        <w:tc>
          <w:tcPr>
            <w:tcW w:w="0" w:type="auto"/>
            <w:shd w:val="clear" w:color="auto" w:fill="CCFFCC"/>
            <w:hideMark/>
          </w:tcPr>
          <w:p w:rsidR="00C25ECF" w:rsidRDefault="003A781F">
            <w:pPr>
              <w:jc w:val="right"/>
              <w:rPr>
                <w:rFonts w:eastAsia="Times New Roman"/>
              </w:rPr>
            </w:pPr>
            <w:r>
              <w:rPr>
                <w:rFonts w:eastAsia="Times New Roman"/>
                <w:b/>
                <w:bCs/>
                <w:sz w:val="20"/>
                <w:szCs w:val="20"/>
              </w:rPr>
              <w:t>4,298</w:t>
            </w:r>
          </w:p>
        </w:tc>
        <w:tc>
          <w:tcPr>
            <w:tcW w:w="0" w:type="auto"/>
            <w:shd w:val="clear" w:color="auto" w:fill="CCFFCC"/>
            <w:hideMark/>
          </w:tcPr>
          <w:p w:rsidR="00C25ECF" w:rsidRDefault="003A781F">
            <w:pPr>
              <w:jc w:val="right"/>
              <w:rPr>
                <w:rFonts w:eastAsia="Times New Roman"/>
              </w:rPr>
            </w:pPr>
            <w:r>
              <w:rPr>
                <w:rFonts w:eastAsia="Times New Roman"/>
                <w:b/>
                <w:bCs/>
                <w:sz w:val="20"/>
                <w:szCs w:val="20"/>
              </w:rPr>
              <w:t>(1,582)</w:t>
            </w:r>
          </w:p>
        </w:tc>
        <w:tc>
          <w:tcPr>
            <w:tcW w:w="0" w:type="auto"/>
            <w:shd w:val="clear" w:color="auto" w:fill="CCFFCC"/>
            <w:hideMark/>
          </w:tcPr>
          <w:p w:rsidR="00C25ECF" w:rsidRDefault="003A781F">
            <w:pPr>
              <w:jc w:val="right"/>
              <w:rPr>
                <w:rFonts w:eastAsia="Times New Roman"/>
              </w:rPr>
            </w:pPr>
            <w:r>
              <w:rPr>
                <w:rFonts w:eastAsia="Times New Roman"/>
                <w:b/>
                <w:bCs/>
                <w:sz w:val="20"/>
                <w:szCs w:val="20"/>
              </w:rPr>
              <w:t>69,201</w:t>
            </w: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 </w:t>
            </w:r>
          </w:p>
        </w:tc>
        <w:tc>
          <w:tcPr>
            <w:tcW w:w="0" w:type="auto"/>
            <w:shd w:val="clear" w:color="auto" w:fill="FFFFFF"/>
            <w:hideMark/>
          </w:tcPr>
          <w:p w:rsidR="00C25ECF" w:rsidRDefault="00C25ECF">
            <w:pPr>
              <w:jc w:val="right"/>
              <w:rPr>
                <w:rFonts w:eastAsia="Times New Roman"/>
              </w:rPr>
            </w:pPr>
          </w:p>
        </w:tc>
        <w:tc>
          <w:tcPr>
            <w:tcW w:w="0" w:type="auto"/>
            <w:shd w:val="clear" w:color="auto" w:fill="FFFFFF"/>
            <w:hideMark/>
          </w:tcPr>
          <w:p w:rsidR="00C25ECF" w:rsidRDefault="00C25ECF">
            <w:pPr>
              <w:jc w:val="right"/>
              <w:rPr>
                <w:rFonts w:eastAsia="Times New Roman"/>
              </w:rPr>
            </w:pPr>
          </w:p>
        </w:tc>
        <w:tc>
          <w:tcPr>
            <w:tcW w:w="0" w:type="auto"/>
            <w:shd w:val="clear" w:color="auto" w:fill="FFFFFF"/>
            <w:hideMark/>
          </w:tcPr>
          <w:p w:rsidR="00C25ECF" w:rsidRDefault="00C25ECF">
            <w:pPr>
              <w:jc w:val="right"/>
              <w:rPr>
                <w:rFonts w:eastAsia="Times New Roman"/>
              </w:rPr>
            </w:pP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Accumulated Deficit</w:t>
            </w: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c>
          <w:tcPr>
            <w:tcW w:w="0" w:type="auto"/>
            <w:shd w:val="clear" w:color="auto" w:fill="CCFFCC"/>
            <w:hideMark/>
          </w:tcPr>
          <w:p w:rsidR="00C25ECF" w:rsidRDefault="00C25ECF">
            <w:pPr>
              <w:jc w:val="right"/>
              <w:rPr>
                <w:rFonts w:eastAsia="Times New Roman"/>
              </w:rPr>
            </w:pPr>
          </w:p>
        </w:tc>
      </w:tr>
      <w:tr w:rsidR="00C25ECF">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Beginning of Period</w:t>
            </w:r>
          </w:p>
        </w:tc>
        <w:tc>
          <w:tcPr>
            <w:tcW w:w="0" w:type="auto"/>
            <w:shd w:val="clear" w:color="auto" w:fill="FFFFFF"/>
            <w:hideMark/>
          </w:tcPr>
          <w:p w:rsidR="00C25ECF" w:rsidRDefault="003A781F">
            <w:pPr>
              <w:jc w:val="right"/>
              <w:rPr>
                <w:rFonts w:eastAsia="Times New Roman"/>
              </w:rPr>
            </w:pPr>
            <w:r>
              <w:rPr>
                <w:rFonts w:eastAsia="Times New Roman"/>
                <w:sz w:val="20"/>
                <w:szCs w:val="20"/>
              </w:rPr>
              <w:t>(20,718,292)</w:t>
            </w:r>
          </w:p>
        </w:tc>
        <w:tc>
          <w:tcPr>
            <w:tcW w:w="0" w:type="auto"/>
            <w:shd w:val="clear" w:color="auto" w:fill="FFFFFF"/>
            <w:hideMark/>
          </w:tcPr>
          <w:p w:rsidR="00C25ECF" w:rsidRDefault="003A781F">
            <w:pPr>
              <w:jc w:val="right"/>
              <w:rPr>
                <w:rFonts w:eastAsia="Times New Roman"/>
              </w:rPr>
            </w:pPr>
            <w:r>
              <w:rPr>
                <w:rFonts w:eastAsia="Times New Roman"/>
                <w:sz w:val="20"/>
                <w:szCs w:val="20"/>
              </w:rPr>
              <w:t>(20,787,492)</w:t>
            </w:r>
          </w:p>
        </w:tc>
        <w:tc>
          <w:tcPr>
            <w:tcW w:w="0" w:type="auto"/>
            <w:shd w:val="clear" w:color="auto" w:fill="FFFFFF"/>
            <w:hideMark/>
          </w:tcPr>
          <w:p w:rsidR="00C25ECF" w:rsidRDefault="003A781F">
            <w:pPr>
              <w:jc w:val="right"/>
              <w:rPr>
                <w:rFonts w:eastAsia="Times New Roman"/>
              </w:rPr>
            </w:pPr>
            <w:r>
              <w:rPr>
                <w:rFonts w:eastAsia="Times New Roman"/>
                <w:sz w:val="20"/>
                <w:szCs w:val="20"/>
              </w:rPr>
              <w:t>(20,787,493)</w:t>
            </w:r>
          </w:p>
        </w:tc>
      </w:tr>
      <w:tr w:rsidR="00C25ECF">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End of Period</w:t>
            </w:r>
          </w:p>
        </w:tc>
        <w:tc>
          <w:tcPr>
            <w:tcW w:w="0" w:type="auto"/>
            <w:shd w:val="clear" w:color="auto" w:fill="CCFFCC"/>
            <w:hideMark/>
          </w:tcPr>
          <w:p w:rsidR="00C25ECF" w:rsidRDefault="003A781F">
            <w:pPr>
              <w:jc w:val="right"/>
              <w:rPr>
                <w:rFonts w:eastAsia="Times New Roman"/>
              </w:rPr>
            </w:pPr>
            <w:r>
              <w:rPr>
                <w:rFonts w:eastAsia="Times New Roman"/>
                <w:sz w:val="20"/>
                <w:szCs w:val="20"/>
              </w:rPr>
              <w:t>(20,713,994)</w:t>
            </w:r>
          </w:p>
        </w:tc>
        <w:tc>
          <w:tcPr>
            <w:tcW w:w="0" w:type="auto"/>
            <w:shd w:val="clear" w:color="auto" w:fill="CCFFCC"/>
            <w:hideMark/>
          </w:tcPr>
          <w:p w:rsidR="00C25ECF" w:rsidRDefault="003A781F">
            <w:pPr>
              <w:jc w:val="right"/>
              <w:rPr>
                <w:rFonts w:eastAsia="Times New Roman"/>
              </w:rPr>
            </w:pPr>
            <w:r>
              <w:rPr>
                <w:rFonts w:eastAsia="Times New Roman"/>
                <w:sz w:val="20"/>
                <w:szCs w:val="20"/>
              </w:rPr>
              <w:t>(20,789,074)</w:t>
            </w:r>
          </w:p>
        </w:tc>
        <w:tc>
          <w:tcPr>
            <w:tcW w:w="0" w:type="auto"/>
            <w:shd w:val="clear" w:color="auto" w:fill="CCFFCC"/>
            <w:hideMark/>
          </w:tcPr>
          <w:p w:rsidR="00C25ECF" w:rsidRDefault="003A781F">
            <w:pPr>
              <w:jc w:val="right"/>
              <w:rPr>
                <w:rFonts w:eastAsia="Times New Roman"/>
              </w:rPr>
            </w:pPr>
            <w:r>
              <w:rPr>
                <w:rFonts w:eastAsia="Times New Roman"/>
                <w:sz w:val="20"/>
                <w:szCs w:val="20"/>
              </w:rPr>
              <w:t>(20,718,292)</w:t>
            </w:r>
          </w:p>
        </w:tc>
      </w:tr>
      <w:tr w:rsidR="00C25ECF">
        <w:trPr>
          <w:tblCellSpacing w:w="15" w:type="dxa"/>
        </w:trPr>
        <w:tc>
          <w:tcPr>
            <w:tcW w:w="0" w:type="auto"/>
            <w:shd w:val="clear" w:color="auto" w:fill="FFFFFF"/>
            <w:vAlign w:val="center"/>
            <w:hideMark/>
          </w:tcPr>
          <w:p w:rsidR="00C25ECF" w:rsidRDefault="003A781F">
            <w:pPr>
              <w:rPr>
                <w:rFonts w:eastAsia="Times New Roman"/>
              </w:rPr>
            </w:pPr>
            <w:r>
              <w:rPr>
                <w:rFonts w:eastAsia="Times New Roman"/>
                <w:sz w:val="20"/>
                <w:szCs w:val="20"/>
              </w:rPr>
              <w:t> </w:t>
            </w: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C25ECF">
            <w:pPr>
              <w:jc w:val="right"/>
              <w:rPr>
                <w:rFonts w:eastAsia="Times New Roman"/>
              </w:rPr>
            </w:pPr>
          </w:p>
        </w:tc>
        <w:tc>
          <w:tcPr>
            <w:tcW w:w="0" w:type="auto"/>
            <w:shd w:val="clear" w:color="auto" w:fill="FFFFFF"/>
            <w:vAlign w:val="center"/>
            <w:hideMark/>
          </w:tcPr>
          <w:p w:rsidR="00C25ECF" w:rsidRDefault="00C25ECF">
            <w:pPr>
              <w:jc w:val="right"/>
              <w:rPr>
                <w:rFonts w:eastAsia="Times New Roman"/>
              </w:rPr>
            </w:pPr>
          </w:p>
        </w:tc>
      </w:tr>
      <w:tr w:rsidR="00C25ECF">
        <w:trPr>
          <w:tblCellSpacing w:w="15" w:type="dxa"/>
        </w:trPr>
        <w:tc>
          <w:tcPr>
            <w:tcW w:w="0" w:type="auto"/>
            <w:shd w:val="clear" w:color="auto" w:fill="CCFFCC"/>
            <w:vAlign w:val="center"/>
            <w:hideMark/>
          </w:tcPr>
          <w:p w:rsidR="00C25ECF" w:rsidRDefault="003A781F">
            <w:pPr>
              <w:rPr>
                <w:rFonts w:eastAsia="Times New Roman"/>
              </w:rPr>
            </w:pPr>
            <w:r>
              <w:rPr>
                <w:rFonts w:eastAsia="Times New Roman"/>
                <w:sz w:val="20"/>
                <w:szCs w:val="20"/>
              </w:rPr>
              <w:t>Earnings per Share</w:t>
            </w:r>
          </w:p>
        </w:tc>
        <w:tc>
          <w:tcPr>
            <w:tcW w:w="0" w:type="auto"/>
            <w:shd w:val="clear" w:color="auto" w:fill="CCFFCC"/>
            <w:vAlign w:val="center"/>
            <w:hideMark/>
          </w:tcPr>
          <w:p w:rsidR="00C25ECF" w:rsidRDefault="003A781F">
            <w:pPr>
              <w:pStyle w:val="NormalWeb"/>
              <w:jc w:val="right"/>
            </w:pPr>
            <w:r>
              <w:rPr>
                <w:sz w:val="20"/>
                <w:szCs w:val="20"/>
              </w:rPr>
              <w:t>0.000</w:t>
            </w:r>
          </w:p>
        </w:tc>
        <w:tc>
          <w:tcPr>
            <w:tcW w:w="0" w:type="auto"/>
            <w:shd w:val="clear" w:color="auto" w:fill="CCFFCC"/>
            <w:vAlign w:val="center"/>
            <w:hideMark/>
          </w:tcPr>
          <w:p w:rsidR="00C25ECF" w:rsidRDefault="003A781F">
            <w:pPr>
              <w:pStyle w:val="NormalWeb"/>
              <w:jc w:val="right"/>
            </w:pPr>
            <w:r>
              <w:rPr>
                <w:sz w:val="20"/>
                <w:szCs w:val="20"/>
              </w:rPr>
              <w:t>0.000</w:t>
            </w:r>
          </w:p>
        </w:tc>
        <w:tc>
          <w:tcPr>
            <w:tcW w:w="0" w:type="auto"/>
            <w:shd w:val="clear" w:color="auto" w:fill="CCFFCC"/>
            <w:vAlign w:val="center"/>
            <w:hideMark/>
          </w:tcPr>
          <w:p w:rsidR="00C25ECF" w:rsidRDefault="003A781F">
            <w:pPr>
              <w:pStyle w:val="NormalWeb"/>
              <w:jc w:val="right"/>
            </w:pPr>
            <w:r>
              <w:rPr>
                <w:sz w:val="20"/>
                <w:szCs w:val="20"/>
              </w:rPr>
              <w:t>0.000</w:t>
            </w:r>
          </w:p>
        </w:tc>
      </w:tr>
      <w:tr w:rsidR="00C25ECF">
        <w:trPr>
          <w:tblCellSpacing w:w="15" w:type="dxa"/>
        </w:trPr>
        <w:tc>
          <w:tcPr>
            <w:tcW w:w="0" w:type="auto"/>
            <w:gridSpan w:val="3"/>
            <w:shd w:val="clear" w:color="auto" w:fill="FFFFFF"/>
            <w:vAlign w:val="center"/>
            <w:hideMark/>
          </w:tcPr>
          <w:p w:rsidR="00C25ECF" w:rsidRDefault="003A781F">
            <w:pPr>
              <w:jc w:val="center"/>
              <w:rPr>
                <w:rFonts w:eastAsia="Times New Roman"/>
              </w:rPr>
            </w:pPr>
            <w:r>
              <w:rPr>
                <w:rFonts w:eastAsia="Times New Roman"/>
                <w:b/>
                <w:bCs/>
                <w:sz w:val="20"/>
                <w:szCs w:val="20"/>
              </w:rPr>
              <w:t>See accompanying notes to financial statements.</w:t>
            </w:r>
          </w:p>
        </w:tc>
        <w:tc>
          <w:tcPr>
            <w:tcW w:w="0" w:type="auto"/>
            <w:shd w:val="clear" w:color="auto" w:fill="FFFFFF"/>
            <w:vAlign w:val="center"/>
            <w:hideMark/>
          </w:tcPr>
          <w:p w:rsidR="00C25ECF" w:rsidRDefault="00C25ECF">
            <w:pPr>
              <w:rPr>
                <w:rFonts w:eastAsia="Times New Roman"/>
              </w:rPr>
            </w:pPr>
          </w:p>
        </w:tc>
      </w:tr>
    </w:tbl>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34" style="width:0;height:3pt" o:hralign="center" o:hrstd="t" o:hrnoshade="t" o:hr="t" fillcolor="black" stroked="f"/>
        </w:pict>
      </w:r>
    </w:p>
    <w:tbl>
      <w:tblPr>
        <w:tblW w:w="4500" w:type="pct"/>
        <w:tblCellSpacing w:w="15" w:type="dxa"/>
        <w:tblCellMar>
          <w:left w:w="0" w:type="dxa"/>
          <w:right w:w="0" w:type="dxa"/>
        </w:tblCellMar>
        <w:tblLook w:val="04A0"/>
      </w:tblPr>
      <w:tblGrid>
        <w:gridCol w:w="5916"/>
        <w:gridCol w:w="1497"/>
        <w:gridCol w:w="1497"/>
        <w:gridCol w:w="1512"/>
      </w:tblGrid>
      <w:tr w:rsidR="00C25ECF">
        <w:trPr>
          <w:tblCellSpacing w:w="15" w:type="dxa"/>
        </w:trPr>
        <w:tc>
          <w:tcPr>
            <w:tcW w:w="0" w:type="auto"/>
            <w:gridSpan w:val="4"/>
            <w:shd w:val="clear" w:color="auto" w:fill="CCFFCC"/>
            <w:vAlign w:val="bottom"/>
            <w:hideMark/>
          </w:tcPr>
          <w:p w:rsidR="00C25ECF" w:rsidRDefault="003A781F">
            <w:pPr>
              <w:pStyle w:val="NormalWeb"/>
              <w:jc w:val="center"/>
            </w:pPr>
            <w:r>
              <w:rPr>
                <w:b/>
                <w:bCs/>
                <w:sz w:val="20"/>
                <w:szCs w:val="20"/>
              </w:rPr>
              <w:t>ADVANCED OXYGEN TECHNOLOGIES, INC.</w:t>
            </w:r>
          </w:p>
          <w:p w:rsidR="00C25ECF" w:rsidRDefault="003A781F">
            <w:pPr>
              <w:pStyle w:val="NormalWeb"/>
              <w:jc w:val="center"/>
            </w:pPr>
            <w:r>
              <w:rPr>
                <w:b/>
                <w:bCs/>
                <w:sz w:val="20"/>
                <w:szCs w:val="20"/>
              </w:rPr>
              <w:t>AND SUBSIDIARY</w:t>
            </w:r>
          </w:p>
          <w:p w:rsidR="00C25ECF" w:rsidRDefault="003A781F">
            <w:pPr>
              <w:pStyle w:val="NormalWeb"/>
              <w:jc w:val="center"/>
            </w:pPr>
            <w:r>
              <w:rPr>
                <w:b/>
                <w:bCs/>
                <w:sz w:val="20"/>
                <w:szCs w:val="20"/>
              </w:rPr>
              <w:t>CONSOLIDATED STATEMENTS OF STOCKHOLDERS' EQUITY (DEFICIENCY)</w:t>
            </w:r>
          </w:p>
        </w:tc>
      </w:tr>
      <w:tr w:rsidR="00C25ECF">
        <w:trPr>
          <w:tblCellSpacing w:w="15" w:type="dxa"/>
        </w:trPr>
        <w:tc>
          <w:tcPr>
            <w:tcW w:w="4000" w:type="pct"/>
            <w:shd w:val="clear" w:color="auto" w:fill="FFFFFF"/>
            <w:vAlign w:val="bottom"/>
            <w:hideMark/>
          </w:tcPr>
          <w:p w:rsidR="00C25ECF" w:rsidRDefault="003A781F">
            <w:pPr>
              <w:rPr>
                <w:rFonts w:eastAsia="Times New Roman"/>
              </w:rPr>
            </w:pPr>
            <w:r>
              <w:rPr>
                <w:rFonts w:eastAsia="Times New Roman"/>
                <w:b/>
                <w:bCs/>
                <w:sz w:val="20"/>
                <w:szCs w:val="20"/>
              </w:rPr>
              <w:t> </w:t>
            </w:r>
          </w:p>
        </w:tc>
        <w:tc>
          <w:tcPr>
            <w:tcW w:w="500" w:type="pct"/>
            <w:shd w:val="clear" w:color="auto" w:fill="FFFFFF"/>
            <w:vAlign w:val="bottom"/>
            <w:hideMark/>
          </w:tcPr>
          <w:p w:rsidR="00C25ECF" w:rsidRDefault="00C25ECF">
            <w:pPr>
              <w:rPr>
                <w:rFonts w:eastAsia="Times New Roman"/>
              </w:rPr>
            </w:pPr>
          </w:p>
        </w:tc>
        <w:tc>
          <w:tcPr>
            <w:tcW w:w="500" w:type="pct"/>
            <w:shd w:val="clear" w:color="auto" w:fill="FFFFFF"/>
            <w:vAlign w:val="bottom"/>
            <w:hideMark/>
          </w:tcPr>
          <w:p w:rsidR="00C25ECF" w:rsidRDefault="00C25ECF">
            <w:pPr>
              <w:rPr>
                <w:rFonts w:eastAsia="Times New Roman"/>
              </w:rPr>
            </w:pPr>
          </w:p>
        </w:tc>
        <w:tc>
          <w:tcPr>
            <w:tcW w:w="500" w:type="pct"/>
            <w:shd w:val="clear" w:color="auto" w:fill="FFFFFF"/>
            <w:vAlign w:val="bottom"/>
            <w:hideMark/>
          </w:tcPr>
          <w:p w:rsidR="00C25ECF" w:rsidRDefault="003A781F">
            <w:pPr>
              <w:rPr>
                <w:rFonts w:eastAsia="Times New Roman"/>
              </w:rPr>
            </w:pPr>
            <w:r>
              <w:rPr>
                <w:rFonts w:eastAsia="Times New Roman"/>
                <w:b/>
                <w:bCs/>
                <w:sz w:val="20"/>
                <w:szCs w:val="20"/>
              </w:rPr>
              <w:t> </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b/>
                <w:bCs/>
                <w:sz w:val="20"/>
                <w:szCs w:val="20"/>
              </w:rPr>
              <w:t> </w:t>
            </w:r>
          </w:p>
        </w:tc>
        <w:tc>
          <w:tcPr>
            <w:tcW w:w="0" w:type="auto"/>
            <w:gridSpan w:val="2"/>
            <w:shd w:val="clear" w:color="auto" w:fill="CCFFCC"/>
            <w:vAlign w:val="bottom"/>
            <w:hideMark/>
          </w:tcPr>
          <w:p w:rsidR="00C25ECF" w:rsidRDefault="003A781F">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C25ECF" w:rsidRDefault="003A781F">
            <w:pPr>
              <w:jc w:val="center"/>
              <w:rPr>
                <w:rFonts w:eastAsia="Times New Roman"/>
              </w:rPr>
            </w:pPr>
            <w:r>
              <w:rPr>
                <w:rFonts w:eastAsia="Times New Roman"/>
                <w:b/>
                <w:bCs/>
                <w:sz w:val="20"/>
                <w:szCs w:val="20"/>
              </w:rPr>
              <w:t xml:space="preserve">Year Ending </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rPr>
              <w:t> </w:t>
            </w:r>
          </w:p>
        </w:tc>
        <w:tc>
          <w:tcPr>
            <w:tcW w:w="0" w:type="auto"/>
            <w:gridSpan w:val="2"/>
            <w:shd w:val="clear" w:color="auto" w:fill="FFFFFF"/>
            <w:vAlign w:val="bottom"/>
            <w:hideMark/>
          </w:tcPr>
          <w:p w:rsidR="00C25ECF" w:rsidRDefault="003A781F">
            <w:pPr>
              <w:jc w:val="center"/>
              <w:rPr>
                <w:rFonts w:eastAsia="Times New Roman"/>
              </w:rPr>
            </w:pPr>
            <w:r>
              <w:rPr>
                <w:rFonts w:eastAsia="Times New Roman"/>
                <w:b/>
                <w:bCs/>
                <w:sz w:val="20"/>
                <w:szCs w:val="20"/>
              </w:rPr>
              <w:t>September 30, 2011</w:t>
            </w:r>
          </w:p>
        </w:tc>
        <w:tc>
          <w:tcPr>
            <w:tcW w:w="0" w:type="auto"/>
            <w:shd w:val="clear" w:color="auto" w:fill="FFFFFF"/>
            <w:vAlign w:val="bottom"/>
            <w:hideMark/>
          </w:tcPr>
          <w:p w:rsidR="00C25ECF" w:rsidRDefault="003A781F">
            <w:pPr>
              <w:jc w:val="center"/>
              <w:rPr>
                <w:rFonts w:eastAsia="Times New Roman"/>
              </w:rPr>
            </w:pPr>
            <w:r>
              <w:rPr>
                <w:rFonts w:eastAsia="Times New Roman"/>
                <w:b/>
                <w:bCs/>
                <w:sz w:val="20"/>
                <w:szCs w:val="20"/>
              </w:rPr>
              <w:t>June 30, 2011</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w:t>
            </w:r>
          </w:p>
        </w:tc>
        <w:tc>
          <w:tcPr>
            <w:tcW w:w="0" w:type="auto"/>
            <w:gridSpan w:val="2"/>
            <w:shd w:val="clear" w:color="auto" w:fill="CCFFCC"/>
            <w:vAlign w:val="bottom"/>
            <w:hideMark/>
          </w:tcPr>
          <w:p w:rsidR="00C25ECF" w:rsidRDefault="003A781F">
            <w:pPr>
              <w:jc w:val="center"/>
              <w:rPr>
                <w:rFonts w:eastAsia="Times New Roman"/>
              </w:rPr>
            </w:pPr>
            <w:r>
              <w:rPr>
                <w:rFonts w:eastAsia="Times New Roman"/>
                <w:b/>
                <w:bCs/>
                <w:sz w:val="20"/>
                <w:szCs w:val="20"/>
              </w:rPr>
              <w:t>Unaudited</w:t>
            </w:r>
          </w:p>
          <w:p w:rsidR="00C25ECF" w:rsidRDefault="00620510">
            <w:pPr>
              <w:jc w:val="center"/>
              <w:rPr>
                <w:rFonts w:eastAsia="Times New Roman"/>
              </w:rPr>
            </w:pPr>
            <w:r w:rsidRPr="00620510">
              <w:rPr>
                <w:rFonts w:eastAsia="Times New Roman"/>
              </w:rPr>
              <w:pict>
                <v:rect id="_x0000_i1035" style="width:0;height:1.5pt" o:hralign="center" o:hrstd="t" o:hr="t" fillcolor="#aca899" stroked="f"/>
              </w:pict>
            </w:r>
          </w:p>
        </w:tc>
        <w:tc>
          <w:tcPr>
            <w:tcW w:w="0" w:type="auto"/>
            <w:shd w:val="clear" w:color="auto" w:fill="CCFFCC"/>
            <w:vAlign w:val="bottom"/>
            <w:hideMark/>
          </w:tcPr>
          <w:p w:rsidR="00C25ECF" w:rsidRDefault="003A781F">
            <w:pPr>
              <w:jc w:val="center"/>
              <w:rPr>
                <w:rFonts w:eastAsia="Times New Roman"/>
              </w:rPr>
            </w:pPr>
            <w:r>
              <w:rPr>
                <w:rFonts w:eastAsia="Times New Roman"/>
                <w:b/>
                <w:bCs/>
                <w:sz w:val="20"/>
                <w:szCs w:val="20"/>
              </w:rPr>
              <w:t>Audited</w:t>
            </w:r>
          </w:p>
          <w:p w:rsidR="00C25ECF" w:rsidRDefault="00620510">
            <w:pPr>
              <w:jc w:val="center"/>
              <w:rPr>
                <w:rFonts w:eastAsia="Times New Roman"/>
              </w:rPr>
            </w:pPr>
            <w:r w:rsidRPr="00620510">
              <w:rPr>
                <w:rFonts w:eastAsia="Times New Roman"/>
              </w:rPr>
              <w:pict>
                <v:rect id="_x0000_i1036" style="width:0;height:1.5pt" o:hralign="center" o:hrstd="t" o:hr="t" fillcolor="#aca899" stroked="f"/>
              </w:pic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b/>
                <w:bCs/>
                <w:sz w:val="20"/>
                <w:szCs w:val="20"/>
              </w:rPr>
              <w:t>Common stock, par value $0.01, authorized, 90,000,000 shares;</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CCFFCC"/>
            <w:vAlign w:val="bottom"/>
            <w:hideMark/>
          </w:tcPr>
          <w:p w:rsidR="00C25ECF" w:rsidRDefault="00C25ECF">
            <w:pPr>
              <w:jc w:val="right"/>
              <w:rPr>
                <w:rFonts w:eastAsia="Times New Roman"/>
              </w:rPr>
            </w:pPr>
          </w:p>
        </w:tc>
        <w:tc>
          <w:tcPr>
            <w:tcW w:w="0" w:type="auto"/>
            <w:shd w:val="clear" w:color="auto" w:fill="CCFFCC"/>
            <w:vAlign w:val="bottom"/>
            <w:hideMark/>
          </w:tcPr>
          <w:p w:rsidR="00C25ECF" w:rsidRDefault="00C25ECF">
            <w:pPr>
              <w:jc w:val="right"/>
              <w:rPr>
                <w:rFonts w:eastAsia="Times New Roman"/>
              </w:rPr>
            </w:pP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sz w:val="20"/>
                <w:szCs w:val="20"/>
              </w:rPr>
              <w:t>    Balance at beginning and end of period 46,973,585</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469,736</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469,736</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469,736</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b/>
                <w:bCs/>
                <w:sz w:val="20"/>
                <w:szCs w:val="20"/>
              </w:rPr>
              <w:t>Additional paid in capital:</w:t>
            </w:r>
          </w:p>
        </w:tc>
        <w:tc>
          <w:tcPr>
            <w:tcW w:w="0" w:type="auto"/>
            <w:shd w:val="clear" w:color="auto" w:fill="FFFFFF"/>
            <w:vAlign w:val="bottom"/>
            <w:hideMark/>
          </w:tcPr>
          <w:p w:rsidR="00C25ECF" w:rsidRDefault="00C25ECF">
            <w:pPr>
              <w:jc w:val="right"/>
              <w:rPr>
                <w:rFonts w:eastAsia="Times New Roman"/>
              </w:rPr>
            </w:pPr>
          </w:p>
        </w:tc>
        <w:tc>
          <w:tcPr>
            <w:tcW w:w="0" w:type="auto"/>
            <w:shd w:val="clear" w:color="auto" w:fill="FFFFFF"/>
            <w:vAlign w:val="bottom"/>
            <w:hideMark/>
          </w:tcPr>
          <w:p w:rsidR="00C25ECF" w:rsidRDefault="00C25ECF">
            <w:pPr>
              <w:jc w:val="right"/>
              <w:rPr>
                <w:rFonts w:eastAsia="Times New Roman"/>
              </w:rPr>
            </w:pP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Balance at beginning and end of period</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20,497,769</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20,497,769</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20,497,769</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sz w:val="20"/>
                <w:szCs w:val="20"/>
              </w:rPr>
              <w:t> </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b/>
                <w:bCs/>
                <w:sz w:val="20"/>
                <w:szCs w:val="20"/>
              </w:rPr>
              <w:t>Accumulated deficit:</w:t>
            </w:r>
          </w:p>
        </w:tc>
        <w:tc>
          <w:tcPr>
            <w:tcW w:w="0" w:type="auto"/>
            <w:shd w:val="clear" w:color="auto" w:fill="CCFFCC"/>
            <w:vAlign w:val="bottom"/>
            <w:hideMark/>
          </w:tcPr>
          <w:p w:rsidR="00C25ECF" w:rsidRDefault="00C25ECF">
            <w:pPr>
              <w:jc w:val="right"/>
              <w:rPr>
                <w:rFonts w:eastAsia="Times New Roman"/>
              </w:rPr>
            </w:pPr>
          </w:p>
        </w:tc>
        <w:tc>
          <w:tcPr>
            <w:tcW w:w="0" w:type="auto"/>
            <w:shd w:val="clear" w:color="auto" w:fill="CCFFCC"/>
            <w:vAlign w:val="bottom"/>
            <w:hideMark/>
          </w:tcPr>
          <w:p w:rsidR="00C25ECF" w:rsidRDefault="00C25ECF">
            <w:pPr>
              <w:jc w:val="right"/>
              <w:rPr>
                <w:rFonts w:eastAsia="Times New Roman"/>
              </w:rPr>
            </w:pP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sz w:val="20"/>
                <w:szCs w:val="20"/>
              </w:rPr>
              <w:t>    Balance at beginning of period</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(20,718,292)</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(20,787,492)</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(20,787,493)</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Net income (loss) for the period</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4,298</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(1,582)</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69,201</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sz w:val="20"/>
                <w:szCs w:val="20"/>
              </w:rPr>
              <w:t> </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Balance at end of period   </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(20,713,994)</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(20,789,074)</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(20,718,292)</w:t>
            </w:r>
          </w:p>
        </w:tc>
      </w:tr>
      <w:tr w:rsidR="00C25ECF">
        <w:trPr>
          <w:tblCellSpacing w:w="15" w:type="dxa"/>
        </w:trPr>
        <w:tc>
          <w:tcPr>
            <w:tcW w:w="0" w:type="auto"/>
            <w:shd w:val="clear" w:color="auto" w:fill="FFFFFF"/>
            <w:vAlign w:val="bottom"/>
            <w:hideMark/>
          </w:tcPr>
          <w:p w:rsidR="00C25ECF" w:rsidRDefault="00C25ECF">
            <w:pPr>
              <w:rPr>
                <w:rFonts w:eastAsia="Times New Roman"/>
              </w:rPr>
            </w:pPr>
          </w:p>
        </w:tc>
        <w:tc>
          <w:tcPr>
            <w:tcW w:w="0" w:type="auto"/>
            <w:shd w:val="clear" w:color="auto" w:fill="FFFFFF"/>
            <w:vAlign w:val="bottom"/>
            <w:hideMark/>
          </w:tcPr>
          <w:p w:rsidR="00C25ECF" w:rsidRDefault="00C25ECF">
            <w:pPr>
              <w:jc w:val="right"/>
              <w:rPr>
                <w:rFonts w:eastAsia="Times New Roman"/>
              </w:rPr>
            </w:pPr>
          </w:p>
        </w:tc>
        <w:tc>
          <w:tcPr>
            <w:tcW w:w="0" w:type="auto"/>
            <w:shd w:val="clear" w:color="auto" w:fill="FFFFFF"/>
            <w:vAlign w:val="bottom"/>
            <w:hideMark/>
          </w:tcPr>
          <w:p w:rsidR="00C25ECF" w:rsidRDefault="00C25ECF">
            <w:pPr>
              <w:jc w:val="right"/>
              <w:rPr>
                <w:rFonts w:eastAsia="Times New Roman"/>
              </w:rPr>
            </w:pPr>
          </w:p>
        </w:tc>
        <w:tc>
          <w:tcPr>
            <w:tcW w:w="0" w:type="auto"/>
            <w:shd w:val="clear" w:color="auto" w:fill="FFFFFF"/>
            <w:vAlign w:val="bottom"/>
            <w:hideMark/>
          </w:tcPr>
          <w:p w:rsidR="00C25ECF" w:rsidRDefault="00C25ECF">
            <w:pPr>
              <w:jc w:val="right"/>
              <w:rPr>
                <w:rFonts w:eastAsia="Times New Roman"/>
              </w:rPr>
            </w:pP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b/>
                <w:bCs/>
                <w:sz w:val="20"/>
                <w:szCs w:val="20"/>
              </w:rPr>
              <w:t>Rounding:</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sz w:val="20"/>
                <w:szCs w:val="20"/>
              </w:rPr>
              <w:t> </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CCFFCC"/>
            <w:vAlign w:val="bottom"/>
            <w:hideMark/>
          </w:tcPr>
          <w:p w:rsidR="00C25ECF" w:rsidRDefault="00C25ECF">
            <w:pPr>
              <w:jc w:val="right"/>
              <w:rPr>
                <w:rFonts w:eastAsia="Times New Roman"/>
              </w:rPr>
            </w:pPr>
          </w:p>
        </w:tc>
        <w:tc>
          <w:tcPr>
            <w:tcW w:w="0" w:type="auto"/>
            <w:shd w:val="clear" w:color="auto" w:fill="CCFFCC"/>
            <w:vAlign w:val="bottom"/>
            <w:hideMark/>
          </w:tcPr>
          <w:p w:rsidR="00C25ECF" w:rsidRDefault="00C25ECF">
            <w:pPr>
              <w:jc w:val="right"/>
              <w:rPr>
                <w:rFonts w:eastAsia="Times New Roman"/>
              </w:rPr>
            </w:pP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 </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sz w:val="20"/>
                <w:szCs w:val="20"/>
              </w:rPr>
              <w:t>    Convertible preferred stock, net of treasury stock (see balance sheet )</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9,466</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9,466</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  9,466</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shd w:val="clear" w:color="auto" w:fill="FFFFFF"/>
            <w:vAlign w:val="bottom"/>
            <w:hideMark/>
          </w:tcPr>
          <w:p w:rsidR="00C25ECF" w:rsidRDefault="003A781F">
            <w:pPr>
              <w:rPr>
                <w:rFonts w:eastAsia="Times New Roman"/>
              </w:rPr>
            </w:pPr>
            <w:r>
              <w:rPr>
                <w:rFonts w:eastAsia="Times New Roman"/>
                <w:b/>
                <w:bCs/>
                <w:sz w:val="20"/>
                <w:szCs w:val="20"/>
              </w:rPr>
              <w:t>Stockholders' Equity (Deficiency) at end of period</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262,978</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187,897</w:t>
            </w:r>
          </w:p>
        </w:tc>
        <w:tc>
          <w:tcPr>
            <w:tcW w:w="0" w:type="auto"/>
            <w:shd w:val="clear" w:color="auto" w:fill="FFFFFF"/>
            <w:vAlign w:val="bottom"/>
            <w:hideMark/>
          </w:tcPr>
          <w:p w:rsidR="00C25ECF" w:rsidRDefault="003A781F">
            <w:pPr>
              <w:jc w:val="right"/>
              <w:rPr>
                <w:rFonts w:eastAsia="Times New Roman"/>
              </w:rPr>
            </w:pPr>
            <w:r>
              <w:rPr>
                <w:rFonts w:eastAsia="Times New Roman"/>
                <w:sz w:val="20"/>
                <w:szCs w:val="20"/>
              </w:rPr>
              <w:t>258,679</w:t>
            </w:r>
          </w:p>
        </w:tc>
      </w:tr>
      <w:tr w:rsidR="00C25ECF">
        <w:trPr>
          <w:tblCellSpacing w:w="15" w:type="dxa"/>
        </w:trPr>
        <w:tc>
          <w:tcPr>
            <w:tcW w:w="0" w:type="auto"/>
            <w:shd w:val="clear" w:color="auto" w:fill="CCFFCC"/>
            <w:vAlign w:val="bottom"/>
            <w:hideMark/>
          </w:tcPr>
          <w:p w:rsidR="00C25ECF" w:rsidRDefault="003A781F">
            <w:pPr>
              <w:rPr>
                <w:rFonts w:eastAsia="Times New Roman"/>
              </w:rPr>
            </w:pPr>
            <w:r>
              <w:rPr>
                <w:rFonts w:eastAsia="Times New Roman"/>
                <w:sz w:val="20"/>
                <w:szCs w:val="20"/>
              </w:rPr>
              <w:t> </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c>
          <w:tcPr>
            <w:tcW w:w="0" w:type="auto"/>
            <w:shd w:val="clear" w:color="auto" w:fill="CCFFCC"/>
            <w:vAlign w:val="bottom"/>
            <w:hideMark/>
          </w:tcPr>
          <w:p w:rsidR="00C25ECF" w:rsidRDefault="003A781F">
            <w:pPr>
              <w:jc w:val="right"/>
              <w:rPr>
                <w:rFonts w:eastAsia="Times New Roman"/>
              </w:rPr>
            </w:pPr>
            <w:r>
              <w:rPr>
                <w:rFonts w:eastAsia="Times New Roman"/>
                <w:sz w:val="20"/>
                <w:szCs w:val="20"/>
              </w:rPr>
              <w:t>=============</w:t>
            </w:r>
          </w:p>
        </w:tc>
      </w:tr>
      <w:tr w:rsidR="00C25ECF">
        <w:trPr>
          <w:tblCellSpacing w:w="15" w:type="dxa"/>
        </w:trPr>
        <w:tc>
          <w:tcPr>
            <w:tcW w:w="0" w:type="auto"/>
            <w:gridSpan w:val="4"/>
            <w:shd w:val="clear" w:color="auto" w:fill="FFFFFF"/>
            <w:vAlign w:val="bottom"/>
            <w:hideMark/>
          </w:tcPr>
          <w:p w:rsidR="00C25ECF" w:rsidRDefault="003A781F">
            <w:pPr>
              <w:jc w:val="center"/>
              <w:rPr>
                <w:rFonts w:eastAsia="Times New Roman"/>
              </w:rPr>
            </w:pPr>
            <w:r>
              <w:rPr>
                <w:rFonts w:eastAsia="Times New Roman"/>
                <w:b/>
                <w:bCs/>
                <w:sz w:val="20"/>
                <w:szCs w:val="20"/>
              </w:rPr>
              <w:t>See accompanying notes to financial statements.</w:t>
            </w:r>
          </w:p>
        </w:tc>
      </w:tr>
    </w:tbl>
    <w:p w:rsidR="00C25ECF" w:rsidRDefault="00620510">
      <w:pPr>
        <w:pStyle w:val="NormalWeb"/>
      </w:pPr>
      <w:hyperlink w:anchor="toc" w:history="1">
        <w:r w:rsidR="003A781F">
          <w:rPr>
            <w:rStyle w:val="Hyperlink"/>
            <w:b/>
            <w:bCs/>
            <w:sz w:val="20"/>
            <w:szCs w:val="20"/>
          </w:rPr>
          <w:t>Return to Table of Contents</w:t>
        </w:r>
      </w:hyperlink>
    </w:p>
    <w:p w:rsidR="006F3022" w:rsidRDefault="00620510">
      <w:pPr>
        <w:rPr>
          <w:rFonts w:eastAsia="Times New Roman"/>
        </w:rPr>
      </w:pPr>
      <w:r w:rsidRPr="00620510">
        <w:rPr>
          <w:rFonts w:eastAsia="Times New Roman"/>
        </w:rPr>
        <w:pict>
          <v:rect id="_x0000_i1037" style="width:0;height:3pt" o:hralign="center" o:hrstd="t" o:hrnoshade="t" o:hr="t" fillcolor="black" stroked="f"/>
        </w:pict>
      </w:r>
    </w:p>
    <w:p w:rsidR="006F3022" w:rsidRDefault="006F3022">
      <w:pPr>
        <w:rPr>
          <w:rFonts w:eastAsia="Times New Roman"/>
        </w:rPr>
      </w:pPr>
      <w:r>
        <w:rPr>
          <w:rFonts w:eastAsia="Times New Roman"/>
        </w:rPr>
        <w:br w:type="page"/>
      </w:r>
    </w:p>
    <w:p w:rsidR="00C25ECF" w:rsidRDefault="00C25ECF">
      <w:pPr>
        <w:rPr>
          <w:rFonts w:eastAsia="Times New Roman"/>
        </w:rPr>
      </w:pPr>
    </w:p>
    <w:tbl>
      <w:tblPr>
        <w:tblW w:w="4500" w:type="pct"/>
        <w:tblCellSpacing w:w="15" w:type="dxa"/>
        <w:tblCellMar>
          <w:left w:w="0" w:type="dxa"/>
          <w:right w:w="0" w:type="dxa"/>
        </w:tblCellMar>
        <w:tblLook w:val="04A0"/>
      </w:tblPr>
      <w:tblGrid>
        <w:gridCol w:w="6955"/>
        <w:gridCol w:w="1308"/>
        <w:gridCol w:w="772"/>
        <w:gridCol w:w="1387"/>
      </w:tblGrid>
      <w:tr w:rsidR="00C25ECF">
        <w:trPr>
          <w:tblCellSpacing w:w="15" w:type="dxa"/>
        </w:trPr>
        <w:tc>
          <w:tcPr>
            <w:tcW w:w="0" w:type="auto"/>
            <w:gridSpan w:val="4"/>
            <w:shd w:val="clear" w:color="auto" w:fill="CCFFCC"/>
            <w:hideMark/>
          </w:tcPr>
          <w:p w:rsidR="00C25ECF" w:rsidRDefault="003A781F">
            <w:pPr>
              <w:pStyle w:val="NormalWeb"/>
              <w:jc w:val="center"/>
            </w:pPr>
            <w:r>
              <w:rPr>
                <w:b/>
                <w:bCs/>
                <w:sz w:val="20"/>
                <w:szCs w:val="20"/>
              </w:rPr>
              <w:t>ADVANCED OXYGEN TECHNOLOGIES, INC.</w:t>
            </w:r>
          </w:p>
        </w:tc>
      </w:tr>
      <w:tr w:rsidR="00C25ECF">
        <w:trPr>
          <w:tblCellSpacing w:w="15" w:type="dxa"/>
        </w:trPr>
        <w:tc>
          <w:tcPr>
            <w:tcW w:w="0" w:type="auto"/>
            <w:gridSpan w:val="4"/>
            <w:shd w:val="clear" w:color="auto" w:fill="CCFFCC"/>
            <w:hideMark/>
          </w:tcPr>
          <w:p w:rsidR="00C25ECF" w:rsidRDefault="003A781F">
            <w:pPr>
              <w:jc w:val="center"/>
              <w:rPr>
                <w:rFonts w:eastAsia="Times New Roman"/>
              </w:rPr>
            </w:pPr>
            <w:r>
              <w:rPr>
                <w:rFonts w:eastAsia="Times New Roman"/>
                <w:b/>
                <w:bCs/>
                <w:sz w:val="20"/>
                <w:szCs w:val="20"/>
              </w:rPr>
              <w:t>Consolidated Statement of Cash Flow </w:t>
            </w:r>
          </w:p>
        </w:tc>
      </w:tr>
      <w:tr w:rsidR="00C25ECF" w:rsidTr="00323F0C">
        <w:trPr>
          <w:tblCellSpacing w:w="15" w:type="dxa"/>
        </w:trPr>
        <w:tc>
          <w:tcPr>
            <w:tcW w:w="3325" w:type="pct"/>
            <w:shd w:val="clear" w:color="auto" w:fill="CCFFCC"/>
            <w:hideMark/>
          </w:tcPr>
          <w:p w:rsidR="00C25ECF" w:rsidRDefault="00C25ECF">
            <w:pPr>
              <w:rPr>
                <w:rFonts w:eastAsia="Times New Roman"/>
              </w:rPr>
            </w:pPr>
          </w:p>
        </w:tc>
        <w:tc>
          <w:tcPr>
            <w:tcW w:w="615" w:type="pct"/>
            <w:shd w:val="clear" w:color="auto" w:fill="CCFFCC"/>
            <w:hideMark/>
          </w:tcPr>
          <w:p w:rsidR="00C25ECF" w:rsidRDefault="00C25ECF">
            <w:pPr>
              <w:rPr>
                <w:rFonts w:eastAsia="Times New Roman"/>
              </w:rPr>
            </w:pPr>
          </w:p>
        </w:tc>
        <w:tc>
          <w:tcPr>
            <w:tcW w:w="342" w:type="pct"/>
            <w:shd w:val="clear" w:color="auto" w:fill="CCFFCC"/>
            <w:hideMark/>
          </w:tcPr>
          <w:p w:rsidR="00C25ECF" w:rsidRDefault="00C25ECF">
            <w:pPr>
              <w:rPr>
                <w:rFonts w:eastAsia="Times New Roman"/>
              </w:rPr>
            </w:pPr>
          </w:p>
        </w:tc>
        <w:tc>
          <w:tcPr>
            <w:tcW w:w="646" w:type="pct"/>
            <w:shd w:val="clear" w:color="auto" w:fill="CCFFCC"/>
            <w:hideMark/>
          </w:tcPr>
          <w:p w:rsidR="00C25ECF" w:rsidRDefault="00C25ECF">
            <w:pPr>
              <w:rPr>
                <w:rFonts w:eastAsia="Times New Roman"/>
              </w:rPr>
            </w:pPr>
          </w:p>
        </w:tc>
      </w:tr>
      <w:tr w:rsidR="00C25ECF" w:rsidTr="00323F0C">
        <w:trPr>
          <w:tblCellSpacing w:w="15" w:type="dxa"/>
        </w:trPr>
        <w:tc>
          <w:tcPr>
            <w:tcW w:w="0" w:type="auto"/>
            <w:shd w:val="clear" w:color="auto" w:fill="FFFFFF"/>
            <w:hideMark/>
          </w:tcPr>
          <w:p w:rsidR="00C25ECF" w:rsidRDefault="00C25ECF">
            <w:pPr>
              <w:rPr>
                <w:rFonts w:eastAsia="Times New Roman"/>
              </w:rPr>
            </w:pPr>
          </w:p>
        </w:tc>
        <w:tc>
          <w:tcPr>
            <w:tcW w:w="972" w:type="pct"/>
            <w:gridSpan w:val="2"/>
            <w:shd w:val="clear" w:color="auto" w:fill="FFFFFF"/>
            <w:hideMark/>
          </w:tcPr>
          <w:p w:rsidR="00C25ECF" w:rsidRDefault="003A781F">
            <w:pPr>
              <w:pStyle w:val="NormalWeb"/>
              <w:jc w:val="center"/>
            </w:pPr>
            <w:r>
              <w:rPr>
                <w:sz w:val="20"/>
                <w:szCs w:val="20"/>
              </w:rPr>
              <w:t>3 Month Period Ending</w:t>
            </w:r>
            <w:r>
              <w:rPr>
                <w:sz w:val="20"/>
                <w:szCs w:val="20"/>
              </w:rPr>
              <w:br/>
              <w:t>September 30</w:t>
            </w:r>
          </w:p>
        </w:tc>
        <w:tc>
          <w:tcPr>
            <w:tcW w:w="646" w:type="pct"/>
            <w:vAlign w:val="center"/>
            <w:hideMark/>
          </w:tcPr>
          <w:p w:rsidR="00C25ECF" w:rsidRDefault="003A781F">
            <w:pPr>
              <w:pStyle w:val="NormalWeb"/>
              <w:jc w:val="center"/>
            </w:pPr>
            <w:r>
              <w:rPr>
                <w:sz w:val="20"/>
                <w:szCs w:val="20"/>
              </w:rPr>
              <w:t>12 Month Period Ending June 30</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rPr>
              <w:t> </w:t>
            </w:r>
          </w:p>
        </w:tc>
        <w:tc>
          <w:tcPr>
            <w:tcW w:w="972" w:type="pct"/>
            <w:gridSpan w:val="2"/>
            <w:shd w:val="clear" w:color="auto" w:fill="CCFFCC"/>
            <w:hideMark/>
          </w:tcPr>
          <w:p w:rsidR="00C25ECF" w:rsidRDefault="003A781F">
            <w:pPr>
              <w:pStyle w:val="NormalWeb"/>
              <w:jc w:val="center"/>
            </w:pPr>
            <w:r>
              <w:rPr>
                <w:b/>
                <w:bCs/>
                <w:sz w:val="20"/>
                <w:szCs w:val="20"/>
              </w:rPr>
              <w:t xml:space="preserve">(unaudited) </w:t>
            </w:r>
          </w:p>
        </w:tc>
        <w:tc>
          <w:tcPr>
            <w:tcW w:w="646" w:type="pct"/>
            <w:vAlign w:val="center"/>
            <w:hideMark/>
          </w:tcPr>
          <w:p w:rsidR="00C25ECF" w:rsidRDefault="003A781F">
            <w:pPr>
              <w:pStyle w:val="NormalWeb"/>
              <w:jc w:val="center"/>
            </w:pPr>
            <w:r w:rsidRPr="00323F0C">
              <w:rPr>
                <w:b/>
                <w:bCs/>
                <w:sz w:val="20"/>
                <w:szCs w:val="20"/>
              </w:rPr>
              <w:t>(audited)</w:t>
            </w:r>
            <w:r>
              <w:rPr>
                <w:b/>
                <w:bCs/>
                <w:sz w:val="20"/>
                <w:szCs w:val="20"/>
              </w:rPr>
              <w:t xml:space="preserve"> </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rPr>
              <w:t> </w:t>
            </w:r>
          </w:p>
        </w:tc>
        <w:tc>
          <w:tcPr>
            <w:tcW w:w="615" w:type="pct"/>
            <w:shd w:val="clear" w:color="auto" w:fill="FFFFFF"/>
            <w:hideMark/>
          </w:tcPr>
          <w:p w:rsidR="00C25ECF" w:rsidRDefault="003A781F">
            <w:pPr>
              <w:pStyle w:val="NormalWeb"/>
              <w:jc w:val="right"/>
            </w:pPr>
            <w:r>
              <w:rPr>
                <w:b/>
                <w:bCs/>
                <w:sz w:val="20"/>
                <w:szCs w:val="20"/>
              </w:rPr>
              <w:t>2011</w:t>
            </w:r>
          </w:p>
        </w:tc>
        <w:tc>
          <w:tcPr>
            <w:tcW w:w="342" w:type="pct"/>
            <w:shd w:val="clear" w:color="auto" w:fill="FFFFFF"/>
            <w:hideMark/>
          </w:tcPr>
          <w:p w:rsidR="00C25ECF" w:rsidRDefault="003A781F">
            <w:pPr>
              <w:pStyle w:val="NormalWeb"/>
              <w:jc w:val="right"/>
            </w:pPr>
            <w:r>
              <w:rPr>
                <w:b/>
                <w:bCs/>
                <w:sz w:val="20"/>
                <w:szCs w:val="20"/>
              </w:rPr>
              <w:t>2010</w:t>
            </w:r>
          </w:p>
        </w:tc>
        <w:tc>
          <w:tcPr>
            <w:tcW w:w="646" w:type="pct"/>
            <w:shd w:val="clear" w:color="auto" w:fill="FFFFFF"/>
            <w:hideMark/>
          </w:tcPr>
          <w:p w:rsidR="00C25ECF" w:rsidRDefault="003A781F">
            <w:pPr>
              <w:pStyle w:val="NormalWeb"/>
              <w:jc w:val="right"/>
            </w:pPr>
            <w:r>
              <w:rPr>
                <w:b/>
                <w:bCs/>
                <w:sz w:val="20"/>
                <w:szCs w:val="20"/>
              </w:rPr>
              <w:t>2011</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b/>
                <w:bCs/>
                <w:sz w:val="20"/>
                <w:szCs w:val="20"/>
              </w:rPr>
              <w:t>Cash flow from operating activities</w:t>
            </w: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Net Income (Loss)</w:t>
            </w:r>
          </w:p>
        </w:tc>
        <w:tc>
          <w:tcPr>
            <w:tcW w:w="0" w:type="auto"/>
            <w:shd w:val="clear" w:color="auto" w:fill="FFFFFF"/>
            <w:hideMark/>
          </w:tcPr>
          <w:p w:rsidR="00C25ECF" w:rsidRDefault="003A781F">
            <w:pPr>
              <w:jc w:val="right"/>
              <w:rPr>
                <w:rFonts w:eastAsia="Times New Roman"/>
              </w:rPr>
            </w:pPr>
            <w:r>
              <w:rPr>
                <w:rFonts w:eastAsia="Times New Roman"/>
                <w:sz w:val="20"/>
                <w:szCs w:val="20"/>
              </w:rPr>
              <w:t>4,298</w:t>
            </w:r>
          </w:p>
        </w:tc>
        <w:tc>
          <w:tcPr>
            <w:tcW w:w="342" w:type="pct"/>
            <w:shd w:val="clear" w:color="auto" w:fill="FFFFFF"/>
            <w:hideMark/>
          </w:tcPr>
          <w:p w:rsidR="00C25ECF" w:rsidRDefault="003A781F">
            <w:pPr>
              <w:jc w:val="right"/>
              <w:rPr>
                <w:rFonts w:eastAsia="Times New Roman"/>
              </w:rPr>
            </w:pPr>
            <w:r>
              <w:rPr>
                <w:rFonts w:eastAsia="Times New Roman"/>
                <w:sz w:val="20"/>
                <w:szCs w:val="20"/>
              </w:rPr>
              <w:t>(1,582)</w:t>
            </w:r>
          </w:p>
        </w:tc>
        <w:tc>
          <w:tcPr>
            <w:tcW w:w="646" w:type="pct"/>
            <w:shd w:val="clear" w:color="auto" w:fill="FFFFFF"/>
            <w:hideMark/>
          </w:tcPr>
          <w:p w:rsidR="00C25ECF" w:rsidRDefault="003A781F">
            <w:pPr>
              <w:jc w:val="right"/>
              <w:rPr>
                <w:rFonts w:eastAsia="Times New Roman"/>
              </w:rPr>
            </w:pPr>
            <w:r>
              <w:rPr>
                <w:rFonts w:eastAsia="Times New Roman"/>
                <w:sz w:val="20"/>
                <w:szCs w:val="20"/>
              </w:rPr>
              <w:t>69,201</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 </w:t>
            </w: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342" w:type="pct"/>
            <w:shd w:val="clear" w:color="auto" w:fill="FFFFFF"/>
            <w:hideMark/>
          </w:tcPr>
          <w:p w:rsidR="00C25ECF" w:rsidRDefault="003A781F">
            <w:pPr>
              <w:jc w:val="right"/>
              <w:rPr>
                <w:rFonts w:eastAsia="Times New Roman"/>
              </w:rPr>
            </w:pPr>
            <w:r>
              <w:rPr>
                <w:rFonts w:eastAsia="Times New Roman"/>
                <w:sz w:val="20"/>
                <w:szCs w:val="20"/>
              </w:rPr>
              <w:t>-</w:t>
            </w:r>
          </w:p>
        </w:tc>
        <w:tc>
          <w:tcPr>
            <w:tcW w:w="646" w:type="pct"/>
            <w:shd w:val="clear" w:color="auto" w:fill="FFFFFF"/>
            <w:hideMark/>
          </w:tcPr>
          <w:p w:rsidR="00C25ECF" w:rsidRDefault="003A781F">
            <w:pPr>
              <w:jc w:val="right"/>
              <w:rPr>
                <w:rFonts w:eastAsia="Times New Roman"/>
              </w:rPr>
            </w:pPr>
            <w:r>
              <w:rPr>
                <w:rFonts w:eastAsia="Times New Roman"/>
                <w:sz w:val="20"/>
                <w:szCs w:val="20"/>
              </w:rPr>
              <w:t>-</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C25ECF" w:rsidRDefault="003A781F">
            <w:pPr>
              <w:jc w:val="right"/>
              <w:rPr>
                <w:rFonts w:eastAsia="Times New Roman"/>
              </w:rPr>
            </w:pPr>
            <w:r>
              <w:rPr>
                <w:rFonts w:eastAsia="Times New Roman"/>
                <w:sz w:val="20"/>
                <w:szCs w:val="20"/>
              </w:rPr>
              <w:t>7,547</w:t>
            </w:r>
          </w:p>
        </w:tc>
        <w:tc>
          <w:tcPr>
            <w:tcW w:w="342" w:type="pct"/>
            <w:shd w:val="clear" w:color="auto" w:fill="CCFFCC"/>
            <w:hideMark/>
          </w:tcPr>
          <w:p w:rsidR="00C25ECF" w:rsidRDefault="003A781F">
            <w:pPr>
              <w:jc w:val="right"/>
              <w:rPr>
                <w:rFonts w:eastAsia="Times New Roman"/>
              </w:rPr>
            </w:pPr>
            <w:r>
              <w:rPr>
                <w:rFonts w:eastAsia="Times New Roman"/>
                <w:sz w:val="20"/>
                <w:szCs w:val="20"/>
              </w:rPr>
              <w:t>-</w:t>
            </w:r>
          </w:p>
        </w:tc>
        <w:tc>
          <w:tcPr>
            <w:tcW w:w="646" w:type="pct"/>
            <w:shd w:val="clear" w:color="auto" w:fill="CCFFCC"/>
            <w:hideMark/>
          </w:tcPr>
          <w:p w:rsidR="00C25ECF" w:rsidRDefault="003A781F">
            <w:pPr>
              <w:jc w:val="right"/>
              <w:rPr>
                <w:rFonts w:eastAsia="Times New Roman"/>
              </w:rPr>
            </w:pPr>
            <w:r>
              <w:rPr>
                <w:rFonts w:eastAsia="Times New Roman"/>
                <w:sz w:val="20"/>
                <w:szCs w:val="20"/>
              </w:rPr>
              <w:t>(7,547)</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Accounts Payable and Accrued Expenses</w:t>
            </w:r>
          </w:p>
        </w:tc>
        <w:tc>
          <w:tcPr>
            <w:tcW w:w="0" w:type="auto"/>
            <w:shd w:val="clear" w:color="auto" w:fill="FFFFFF"/>
            <w:hideMark/>
          </w:tcPr>
          <w:p w:rsidR="00C25ECF" w:rsidRDefault="003A781F">
            <w:pPr>
              <w:jc w:val="right"/>
              <w:rPr>
                <w:rFonts w:eastAsia="Times New Roman"/>
              </w:rPr>
            </w:pPr>
            <w:r>
              <w:rPr>
                <w:rFonts w:eastAsia="Times New Roman"/>
                <w:sz w:val="20"/>
                <w:szCs w:val="20"/>
              </w:rPr>
              <w:t>(5,371)</w:t>
            </w:r>
          </w:p>
        </w:tc>
        <w:tc>
          <w:tcPr>
            <w:tcW w:w="342" w:type="pct"/>
            <w:shd w:val="clear" w:color="auto" w:fill="FFFFFF"/>
            <w:hideMark/>
          </w:tcPr>
          <w:p w:rsidR="00C25ECF" w:rsidRDefault="003A781F">
            <w:pPr>
              <w:jc w:val="right"/>
              <w:rPr>
                <w:rFonts w:eastAsia="Times New Roman"/>
              </w:rPr>
            </w:pPr>
            <w:r>
              <w:rPr>
                <w:rFonts w:eastAsia="Times New Roman"/>
                <w:sz w:val="20"/>
                <w:szCs w:val="20"/>
              </w:rPr>
              <w:t>(568)</w:t>
            </w:r>
          </w:p>
        </w:tc>
        <w:tc>
          <w:tcPr>
            <w:tcW w:w="646" w:type="pct"/>
            <w:shd w:val="clear" w:color="auto" w:fill="FFFFFF"/>
            <w:hideMark/>
          </w:tcPr>
          <w:p w:rsidR="00C25ECF" w:rsidRDefault="003A781F">
            <w:pPr>
              <w:jc w:val="right"/>
              <w:rPr>
                <w:rFonts w:eastAsia="Times New Roman"/>
              </w:rPr>
            </w:pPr>
            <w:r>
              <w:rPr>
                <w:rFonts w:eastAsia="Times New Roman"/>
                <w:sz w:val="20"/>
                <w:szCs w:val="20"/>
              </w:rPr>
              <w:t>(14,455)</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Current Portion of Long Term Debt</w:t>
            </w:r>
          </w:p>
        </w:tc>
        <w:tc>
          <w:tcPr>
            <w:tcW w:w="0" w:type="auto"/>
            <w:shd w:val="clear" w:color="auto" w:fill="CCFFCC"/>
            <w:hideMark/>
          </w:tcPr>
          <w:p w:rsidR="00C25ECF" w:rsidRDefault="003A781F">
            <w:pPr>
              <w:jc w:val="right"/>
              <w:rPr>
                <w:rFonts w:eastAsia="Times New Roman"/>
              </w:rPr>
            </w:pPr>
            <w:r>
              <w:rPr>
                <w:rFonts w:eastAsia="Times New Roman"/>
                <w:sz w:val="20"/>
                <w:szCs w:val="20"/>
              </w:rPr>
              <w:t>-</w:t>
            </w:r>
          </w:p>
        </w:tc>
        <w:tc>
          <w:tcPr>
            <w:tcW w:w="342" w:type="pct"/>
            <w:shd w:val="clear" w:color="auto" w:fill="CCFFCC"/>
            <w:hideMark/>
          </w:tcPr>
          <w:p w:rsidR="00C25ECF" w:rsidRDefault="003A781F">
            <w:pPr>
              <w:jc w:val="right"/>
              <w:rPr>
                <w:rFonts w:eastAsia="Times New Roman"/>
              </w:rPr>
            </w:pPr>
            <w:r>
              <w:rPr>
                <w:rFonts w:eastAsia="Times New Roman"/>
                <w:sz w:val="20"/>
                <w:szCs w:val="20"/>
              </w:rPr>
              <w:t>-</w:t>
            </w:r>
          </w:p>
        </w:tc>
        <w:tc>
          <w:tcPr>
            <w:tcW w:w="646" w:type="pct"/>
            <w:shd w:val="clear" w:color="auto" w:fill="CCFFCC"/>
            <w:hideMark/>
          </w:tcPr>
          <w:p w:rsidR="00C25ECF" w:rsidRDefault="003A781F">
            <w:pPr>
              <w:jc w:val="right"/>
              <w:rPr>
                <w:rFonts w:eastAsia="Times New Roman"/>
              </w:rPr>
            </w:pPr>
            <w:r>
              <w:rPr>
                <w:rFonts w:eastAsia="Times New Roman"/>
                <w:sz w:val="20"/>
                <w:szCs w:val="20"/>
              </w:rPr>
              <w:t>1,679</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Note Payable</w:t>
            </w:r>
          </w:p>
        </w:tc>
        <w:tc>
          <w:tcPr>
            <w:tcW w:w="0" w:type="auto"/>
            <w:shd w:val="clear" w:color="auto" w:fill="CCFFCC"/>
            <w:hideMark/>
          </w:tcPr>
          <w:p w:rsidR="00C25ECF" w:rsidRDefault="003A781F">
            <w:pPr>
              <w:jc w:val="right"/>
              <w:rPr>
                <w:rFonts w:eastAsia="Times New Roman"/>
              </w:rPr>
            </w:pPr>
            <w:r>
              <w:rPr>
                <w:rFonts w:eastAsia="Times New Roman"/>
                <w:sz w:val="20"/>
                <w:szCs w:val="20"/>
              </w:rPr>
              <w:t>6,604</w:t>
            </w:r>
          </w:p>
        </w:tc>
        <w:tc>
          <w:tcPr>
            <w:tcW w:w="342" w:type="pct"/>
            <w:shd w:val="clear" w:color="auto" w:fill="CCFFCC"/>
            <w:hideMark/>
          </w:tcPr>
          <w:p w:rsidR="00C25ECF" w:rsidRDefault="003A781F">
            <w:pPr>
              <w:jc w:val="right"/>
              <w:rPr>
                <w:rFonts w:eastAsia="Times New Roman"/>
              </w:rPr>
            </w:pPr>
            <w:r>
              <w:rPr>
                <w:rFonts w:eastAsia="Times New Roman"/>
                <w:sz w:val="20"/>
                <w:szCs w:val="20"/>
              </w:rPr>
              <w:t>-</w:t>
            </w:r>
          </w:p>
        </w:tc>
        <w:tc>
          <w:tcPr>
            <w:tcW w:w="646" w:type="pct"/>
            <w:shd w:val="clear" w:color="auto" w:fill="CCFFCC"/>
            <w:hideMark/>
          </w:tcPr>
          <w:p w:rsidR="00C25ECF" w:rsidRDefault="003A781F">
            <w:pPr>
              <w:jc w:val="right"/>
              <w:rPr>
                <w:rFonts w:eastAsia="Times New Roman"/>
              </w:rPr>
            </w:pPr>
            <w:r>
              <w:rPr>
                <w:rFonts w:eastAsia="Times New Roman"/>
                <w:sz w:val="20"/>
                <w:szCs w:val="20"/>
              </w:rPr>
              <w:t>(3,108)</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Taxes Payable</w:t>
            </w:r>
          </w:p>
        </w:tc>
        <w:tc>
          <w:tcPr>
            <w:tcW w:w="0" w:type="auto"/>
            <w:shd w:val="clear" w:color="auto" w:fill="CCFFCC"/>
            <w:hideMark/>
          </w:tcPr>
          <w:p w:rsidR="00C25ECF" w:rsidRDefault="003A781F">
            <w:pPr>
              <w:jc w:val="right"/>
              <w:rPr>
                <w:rFonts w:eastAsia="Times New Roman"/>
              </w:rPr>
            </w:pPr>
            <w:r>
              <w:rPr>
                <w:rFonts w:eastAsia="Times New Roman"/>
                <w:sz w:val="20"/>
                <w:szCs w:val="20"/>
              </w:rPr>
              <w:t>(2,383)</w:t>
            </w:r>
          </w:p>
        </w:tc>
        <w:tc>
          <w:tcPr>
            <w:tcW w:w="342" w:type="pct"/>
            <w:shd w:val="clear" w:color="auto" w:fill="CCFFCC"/>
            <w:hideMark/>
          </w:tcPr>
          <w:p w:rsidR="00C25ECF" w:rsidRDefault="003A781F">
            <w:pPr>
              <w:jc w:val="right"/>
              <w:rPr>
                <w:rFonts w:eastAsia="Times New Roman"/>
              </w:rPr>
            </w:pPr>
            <w:r>
              <w:rPr>
                <w:rFonts w:eastAsia="Times New Roman"/>
                <w:sz w:val="20"/>
                <w:szCs w:val="20"/>
              </w:rPr>
              <w:t>(161)</w:t>
            </w:r>
          </w:p>
        </w:tc>
        <w:tc>
          <w:tcPr>
            <w:tcW w:w="646" w:type="pct"/>
            <w:shd w:val="clear" w:color="auto" w:fill="CCFFCC"/>
            <w:hideMark/>
          </w:tcPr>
          <w:p w:rsidR="00C25ECF" w:rsidRDefault="003A781F">
            <w:pPr>
              <w:jc w:val="right"/>
              <w:rPr>
                <w:rFonts w:eastAsia="Times New Roman"/>
              </w:rPr>
            </w:pPr>
            <w:r>
              <w:rPr>
                <w:rFonts w:eastAsia="Times New Roman"/>
                <w:sz w:val="20"/>
                <w:szCs w:val="20"/>
              </w:rPr>
              <w:t>50,155</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Prepaid Rental Revenues, ANV</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342" w:type="pct"/>
            <w:shd w:val="clear" w:color="auto" w:fill="FFFFFF"/>
            <w:hideMark/>
          </w:tcPr>
          <w:p w:rsidR="00C25ECF" w:rsidRDefault="003A781F">
            <w:pPr>
              <w:jc w:val="right"/>
              <w:rPr>
                <w:rFonts w:eastAsia="Times New Roman"/>
              </w:rPr>
            </w:pPr>
            <w:r>
              <w:rPr>
                <w:rFonts w:eastAsia="Times New Roman"/>
                <w:sz w:val="20"/>
                <w:szCs w:val="20"/>
              </w:rPr>
              <w:t>-</w:t>
            </w:r>
          </w:p>
        </w:tc>
        <w:tc>
          <w:tcPr>
            <w:tcW w:w="646" w:type="pct"/>
            <w:shd w:val="clear" w:color="auto" w:fill="FFFFFF"/>
            <w:hideMark/>
          </w:tcPr>
          <w:p w:rsidR="00C25ECF" w:rsidRDefault="003A781F">
            <w:pPr>
              <w:jc w:val="right"/>
              <w:rPr>
                <w:rFonts w:eastAsia="Times New Roman"/>
              </w:rPr>
            </w:pPr>
            <w:r>
              <w:rPr>
                <w:rFonts w:eastAsia="Times New Roman"/>
                <w:sz w:val="20"/>
                <w:szCs w:val="20"/>
              </w:rPr>
              <w:t>1,426</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Write up of Land &amp; Buildings</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342" w:type="pct"/>
            <w:shd w:val="clear" w:color="auto" w:fill="FFFFFF"/>
            <w:hideMark/>
          </w:tcPr>
          <w:p w:rsidR="00C25ECF" w:rsidRDefault="003A781F">
            <w:pPr>
              <w:jc w:val="right"/>
              <w:rPr>
                <w:rFonts w:eastAsia="Times New Roman"/>
              </w:rPr>
            </w:pPr>
            <w:r>
              <w:rPr>
                <w:rFonts w:eastAsia="Times New Roman"/>
                <w:sz w:val="20"/>
                <w:szCs w:val="20"/>
              </w:rPr>
              <w:t>-</w:t>
            </w:r>
          </w:p>
        </w:tc>
        <w:tc>
          <w:tcPr>
            <w:tcW w:w="646" w:type="pct"/>
            <w:shd w:val="clear" w:color="auto" w:fill="FFFFFF"/>
            <w:hideMark/>
          </w:tcPr>
          <w:p w:rsidR="00C25ECF" w:rsidRDefault="003A781F">
            <w:pPr>
              <w:jc w:val="right"/>
              <w:rPr>
                <w:rFonts w:eastAsia="Times New Roman"/>
              </w:rPr>
            </w:pPr>
            <w:r>
              <w:rPr>
                <w:rFonts w:eastAsia="Times New Roman"/>
                <w:sz w:val="20"/>
                <w:szCs w:val="20"/>
              </w:rPr>
              <w:t>(97,641)</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Total Adjustments</w:t>
            </w:r>
          </w:p>
        </w:tc>
        <w:tc>
          <w:tcPr>
            <w:tcW w:w="0" w:type="auto"/>
            <w:shd w:val="clear" w:color="auto" w:fill="FFFFFF"/>
            <w:hideMark/>
          </w:tcPr>
          <w:p w:rsidR="00C25ECF" w:rsidRDefault="003A781F">
            <w:pPr>
              <w:jc w:val="right"/>
              <w:rPr>
                <w:rFonts w:eastAsia="Times New Roman"/>
              </w:rPr>
            </w:pPr>
            <w:r>
              <w:rPr>
                <w:rFonts w:eastAsia="Times New Roman"/>
                <w:sz w:val="20"/>
                <w:szCs w:val="20"/>
              </w:rPr>
              <w:t>6,451</w:t>
            </w:r>
          </w:p>
        </w:tc>
        <w:tc>
          <w:tcPr>
            <w:tcW w:w="342" w:type="pct"/>
            <w:shd w:val="clear" w:color="auto" w:fill="FFFFFF"/>
            <w:hideMark/>
          </w:tcPr>
          <w:p w:rsidR="00C25ECF" w:rsidRDefault="003A781F">
            <w:pPr>
              <w:jc w:val="right"/>
              <w:rPr>
                <w:rFonts w:eastAsia="Times New Roman"/>
              </w:rPr>
            </w:pPr>
            <w:r>
              <w:rPr>
                <w:rFonts w:eastAsia="Times New Roman"/>
                <w:sz w:val="20"/>
                <w:szCs w:val="20"/>
              </w:rPr>
              <w:t>(729)</w:t>
            </w:r>
          </w:p>
        </w:tc>
        <w:tc>
          <w:tcPr>
            <w:tcW w:w="646" w:type="pct"/>
            <w:shd w:val="clear" w:color="auto" w:fill="FFFFFF"/>
            <w:hideMark/>
          </w:tcPr>
          <w:p w:rsidR="00C25ECF" w:rsidRDefault="003A781F">
            <w:pPr>
              <w:jc w:val="right"/>
              <w:rPr>
                <w:rFonts w:eastAsia="Times New Roman"/>
              </w:rPr>
            </w:pPr>
            <w:r>
              <w:rPr>
                <w:rFonts w:eastAsia="Times New Roman"/>
                <w:sz w:val="20"/>
                <w:szCs w:val="20"/>
              </w:rPr>
              <w:t>(69,491)</w:t>
            </w:r>
          </w:p>
        </w:tc>
      </w:tr>
      <w:tr w:rsidR="00C25ECF" w:rsidTr="00323F0C">
        <w:trPr>
          <w:tblCellSpacing w:w="15" w:type="dxa"/>
        </w:trPr>
        <w:tc>
          <w:tcPr>
            <w:tcW w:w="0" w:type="auto"/>
            <w:shd w:val="clear" w:color="auto" w:fill="CCFFCC"/>
            <w:hideMark/>
          </w:tcPr>
          <w:p w:rsidR="00C25ECF" w:rsidRDefault="00C25ECF">
            <w:pPr>
              <w:rPr>
                <w:rFonts w:eastAsia="Times New Roman"/>
              </w:rPr>
            </w:pP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Net Cash provided (used) by operations</w:t>
            </w:r>
          </w:p>
        </w:tc>
        <w:tc>
          <w:tcPr>
            <w:tcW w:w="0" w:type="auto"/>
            <w:shd w:val="clear" w:color="auto" w:fill="FFFFFF"/>
            <w:hideMark/>
          </w:tcPr>
          <w:p w:rsidR="00C25ECF" w:rsidRDefault="003A781F">
            <w:pPr>
              <w:jc w:val="right"/>
              <w:rPr>
                <w:rFonts w:eastAsia="Times New Roman"/>
              </w:rPr>
            </w:pPr>
            <w:r>
              <w:rPr>
                <w:rFonts w:eastAsia="Times New Roman"/>
                <w:sz w:val="20"/>
                <w:szCs w:val="20"/>
              </w:rPr>
              <w:t>10,749</w:t>
            </w:r>
          </w:p>
        </w:tc>
        <w:tc>
          <w:tcPr>
            <w:tcW w:w="342" w:type="pct"/>
            <w:shd w:val="clear" w:color="auto" w:fill="FFFFFF"/>
            <w:hideMark/>
          </w:tcPr>
          <w:p w:rsidR="00C25ECF" w:rsidRDefault="003A781F">
            <w:pPr>
              <w:jc w:val="right"/>
              <w:rPr>
                <w:rFonts w:eastAsia="Times New Roman"/>
              </w:rPr>
            </w:pPr>
            <w:r>
              <w:rPr>
                <w:rFonts w:eastAsia="Times New Roman"/>
                <w:sz w:val="20"/>
                <w:szCs w:val="20"/>
              </w:rPr>
              <w:t>(2,311)</w:t>
            </w:r>
          </w:p>
        </w:tc>
        <w:tc>
          <w:tcPr>
            <w:tcW w:w="646" w:type="pct"/>
            <w:shd w:val="clear" w:color="auto" w:fill="FFFFFF"/>
            <w:hideMark/>
          </w:tcPr>
          <w:p w:rsidR="00C25ECF" w:rsidRDefault="003A781F">
            <w:pPr>
              <w:jc w:val="right"/>
              <w:rPr>
                <w:rFonts w:eastAsia="Times New Roman"/>
              </w:rPr>
            </w:pPr>
            <w:r>
              <w:rPr>
                <w:rFonts w:eastAsia="Times New Roman"/>
                <w:sz w:val="20"/>
                <w:szCs w:val="20"/>
              </w:rPr>
              <w:t>(290)</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 </w:t>
            </w: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b/>
                <w:bCs/>
                <w:sz w:val="20"/>
                <w:szCs w:val="20"/>
              </w:rPr>
              <w:t>Cash Flows from financing activities:</w:t>
            </w:r>
          </w:p>
        </w:tc>
        <w:tc>
          <w:tcPr>
            <w:tcW w:w="0" w:type="auto"/>
            <w:shd w:val="clear" w:color="auto" w:fill="FFFFFF"/>
            <w:hideMark/>
          </w:tcPr>
          <w:p w:rsidR="00C25ECF" w:rsidRDefault="00C25ECF">
            <w:pPr>
              <w:jc w:val="right"/>
              <w:rPr>
                <w:rFonts w:eastAsia="Times New Roman"/>
              </w:rPr>
            </w:pPr>
          </w:p>
        </w:tc>
        <w:tc>
          <w:tcPr>
            <w:tcW w:w="342" w:type="pct"/>
            <w:shd w:val="clear" w:color="auto" w:fill="FFFFFF"/>
            <w:hideMark/>
          </w:tcPr>
          <w:p w:rsidR="00C25ECF" w:rsidRDefault="00C25ECF">
            <w:pPr>
              <w:jc w:val="right"/>
              <w:rPr>
                <w:rFonts w:eastAsia="Times New Roman"/>
              </w:rPr>
            </w:pPr>
          </w:p>
        </w:tc>
        <w:tc>
          <w:tcPr>
            <w:tcW w:w="646" w:type="pct"/>
            <w:shd w:val="clear" w:color="auto" w:fill="FFFFFF"/>
            <w:hideMark/>
          </w:tcPr>
          <w:p w:rsidR="00C25ECF" w:rsidRDefault="00C25ECF">
            <w:pPr>
              <w:jc w:val="right"/>
              <w:rPr>
                <w:rFonts w:eastAsia="Times New Roman"/>
              </w:rPr>
            </w:pP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Proceeds From:</w:t>
            </w: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Note Payable, Crossfield</w:t>
            </w:r>
          </w:p>
        </w:tc>
        <w:tc>
          <w:tcPr>
            <w:tcW w:w="0" w:type="auto"/>
            <w:shd w:val="clear" w:color="auto" w:fill="FFFFFF"/>
            <w:hideMark/>
          </w:tcPr>
          <w:p w:rsidR="00C25ECF" w:rsidRDefault="003A781F">
            <w:pPr>
              <w:jc w:val="right"/>
              <w:rPr>
                <w:rFonts w:eastAsia="Times New Roman"/>
              </w:rPr>
            </w:pPr>
            <w:r>
              <w:rPr>
                <w:rFonts w:eastAsia="Times New Roman"/>
                <w:sz w:val="20"/>
                <w:szCs w:val="20"/>
              </w:rPr>
              <w:t>-</w:t>
            </w:r>
          </w:p>
        </w:tc>
        <w:tc>
          <w:tcPr>
            <w:tcW w:w="342" w:type="pct"/>
            <w:shd w:val="clear" w:color="auto" w:fill="FFFFFF"/>
            <w:hideMark/>
          </w:tcPr>
          <w:p w:rsidR="00C25ECF" w:rsidRDefault="003A781F">
            <w:pPr>
              <w:jc w:val="right"/>
              <w:rPr>
                <w:rFonts w:eastAsia="Times New Roman"/>
              </w:rPr>
            </w:pPr>
            <w:r>
              <w:rPr>
                <w:rFonts w:eastAsia="Times New Roman"/>
                <w:sz w:val="20"/>
                <w:szCs w:val="20"/>
              </w:rPr>
              <w:t>-</w:t>
            </w:r>
          </w:p>
        </w:tc>
        <w:tc>
          <w:tcPr>
            <w:tcW w:w="646" w:type="pct"/>
            <w:shd w:val="clear" w:color="auto" w:fill="FFFFFF"/>
            <w:hideMark/>
          </w:tcPr>
          <w:p w:rsidR="00C25ECF" w:rsidRDefault="003A781F">
            <w:pPr>
              <w:jc w:val="right"/>
              <w:rPr>
                <w:rFonts w:eastAsia="Times New Roman"/>
              </w:rPr>
            </w:pPr>
            <w:r>
              <w:rPr>
                <w:rFonts w:eastAsia="Times New Roman"/>
                <w:sz w:val="20"/>
                <w:szCs w:val="20"/>
              </w:rPr>
              <w:t>2,335</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Proceeds Used For:</w:t>
            </w: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Long Term Debt</w:t>
            </w:r>
          </w:p>
        </w:tc>
        <w:tc>
          <w:tcPr>
            <w:tcW w:w="0" w:type="auto"/>
            <w:shd w:val="clear" w:color="auto" w:fill="CCFFCC"/>
            <w:hideMark/>
          </w:tcPr>
          <w:p w:rsidR="00C25ECF" w:rsidRDefault="003A781F">
            <w:pPr>
              <w:jc w:val="right"/>
              <w:rPr>
                <w:rFonts w:eastAsia="Times New Roman"/>
              </w:rPr>
            </w:pPr>
            <w:r>
              <w:rPr>
                <w:rFonts w:eastAsia="Times New Roman"/>
                <w:sz w:val="20"/>
                <w:szCs w:val="20"/>
              </w:rPr>
              <w:t>(2,176)</w:t>
            </w:r>
          </w:p>
        </w:tc>
        <w:tc>
          <w:tcPr>
            <w:tcW w:w="342" w:type="pct"/>
            <w:shd w:val="clear" w:color="auto" w:fill="CCFFCC"/>
            <w:hideMark/>
          </w:tcPr>
          <w:p w:rsidR="00C25ECF" w:rsidRDefault="003A781F">
            <w:pPr>
              <w:jc w:val="right"/>
              <w:rPr>
                <w:rFonts w:eastAsia="Times New Roman"/>
              </w:rPr>
            </w:pPr>
            <w:r>
              <w:rPr>
                <w:rFonts w:eastAsia="Times New Roman"/>
                <w:sz w:val="20"/>
                <w:szCs w:val="20"/>
              </w:rPr>
              <w:t>(1,969)</w:t>
            </w:r>
          </w:p>
        </w:tc>
        <w:tc>
          <w:tcPr>
            <w:tcW w:w="646" w:type="pct"/>
            <w:shd w:val="clear" w:color="auto" w:fill="CCFFCC"/>
            <w:hideMark/>
          </w:tcPr>
          <w:p w:rsidR="00C25ECF" w:rsidRDefault="003A781F">
            <w:pPr>
              <w:jc w:val="right"/>
              <w:rPr>
                <w:rFonts w:eastAsia="Times New Roman"/>
              </w:rPr>
            </w:pPr>
            <w:r>
              <w:rPr>
                <w:rFonts w:eastAsia="Times New Roman"/>
                <w:sz w:val="20"/>
                <w:szCs w:val="20"/>
              </w:rPr>
              <w:t>1,245</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b/>
                <w:bCs/>
                <w:sz w:val="20"/>
                <w:szCs w:val="20"/>
              </w:rPr>
              <w:t>Net Cash Flows used in Financing Activities:</w:t>
            </w:r>
          </w:p>
        </w:tc>
        <w:tc>
          <w:tcPr>
            <w:tcW w:w="0" w:type="auto"/>
            <w:shd w:val="clear" w:color="auto" w:fill="CCFFCC"/>
            <w:hideMark/>
          </w:tcPr>
          <w:p w:rsidR="00C25ECF" w:rsidRDefault="003A781F">
            <w:pPr>
              <w:jc w:val="right"/>
              <w:rPr>
                <w:rFonts w:eastAsia="Times New Roman"/>
              </w:rPr>
            </w:pPr>
            <w:r>
              <w:rPr>
                <w:rFonts w:eastAsia="Times New Roman"/>
                <w:sz w:val="20"/>
                <w:szCs w:val="20"/>
              </w:rPr>
              <w:t>(2,176)</w:t>
            </w:r>
          </w:p>
        </w:tc>
        <w:tc>
          <w:tcPr>
            <w:tcW w:w="342" w:type="pct"/>
            <w:shd w:val="clear" w:color="auto" w:fill="CCFFCC"/>
            <w:hideMark/>
          </w:tcPr>
          <w:p w:rsidR="00C25ECF" w:rsidRDefault="003A781F">
            <w:pPr>
              <w:jc w:val="right"/>
              <w:rPr>
                <w:rFonts w:eastAsia="Times New Roman"/>
              </w:rPr>
            </w:pPr>
            <w:r>
              <w:rPr>
                <w:rFonts w:eastAsia="Times New Roman"/>
                <w:sz w:val="20"/>
                <w:szCs w:val="20"/>
              </w:rPr>
              <w:t>(1,969)</w:t>
            </w:r>
          </w:p>
        </w:tc>
        <w:tc>
          <w:tcPr>
            <w:tcW w:w="646" w:type="pct"/>
            <w:shd w:val="clear" w:color="auto" w:fill="CCFFCC"/>
            <w:hideMark/>
          </w:tcPr>
          <w:p w:rsidR="00C25ECF" w:rsidRDefault="003A781F">
            <w:pPr>
              <w:jc w:val="right"/>
              <w:rPr>
                <w:rFonts w:eastAsia="Times New Roman"/>
              </w:rPr>
            </w:pPr>
            <w:r>
              <w:rPr>
                <w:rFonts w:eastAsia="Times New Roman"/>
                <w:sz w:val="20"/>
                <w:szCs w:val="20"/>
              </w:rPr>
              <w:t>3,580</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rPr>
              <w:t> </w:t>
            </w:r>
          </w:p>
        </w:tc>
        <w:tc>
          <w:tcPr>
            <w:tcW w:w="0" w:type="auto"/>
            <w:shd w:val="clear" w:color="auto" w:fill="FFFFFF"/>
            <w:hideMark/>
          </w:tcPr>
          <w:p w:rsidR="00C25ECF" w:rsidRDefault="00C25ECF">
            <w:pPr>
              <w:jc w:val="right"/>
              <w:rPr>
                <w:rFonts w:eastAsia="Times New Roman"/>
              </w:rPr>
            </w:pPr>
          </w:p>
        </w:tc>
        <w:tc>
          <w:tcPr>
            <w:tcW w:w="342" w:type="pct"/>
            <w:shd w:val="clear" w:color="auto" w:fill="FFFFFF"/>
            <w:hideMark/>
          </w:tcPr>
          <w:p w:rsidR="00C25ECF" w:rsidRDefault="00C25ECF">
            <w:pPr>
              <w:jc w:val="right"/>
              <w:rPr>
                <w:rFonts w:eastAsia="Times New Roman"/>
              </w:rPr>
            </w:pPr>
          </w:p>
        </w:tc>
        <w:tc>
          <w:tcPr>
            <w:tcW w:w="646" w:type="pct"/>
            <w:shd w:val="clear" w:color="auto" w:fill="FFFFFF"/>
            <w:hideMark/>
          </w:tcPr>
          <w:p w:rsidR="00C25ECF" w:rsidRDefault="00C25ECF">
            <w:pPr>
              <w:jc w:val="right"/>
              <w:rPr>
                <w:rFonts w:eastAsia="Times New Roman"/>
              </w:rPr>
            </w:pP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b/>
                <w:bCs/>
                <w:sz w:val="20"/>
                <w:szCs w:val="20"/>
              </w:rPr>
              <w:t>Net Increase (decrease) in Cash</w:t>
            </w:r>
          </w:p>
        </w:tc>
        <w:tc>
          <w:tcPr>
            <w:tcW w:w="0" w:type="auto"/>
            <w:shd w:val="clear" w:color="auto" w:fill="CCFFCC"/>
            <w:hideMark/>
          </w:tcPr>
          <w:p w:rsidR="00C25ECF" w:rsidRDefault="003A781F">
            <w:pPr>
              <w:jc w:val="right"/>
              <w:rPr>
                <w:rFonts w:eastAsia="Times New Roman"/>
              </w:rPr>
            </w:pPr>
            <w:r>
              <w:rPr>
                <w:rFonts w:eastAsia="Times New Roman"/>
                <w:sz w:val="20"/>
                <w:szCs w:val="20"/>
              </w:rPr>
              <w:t>8,573</w:t>
            </w:r>
          </w:p>
        </w:tc>
        <w:tc>
          <w:tcPr>
            <w:tcW w:w="342" w:type="pct"/>
            <w:shd w:val="clear" w:color="auto" w:fill="CCFFCC"/>
            <w:hideMark/>
          </w:tcPr>
          <w:p w:rsidR="00C25ECF" w:rsidRDefault="003A781F">
            <w:pPr>
              <w:jc w:val="right"/>
              <w:rPr>
                <w:rFonts w:eastAsia="Times New Roman"/>
              </w:rPr>
            </w:pPr>
            <w:r>
              <w:rPr>
                <w:rFonts w:eastAsia="Times New Roman"/>
                <w:sz w:val="20"/>
                <w:szCs w:val="20"/>
              </w:rPr>
              <w:t>(4,281)</w:t>
            </w:r>
          </w:p>
        </w:tc>
        <w:tc>
          <w:tcPr>
            <w:tcW w:w="646" w:type="pct"/>
            <w:shd w:val="clear" w:color="auto" w:fill="CCFFCC"/>
            <w:hideMark/>
          </w:tcPr>
          <w:p w:rsidR="00C25ECF" w:rsidRDefault="003A781F">
            <w:pPr>
              <w:jc w:val="right"/>
              <w:rPr>
                <w:rFonts w:eastAsia="Times New Roman"/>
              </w:rPr>
            </w:pPr>
            <w:r>
              <w:rPr>
                <w:rFonts w:eastAsia="Times New Roman"/>
                <w:sz w:val="20"/>
                <w:szCs w:val="20"/>
              </w:rPr>
              <w:t>3,290</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sz w:val="20"/>
                <w:szCs w:val="20"/>
              </w:rPr>
              <w:t> </w:t>
            </w:r>
          </w:p>
        </w:tc>
        <w:tc>
          <w:tcPr>
            <w:tcW w:w="0" w:type="auto"/>
            <w:shd w:val="clear" w:color="auto" w:fill="FFFFFF"/>
            <w:hideMark/>
          </w:tcPr>
          <w:p w:rsidR="00C25ECF" w:rsidRDefault="00C25ECF">
            <w:pPr>
              <w:jc w:val="right"/>
              <w:rPr>
                <w:rFonts w:eastAsia="Times New Roman"/>
              </w:rPr>
            </w:pPr>
          </w:p>
        </w:tc>
        <w:tc>
          <w:tcPr>
            <w:tcW w:w="342" w:type="pct"/>
            <w:shd w:val="clear" w:color="auto" w:fill="FFFFFF"/>
            <w:hideMark/>
          </w:tcPr>
          <w:p w:rsidR="00C25ECF" w:rsidRDefault="00C25ECF">
            <w:pPr>
              <w:jc w:val="right"/>
              <w:rPr>
                <w:rFonts w:eastAsia="Times New Roman"/>
              </w:rPr>
            </w:pPr>
          </w:p>
        </w:tc>
        <w:tc>
          <w:tcPr>
            <w:tcW w:w="646" w:type="pct"/>
            <w:shd w:val="clear" w:color="auto" w:fill="FFFFFF"/>
            <w:hideMark/>
          </w:tcPr>
          <w:p w:rsidR="00C25ECF" w:rsidRDefault="00C25ECF">
            <w:pPr>
              <w:jc w:val="right"/>
              <w:rPr>
                <w:rFonts w:eastAsia="Times New Roman"/>
              </w:rPr>
            </w:pP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b/>
                <w:bCs/>
                <w:sz w:val="20"/>
                <w:szCs w:val="20"/>
              </w:rPr>
              <w:t>Cash Balance at beginning of Period</w:t>
            </w:r>
          </w:p>
        </w:tc>
        <w:tc>
          <w:tcPr>
            <w:tcW w:w="0" w:type="auto"/>
            <w:shd w:val="clear" w:color="auto" w:fill="CCFFCC"/>
            <w:hideMark/>
          </w:tcPr>
          <w:p w:rsidR="00C25ECF" w:rsidRDefault="003A781F">
            <w:pPr>
              <w:jc w:val="right"/>
              <w:rPr>
                <w:rFonts w:eastAsia="Times New Roman"/>
              </w:rPr>
            </w:pPr>
            <w:r>
              <w:rPr>
                <w:rFonts w:eastAsia="Times New Roman"/>
                <w:sz w:val="20"/>
                <w:szCs w:val="20"/>
              </w:rPr>
              <w:t>24,410</w:t>
            </w:r>
          </w:p>
        </w:tc>
        <w:tc>
          <w:tcPr>
            <w:tcW w:w="342" w:type="pct"/>
            <w:shd w:val="clear" w:color="auto" w:fill="CCFFCC"/>
            <w:hideMark/>
          </w:tcPr>
          <w:p w:rsidR="00C25ECF" w:rsidRDefault="003A781F">
            <w:pPr>
              <w:jc w:val="right"/>
              <w:rPr>
                <w:rFonts w:eastAsia="Times New Roman"/>
              </w:rPr>
            </w:pPr>
            <w:r>
              <w:rPr>
                <w:rFonts w:eastAsia="Times New Roman"/>
                <w:sz w:val="20"/>
                <w:szCs w:val="20"/>
              </w:rPr>
              <w:t>21,120</w:t>
            </w:r>
          </w:p>
        </w:tc>
        <w:tc>
          <w:tcPr>
            <w:tcW w:w="646" w:type="pct"/>
            <w:shd w:val="clear" w:color="auto" w:fill="CCFFCC"/>
            <w:hideMark/>
          </w:tcPr>
          <w:p w:rsidR="00C25ECF" w:rsidRDefault="003A781F">
            <w:pPr>
              <w:jc w:val="right"/>
              <w:rPr>
                <w:rFonts w:eastAsia="Times New Roman"/>
              </w:rPr>
            </w:pPr>
            <w:r>
              <w:rPr>
                <w:rFonts w:eastAsia="Times New Roman"/>
                <w:sz w:val="20"/>
                <w:szCs w:val="20"/>
              </w:rPr>
              <w:t>21,120</w:t>
            </w:r>
          </w:p>
        </w:tc>
      </w:tr>
      <w:tr w:rsidR="00C25ECF" w:rsidTr="00323F0C">
        <w:trPr>
          <w:tblCellSpacing w:w="15" w:type="dxa"/>
        </w:trPr>
        <w:tc>
          <w:tcPr>
            <w:tcW w:w="0" w:type="auto"/>
            <w:shd w:val="clear" w:color="auto" w:fill="FFFFFF"/>
            <w:hideMark/>
          </w:tcPr>
          <w:p w:rsidR="00C25ECF" w:rsidRDefault="003A781F">
            <w:pPr>
              <w:rPr>
                <w:rFonts w:eastAsia="Times New Roman"/>
              </w:rPr>
            </w:pPr>
            <w:r>
              <w:rPr>
                <w:rFonts w:eastAsia="Times New Roman"/>
                <w:b/>
                <w:bCs/>
                <w:sz w:val="20"/>
                <w:szCs w:val="20"/>
              </w:rPr>
              <w:t>Cash Balance at End of Period</w:t>
            </w:r>
          </w:p>
        </w:tc>
        <w:tc>
          <w:tcPr>
            <w:tcW w:w="0" w:type="auto"/>
            <w:shd w:val="clear" w:color="auto" w:fill="FFFFFF"/>
            <w:hideMark/>
          </w:tcPr>
          <w:p w:rsidR="00C25ECF" w:rsidRDefault="003A781F">
            <w:pPr>
              <w:jc w:val="right"/>
              <w:rPr>
                <w:rFonts w:eastAsia="Times New Roman"/>
              </w:rPr>
            </w:pPr>
            <w:r>
              <w:rPr>
                <w:rFonts w:eastAsia="Times New Roman"/>
                <w:sz w:val="20"/>
                <w:szCs w:val="20"/>
              </w:rPr>
              <w:t>32,983</w:t>
            </w:r>
          </w:p>
        </w:tc>
        <w:tc>
          <w:tcPr>
            <w:tcW w:w="342" w:type="pct"/>
            <w:shd w:val="clear" w:color="auto" w:fill="FFFFFF"/>
            <w:hideMark/>
          </w:tcPr>
          <w:p w:rsidR="00C25ECF" w:rsidRDefault="003A781F">
            <w:pPr>
              <w:jc w:val="right"/>
              <w:rPr>
                <w:rFonts w:eastAsia="Times New Roman"/>
              </w:rPr>
            </w:pPr>
            <w:r>
              <w:rPr>
                <w:rFonts w:eastAsia="Times New Roman"/>
                <w:sz w:val="20"/>
                <w:szCs w:val="20"/>
              </w:rPr>
              <w:t>16,839</w:t>
            </w:r>
          </w:p>
        </w:tc>
        <w:tc>
          <w:tcPr>
            <w:tcW w:w="646" w:type="pct"/>
            <w:shd w:val="clear" w:color="auto" w:fill="FFFFFF"/>
            <w:hideMark/>
          </w:tcPr>
          <w:p w:rsidR="00C25ECF" w:rsidRDefault="003A781F">
            <w:pPr>
              <w:jc w:val="right"/>
              <w:rPr>
                <w:rFonts w:eastAsia="Times New Roman"/>
              </w:rPr>
            </w:pPr>
            <w:r>
              <w:rPr>
                <w:rFonts w:eastAsia="Times New Roman"/>
                <w:sz w:val="20"/>
                <w:szCs w:val="20"/>
              </w:rPr>
              <w:t>24,410</w:t>
            </w:r>
          </w:p>
        </w:tc>
      </w:tr>
      <w:tr w:rsidR="00C25ECF" w:rsidTr="00323F0C">
        <w:trPr>
          <w:tblCellSpacing w:w="15" w:type="dxa"/>
        </w:trPr>
        <w:tc>
          <w:tcPr>
            <w:tcW w:w="0" w:type="auto"/>
            <w:shd w:val="clear" w:color="auto" w:fill="CCFFCC"/>
            <w:hideMark/>
          </w:tcPr>
          <w:p w:rsidR="00C25ECF" w:rsidRDefault="003A781F">
            <w:pPr>
              <w:rPr>
                <w:rFonts w:eastAsia="Times New Roman"/>
              </w:rPr>
            </w:pPr>
            <w:r>
              <w:rPr>
                <w:rFonts w:eastAsia="Times New Roman"/>
                <w:sz w:val="20"/>
                <w:szCs w:val="20"/>
              </w:rPr>
              <w:t> </w:t>
            </w:r>
          </w:p>
        </w:tc>
        <w:tc>
          <w:tcPr>
            <w:tcW w:w="0" w:type="auto"/>
            <w:shd w:val="clear" w:color="auto" w:fill="CCFFCC"/>
            <w:hideMark/>
          </w:tcPr>
          <w:p w:rsidR="00C25ECF" w:rsidRDefault="00C25ECF">
            <w:pPr>
              <w:jc w:val="right"/>
              <w:rPr>
                <w:rFonts w:eastAsia="Times New Roman"/>
              </w:rPr>
            </w:pPr>
          </w:p>
        </w:tc>
        <w:tc>
          <w:tcPr>
            <w:tcW w:w="342" w:type="pct"/>
            <w:shd w:val="clear" w:color="auto" w:fill="CCFFCC"/>
            <w:hideMark/>
          </w:tcPr>
          <w:p w:rsidR="00C25ECF" w:rsidRDefault="00C25ECF">
            <w:pPr>
              <w:jc w:val="right"/>
              <w:rPr>
                <w:rFonts w:eastAsia="Times New Roman"/>
              </w:rPr>
            </w:pPr>
          </w:p>
        </w:tc>
        <w:tc>
          <w:tcPr>
            <w:tcW w:w="646" w:type="pct"/>
            <w:shd w:val="clear" w:color="auto" w:fill="CCFFCC"/>
            <w:hideMark/>
          </w:tcPr>
          <w:p w:rsidR="00C25ECF" w:rsidRDefault="00C25ECF">
            <w:pPr>
              <w:jc w:val="right"/>
              <w:rPr>
                <w:rFonts w:eastAsia="Times New Roman"/>
              </w:rPr>
            </w:pPr>
          </w:p>
        </w:tc>
      </w:tr>
      <w:tr w:rsidR="00C25ECF">
        <w:trPr>
          <w:tblCellSpacing w:w="15" w:type="dxa"/>
        </w:trPr>
        <w:tc>
          <w:tcPr>
            <w:tcW w:w="0" w:type="auto"/>
            <w:gridSpan w:val="4"/>
            <w:shd w:val="clear" w:color="auto" w:fill="FFFFFF"/>
            <w:hideMark/>
          </w:tcPr>
          <w:p w:rsidR="00C25ECF" w:rsidRDefault="003A781F">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38" style="width:0;height:3pt" o:hralign="center" o:hrstd="t" o:hrnoshade="t" o:hr="t" fillcolor="black" stroked="f"/>
        </w:pict>
      </w:r>
    </w:p>
    <w:p w:rsidR="00323F0C" w:rsidRDefault="00323F0C">
      <w:pPr>
        <w:rPr>
          <w:b/>
          <w:bCs/>
          <w:sz w:val="20"/>
          <w:szCs w:val="20"/>
        </w:rPr>
      </w:pPr>
      <w:bookmarkStart w:id="1" w:name="notes"/>
      <w:bookmarkEnd w:id="1"/>
      <w:r>
        <w:rPr>
          <w:b/>
          <w:bCs/>
          <w:sz w:val="20"/>
          <w:szCs w:val="20"/>
        </w:rPr>
        <w:br w:type="page"/>
      </w:r>
    </w:p>
    <w:p w:rsidR="00C25ECF" w:rsidRDefault="003A781F">
      <w:pPr>
        <w:pStyle w:val="NormalWeb"/>
      </w:pPr>
      <w:r>
        <w:rPr>
          <w:b/>
          <w:bCs/>
          <w:sz w:val="20"/>
          <w:szCs w:val="20"/>
        </w:rPr>
        <w:t>NOTE 1- ORGANIZATION AND LINE OF BUSINESS</w:t>
      </w:r>
    </w:p>
    <w:p w:rsidR="00C25ECF" w:rsidRDefault="003A781F">
      <w:pPr>
        <w:pStyle w:val="NormalWeb"/>
      </w:pPr>
      <w:r>
        <w:rPr>
          <w:b/>
          <w:bCs/>
        </w:rPr>
        <w:t>LINE OF BUSINESS</w:t>
      </w:r>
    </w:p>
    <w:p w:rsidR="00C25ECF" w:rsidRDefault="003A781F">
      <w:pPr>
        <w:pStyle w:val="NormalWeb"/>
      </w:pPr>
      <w:r>
        <w:rPr>
          <w:sz w:val="20"/>
          <w:szCs w:val="20"/>
        </w:rPr>
        <w:t>Organization:</w:t>
      </w:r>
    </w:p>
    <w:p w:rsidR="00C25ECF" w:rsidRDefault="003A781F">
      <w:pPr>
        <w:pStyle w:val="NormalWeb"/>
      </w:pPr>
      <w:r>
        <w:rPr>
          <w:sz w:val="20"/>
          <w:szCs w:val="20"/>
        </w:rPr>
        <w:t>Advanced Oxygen Technologies, Inc. (formerly Aquanautic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C25ECF" w:rsidRDefault="003A781F">
      <w:pPr>
        <w:pStyle w:val="NormalWeb"/>
      </w:pPr>
      <w:r>
        <w:rPr>
          <w:sz w:val="20"/>
          <w:szCs w:val="20"/>
        </w:rPr>
        <w:t>Lines of Business:</w:t>
      </w:r>
    </w:p>
    <w:p w:rsidR="00C25ECF" w:rsidRDefault="003A781F">
      <w:pPr>
        <w:pStyle w:val="NormalWeb"/>
      </w:pPr>
      <w:r>
        <w:rPr>
          <w:sz w:val="20"/>
          <w:szCs w:val="20"/>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C25ECF" w:rsidRDefault="003A781F">
      <w:pPr>
        <w:pStyle w:val="NormalWeb"/>
      </w:pPr>
      <w:r>
        <w:rPr>
          <w:b/>
          <w:bCs/>
          <w:sz w:val="20"/>
          <w:szCs w:val="20"/>
        </w:rPr>
        <w:t>NOTE 2 - SUMMARY OF SIGNIFICANT ACCOUNTING POLICIES:</w:t>
      </w:r>
      <w:r>
        <w:rPr>
          <w:sz w:val="20"/>
          <w:szCs w:val="20"/>
        </w:rPr>
        <w:br/>
      </w:r>
      <w:r>
        <w:rPr>
          <w:sz w:val="20"/>
          <w:szCs w:val="20"/>
        </w:rPr>
        <w:br/>
      </w:r>
      <w:r>
        <w:rPr>
          <w:i/>
          <w:iCs/>
        </w:rPr>
        <w:t>Revenue Recognition</w:t>
      </w:r>
      <w:r>
        <w:t>:</w:t>
      </w:r>
    </w:p>
    <w:p w:rsidR="00C25ECF" w:rsidRDefault="003A781F">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C25ECF" w:rsidRDefault="003A781F">
      <w:pPr>
        <w:pStyle w:val="NormalWeb"/>
      </w:pPr>
      <w:r>
        <w:rPr>
          <w:i/>
          <w:iCs/>
          <w:sz w:val="20"/>
          <w:szCs w:val="20"/>
        </w:rPr>
        <w:t>Real Estate Accounting Principles</w:t>
      </w:r>
      <w:r>
        <w:rPr>
          <w:sz w:val="20"/>
          <w:szCs w:val="20"/>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C25ECF" w:rsidRDefault="003A781F">
      <w:pPr>
        <w:rPr>
          <w:rFonts w:eastAsia="Times New Roman"/>
        </w:rPr>
      </w:pPr>
      <w:r>
        <w:rPr>
          <w:rFonts w:eastAsia="Times New Roman"/>
          <w:i/>
          <w:iCs/>
          <w:sz w:val="20"/>
          <w:szCs w:val="20"/>
        </w:rPr>
        <w:t>Revenue recognition on the sale of real estate:</w:t>
      </w:r>
      <w:r>
        <w:rPr>
          <w:rFonts w:eastAsia="Times New Roman"/>
        </w:rPr>
        <w:t xml:space="preserve"> </w:t>
      </w:r>
    </w:p>
    <w:p w:rsidR="00AD08E6" w:rsidRDefault="00AD08E6">
      <w:pPr>
        <w:rPr>
          <w:sz w:val="20"/>
          <w:szCs w:val="20"/>
        </w:rPr>
      </w:pPr>
    </w:p>
    <w:p w:rsidR="00C25ECF" w:rsidRDefault="003A781F">
      <w:pPr>
        <w:pStyle w:val="NormalWeb"/>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C25ECF" w:rsidRDefault="003A781F">
      <w:pPr>
        <w:spacing w:before="100" w:beforeAutospacing="1" w:after="240"/>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AD08E6" w:rsidRDefault="003A781F">
      <w:pPr>
        <w:spacing w:before="100" w:beforeAutospacing="1" w:after="240"/>
        <w:rPr>
          <w:sz w:val="20"/>
          <w:szCs w:val="20"/>
        </w:rPr>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Pr>
          <w:sz w:val="20"/>
          <w:szCs w:val="20"/>
        </w:rPr>
        <w:br/>
      </w:r>
    </w:p>
    <w:p w:rsidR="00AD08E6" w:rsidRDefault="00620510" w:rsidP="00AD08E6">
      <w:pPr>
        <w:rPr>
          <w:rFonts w:eastAsia="Times New Roman"/>
          <w:sz w:val="20"/>
          <w:szCs w:val="20"/>
        </w:rPr>
      </w:pPr>
      <w:hyperlink w:anchor="toc" w:history="1">
        <w:r w:rsidR="00AD08E6">
          <w:rPr>
            <w:rStyle w:val="Hyperlink"/>
            <w:rFonts w:eastAsia="Times New Roman"/>
            <w:b/>
            <w:bCs/>
            <w:sz w:val="20"/>
            <w:szCs w:val="20"/>
          </w:rPr>
          <w:t>Return to Table of Contents</w:t>
        </w:r>
      </w:hyperlink>
      <w:r w:rsidR="00AD08E6">
        <w:rPr>
          <w:rFonts w:eastAsia="Times New Roman"/>
          <w:sz w:val="20"/>
          <w:szCs w:val="20"/>
        </w:rPr>
        <w:t xml:space="preserve"> </w:t>
      </w:r>
    </w:p>
    <w:p w:rsidR="00AD08E6" w:rsidRDefault="00620510" w:rsidP="00AD08E6">
      <w:pPr>
        <w:rPr>
          <w:rFonts w:eastAsia="Times New Roman"/>
          <w:sz w:val="20"/>
          <w:szCs w:val="20"/>
        </w:rPr>
      </w:pPr>
      <w:r w:rsidRPr="00620510">
        <w:rPr>
          <w:rFonts w:eastAsia="Times New Roman"/>
          <w:sz w:val="20"/>
          <w:szCs w:val="20"/>
        </w:rPr>
        <w:pict>
          <v:rect id="_x0000_i1039" style="width:0;height:3pt" o:hralign="center" o:hrstd="t" o:hrnoshade="t" o:hr="t" fillcolor="black" stroked="f"/>
        </w:pict>
      </w:r>
    </w:p>
    <w:p w:rsidR="00AD08E6" w:rsidRDefault="00AD08E6">
      <w:pPr>
        <w:spacing w:before="100" w:beforeAutospacing="1" w:after="240"/>
        <w:rPr>
          <w:sz w:val="20"/>
          <w:szCs w:val="20"/>
        </w:rPr>
      </w:pPr>
    </w:p>
    <w:p w:rsidR="00AD08E6" w:rsidRDefault="00AD08E6">
      <w:pPr>
        <w:spacing w:before="100" w:beforeAutospacing="1" w:after="240"/>
        <w:rPr>
          <w:sz w:val="20"/>
          <w:szCs w:val="20"/>
        </w:rPr>
      </w:pPr>
    </w:p>
    <w:p w:rsidR="00AD08E6" w:rsidRDefault="00AD08E6">
      <w:pPr>
        <w:spacing w:before="100" w:beforeAutospacing="1" w:after="240"/>
        <w:rPr>
          <w:sz w:val="20"/>
          <w:szCs w:val="20"/>
        </w:rPr>
      </w:pPr>
    </w:p>
    <w:p w:rsidR="00C25ECF" w:rsidRDefault="003A781F">
      <w:pPr>
        <w:spacing w:before="100" w:beforeAutospacing="1" w:after="240"/>
      </w:pPr>
      <w:r>
        <w:rPr>
          <w:sz w:val="20"/>
          <w:szCs w:val="20"/>
        </w:rPr>
        <w:br/>
      </w:r>
      <w:r>
        <w:rPr>
          <w:i/>
          <w:iCs/>
          <w:sz w:val="20"/>
          <w:szCs w:val="20"/>
        </w:rPr>
        <w:t>Impairment of Real Estate Investments</w:t>
      </w:r>
    </w:p>
    <w:p w:rsidR="00C25ECF" w:rsidRDefault="003A781F">
      <w:pPr>
        <w:spacing w:before="100" w:beforeAutospacing="1" w:after="100" w:afterAutospacing="1"/>
      </w:pP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The Company recorded no impairment loss on its real estate investments during the period from the July 1, 2011 to September 30, 2011 .</w:t>
      </w:r>
    </w:p>
    <w:p w:rsidR="00C25ECF" w:rsidRDefault="003A781F">
      <w:pPr>
        <w:rPr>
          <w:rFonts w:eastAsia="Times New Roman"/>
        </w:rPr>
      </w:pPr>
      <w:r>
        <w:rPr>
          <w:rFonts w:eastAsia="Times New Roman"/>
          <w:i/>
          <w:iCs/>
          <w:sz w:val="20"/>
          <w:szCs w:val="20"/>
        </w:rPr>
        <w:t>Interest Recognition on Notes Receivable</w:t>
      </w:r>
    </w:p>
    <w:p w:rsidR="00C25ECF" w:rsidRDefault="003A781F">
      <w:pPr>
        <w:pStyle w:val="NormalWeb"/>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C25ECF" w:rsidRDefault="003A781F">
      <w:pPr>
        <w:pStyle w:val="NormalWeb"/>
      </w:pPr>
      <w:r>
        <w:rPr>
          <w:i/>
          <w:iCs/>
          <w:sz w:val="20"/>
          <w:szCs w:val="20"/>
        </w:rPr>
        <w:t>Foreign currency translation:</w:t>
      </w:r>
    </w:p>
    <w:p w:rsidR="00C25ECF" w:rsidRDefault="003A781F">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C25ECF" w:rsidRDefault="003A781F">
      <w:pPr>
        <w:pStyle w:val="NormalWeb"/>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C25ECF" w:rsidRDefault="003A781F">
      <w:pPr>
        <w:pStyle w:val="NormalWeb"/>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C25ECF" w:rsidRDefault="003A781F">
      <w:pPr>
        <w:pStyle w:val="NormalWeb"/>
      </w:pP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September 30, 2010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C25ECF" w:rsidRDefault="003A781F">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C25ECF" w:rsidRDefault="003A781F">
      <w:pPr>
        <w:pStyle w:val="NormalWeb"/>
      </w:pPr>
      <w:r>
        <w:rPr>
          <w:sz w:val="20"/>
          <w:szCs w:val="20"/>
        </w:rPr>
        <w:t>Financial instruments that potentially subject the Company to major credit risk consist principally of a single subsidiary of Anton Nielsen Vojens ApS and its customer concentration.</w:t>
      </w:r>
    </w:p>
    <w:p w:rsidR="00C25ECF" w:rsidRDefault="00620510">
      <w:pPr>
        <w:rPr>
          <w:rFonts w:eastAsia="Times New Roman"/>
          <w:sz w:val="20"/>
          <w:szCs w:val="20"/>
        </w:rPr>
      </w:pPr>
      <w:hyperlink w:anchor="toc" w:history="1">
        <w:r w:rsidR="003A781F">
          <w:rPr>
            <w:rStyle w:val="Hyperlink"/>
            <w:rFonts w:eastAsia="Times New Roman"/>
            <w:b/>
            <w:bCs/>
            <w:sz w:val="20"/>
            <w:szCs w:val="20"/>
          </w:rPr>
          <w:t>Return to Table of Contents</w:t>
        </w:r>
      </w:hyperlink>
      <w:r w:rsidR="003A781F">
        <w:rPr>
          <w:rFonts w:eastAsia="Times New Roman"/>
          <w:sz w:val="20"/>
          <w:szCs w:val="20"/>
        </w:rPr>
        <w:t xml:space="preserve"> </w:t>
      </w:r>
    </w:p>
    <w:p w:rsidR="00C25ECF" w:rsidRDefault="00620510">
      <w:pPr>
        <w:rPr>
          <w:rFonts w:eastAsia="Times New Roman"/>
          <w:sz w:val="20"/>
          <w:szCs w:val="20"/>
        </w:rPr>
      </w:pPr>
      <w:r w:rsidRPr="00620510">
        <w:rPr>
          <w:rFonts w:eastAsia="Times New Roman"/>
          <w:sz w:val="20"/>
          <w:szCs w:val="20"/>
        </w:rPr>
        <w:pict>
          <v:rect id="_x0000_i1040" style="width:0;height:3pt" o:hralign="center" o:hrstd="t" o:hrnoshade="t" o:hr="t" fillcolor="black" stroked="f"/>
        </w:pict>
      </w:r>
    </w:p>
    <w:p w:rsidR="00C25ECF" w:rsidRDefault="003A781F">
      <w:pPr>
        <w:pStyle w:val="NormalWeb"/>
        <w:spacing w:after="240" w:afterAutospacing="0"/>
      </w:pPr>
      <w:r>
        <w:rPr>
          <w:i/>
          <w:iCs/>
          <w:sz w:val="20"/>
          <w:szCs w:val="20"/>
        </w:rPr>
        <w:t>Recently Issued Accounting Standards</w:t>
      </w:r>
    </w:p>
    <w:p w:rsidR="00C25ECF" w:rsidRDefault="003A781F">
      <w:pPr>
        <w:pStyle w:val="NormalWeb"/>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C25ECF" w:rsidRDefault="003A781F">
      <w:pPr>
        <w:pStyle w:val="NormalWeb"/>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C25ECF" w:rsidRDefault="003A781F">
      <w:pPr>
        <w:pStyle w:val="NormalWeb"/>
        <w:spacing w:after="240" w:afterAutospacing="0"/>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C25ECF" w:rsidRDefault="003A781F">
      <w:pPr>
        <w:pStyle w:val="NormalWeb"/>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C25ECF" w:rsidRDefault="003A781F">
      <w:pPr>
        <w:pStyle w:val="NormalWeb"/>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C25ECF" w:rsidRDefault="003A781F">
      <w:pPr>
        <w:pStyle w:val="NormalWeb"/>
      </w:pPr>
      <w:r>
        <w:rPr>
          <w:b/>
          <w:bCs/>
          <w:sz w:val="20"/>
          <w:szCs w:val="20"/>
        </w:rPr>
        <w:t>NOTE 3 - MAJOR CUSTOMER:</w:t>
      </w:r>
    </w:p>
    <w:p w:rsidR="00C25ECF" w:rsidRDefault="003A781F">
      <w:pPr>
        <w:pStyle w:val="NormalWeb"/>
      </w:pPr>
      <w:r>
        <w:rPr>
          <w:sz w:val="20"/>
          <w:szCs w:val="20"/>
        </w:rPr>
        <w:t xml:space="preserve">The Company's subsidiary, Anton Nielsen Vojens, ApS has sales to two major customers who were non related parts. For the period ending September 30, 2011, June 30, 2011, and June 30, 2010 the major customer concentrations were as follows: </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41" style="width:0;height:3pt" o:hralign="center" o:hrstd="t" o:hrnoshade="t" o:hr="t" fillcolor="black" stroked="f"/>
        </w:pict>
      </w:r>
    </w:p>
    <w:p w:rsidR="00AD08E6" w:rsidRDefault="00AD08E6">
      <w:r>
        <w:br w:type="page"/>
      </w:r>
    </w:p>
    <w:tbl>
      <w:tblPr>
        <w:tblW w:w="2552" w:type="pct"/>
        <w:tblCellSpacing w:w="15" w:type="dxa"/>
        <w:tblCellMar>
          <w:left w:w="0" w:type="dxa"/>
          <w:right w:w="0" w:type="dxa"/>
        </w:tblCellMar>
        <w:tblLook w:val="04A0"/>
      </w:tblPr>
      <w:tblGrid>
        <w:gridCol w:w="1485"/>
        <w:gridCol w:w="1470"/>
        <w:gridCol w:w="1470"/>
        <w:gridCol w:w="1485"/>
      </w:tblGrid>
      <w:tr w:rsidR="00C25ECF" w:rsidRPr="00AD08E6" w:rsidTr="00AD08E6">
        <w:trPr>
          <w:tblCellSpacing w:w="15" w:type="dxa"/>
        </w:trPr>
        <w:tc>
          <w:tcPr>
            <w:tcW w:w="1218" w:type="pct"/>
            <w:shd w:val="clear" w:color="auto" w:fill="CCFFCC"/>
            <w:vAlign w:val="center"/>
            <w:hideMark/>
          </w:tcPr>
          <w:p w:rsidR="00C25ECF" w:rsidRPr="00AD08E6" w:rsidRDefault="00C25ECF">
            <w:pPr>
              <w:rPr>
                <w:rFonts w:eastAsia="Times New Roman"/>
                <w:sz w:val="18"/>
                <w:szCs w:val="18"/>
              </w:rPr>
            </w:pPr>
          </w:p>
        </w:tc>
        <w:tc>
          <w:tcPr>
            <w:tcW w:w="0" w:type="auto"/>
            <w:gridSpan w:val="3"/>
            <w:shd w:val="clear" w:color="auto" w:fill="CCFFCC"/>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 xml:space="preserve">Percent of Sales </w:t>
            </w:r>
            <w:r w:rsidRPr="00AD08E6">
              <w:rPr>
                <w:rFonts w:eastAsia="Times New Roman"/>
                <w:sz w:val="18"/>
                <w:szCs w:val="18"/>
              </w:rPr>
              <w:br/>
            </w:r>
            <w:r w:rsidRPr="00AD08E6">
              <w:rPr>
                <w:rFonts w:eastAsia="Times New Roman"/>
                <w:b/>
                <w:bCs/>
                <w:sz w:val="18"/>
                <w:szCs w:val="18"/>
              </w:rPr>
              <w:t>for the Period ending</w:t>
            </w:r>
          </w:p>
        </w:tc>
      </w:tr>
      <w:tr w:rsidR="00C25ECF" w:rsidRPr="00AD08E6" w:rsidTr="00AD08E6">
        <w:trPr>
          <w:tblCellSpacing w:w="15" w:type="dxa"/>
        </w:trPr>
        <w:tc>
          <w:tcPr>
            <w:tcW w:w="0" w:type="auto"/>
            <w:shd w:val="clear" w:color="auto" w:fill="FFFFFF"/>
            <w:vAlign w:val="center"/>
            <w:hideMark/>
          </w:tcPr>
          <w:p w:rsidR="00C25ECF" w:rsidRPr="00AD08E6" w:rsidRDefault="00C25ECF">
            <w:pPr>
              <w:rPr>
                <w:rFonts w:eastAsia="Times New Roman"/>
                <w:sz w:val="18"/>
                <w:szCs w:val="18"/>
              </w:rPr>
            </w:pPr>
          </w:p>
        </w:tc>
        <w:tc>
          <w:tcPr>
            <w:tcW w:w="1218" w:type="pct"/>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September 30,</w:t>
            </w:r>
          </w:p>
        </w:tc>
        <w:tc>
          <w:tcPr>
            <w:tcW w:w="0" w:type="auto"/>
            <w:gridSpan w:val="2"/>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June 30,</w:t>
            </w:r>
          </w:p>
        </w:tc>
      </w:tr>
      <w:tr w:rsidR="00C25ECF" w:rsidRPr="00AD08E6" w:rsidTr="00AD08E6">
        <w:trPr>
          <w:tblCellSpacing w:w="15" w:type="dxa"/>
        </w:trPr>
        <w:tc>
          <w:tcPr>
            <w:tcW w:w="0" w:type="auto"/>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Customer</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u w:val="single"/>
              </w:rPr>
              <w:t>2011</w:t>
            </w:r>
          </w:p>
        </w:tc>
        <w:tc>
          <w:tcPr>
            <w:tcW w:w="1218" w:type="pct"/>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u w:val="single"/>
              </w:rPr>
              <w:t>2011</w:t>
            </w:r>
          </w:p>
        </w:tc>
        <w:tc>
          <w:tcPr>
            <w:tcW w:w="1218" w:type="pct"/>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u w:val="single"/>
              </w:rPr>
              <w:t>2010</w:t>
            </w:r>
          </w:p>
        </w:tc>
      </w:tr>
      <w:tr w:rsidR="00C25ECF" w:rsidRPr="00AD08E6" w:rsidTr="00AD08E6">
        <w:trPr>
          <w:tblCellSpacing w:w="15" w:type="dxa"/>
        </w:trPr>
        <w:tc>
          <w:tcPr>
            <w:tcW w:w="0" w:type="auto"/>
            <w:shd w:val="clear" w:color="auto" w:fill="CCFFCC"/>
            <w:vAlign w:val="center"/>
            <w:hideMark/>
          </w:tcPr>
          <w:p w:rsidR="00C25ECF" w:rsidRPr="00AD08E6" w:rsidRDefault="003A781F">
            <w:pPr>
              <w:jc w:val="center"/>
              <w:rPr>
                <w:rFonts w:eastAsia="Times New Roman"/>
                <w:sz w:val="18"/>
                <w:szCs w:val="18"/>
              </w:rPr>
            </w:pPr>
            <w:r w:rsidRPr="00AD08E6">
              <w:rPr>
                <w:rFonts w:eastAsia="Times New Roman"/>
                <w:sz w:val="18"/>
                <w:szCs w:val="18"/>
              </w:rPr>
              <w:t>A</w:t>
            </w:r>
          </w:p>
        </w:tc>
        <w:tc>
          <w:tcPr>
            <w:tcW w:w="0" w:type="auto"/>
            <w:shd w:val="clear" w:color="auto" w:fill="CCFFCC"/>
            <w:vAlign w:val="center"/>
            <w:hideMark/>
          </w:tcPr>
          <w:p w:rsidR="00C25ECF" w:rsidRPr="00AD08E6" w:rsidRDefault="003A781F">
            <w:pPr>
              <w:jc w:val="right"/>
              <w:rPr>
                <w:rFonts w:eastAsia="Times New Roman"/>
                <w:sz w:val="18"/>
                <w:szCs w:val="18"/>
              </w:rPr>
            </w:pPr>
            <w:r w:rsidRPr="00AD08E6">
              <w:rPr>
                <w:rFonts w:eastAsia="Times New Roman"/>
                <w:sz w:val="18"/>
                <w:szCs w:val="18"/>
              </w:rPr>
              <w:t>100%</w:t>
            </w:r>
          </w:p>
        </w:tc>
        <w:tc>
          <w:tcPr>
            <w:tcW w:w="0" w:type="auto"/>
            <w:shd w:val="clear" w:color="auto" w:fill="CCFFCC"/>
            <w:vAlign w:val="center"/>
            <w:hideMark/>
          </w:tcPr>
          <w:p w:rsidR="00C25ECF" w:rsidRPr="00AD08E6" w:rsidRDefault="003A781F">
            <w:pPr>
              <w:jc w:val="right"/>
              <w:rPr>
                <w:rFonts w:eastAsia="Times New Roman"/>
                <w:sz w:val="18"/>
                <w:szCs w:val="18"/>
              </w:rPr>
            </w:pPr>
            <w:r w:rsidRPr="00AD08E6">
              <w:rPr>
                <w:rFonts w:eastAsia="Times New Roman"/>
                <w:sz w:val="18"/>
                <w:szCs w:val="18"/>
              </w:rPr>
              <w:t>100%</w:t>
            </w:r>
          </w:p>
        </w:tc>
        <w:tc>
          <w:tcPr>
            <w:tcW w:w="0" w:type="auto"/>
            <w:shd w:val="clear" w:color="auto" w:fill="CCFFCC"/>
            <w:vAlign w:val="center"/>
            <w:hideMark/>
          </w:tcPr>
          <w:p w:rsidR="00C25ECF" w:rsidRPr="00AD08E6" w:rsidRDefault="003A781F">
            <w:pPr>
              <w:jc w:val="right"/>
              <w:rPr>
                <w:rFonts w:eastAsia="Times New Roman"/>
                <w:sz w:val="18"/>
                <w:szCs w:val="18"/>
              </w:rPr>
            </w:pPr>
            <w:r w:rsidRPr="00AD08E6">
              <w:rPr>
                <w:rFonts w:eastAsia="Times New Roman"/>
                <w:sz w:val="18"/>
                <w:szCs w:val="18"/>
              </w:rPr>
              <w:t>100%</w:t>
            </w:r>
          </w:p>
        </w:tc>
      </w:tr>
      <w:tr w:rsidR="00C25ECF" w:rsidRPr="00AD08E6" w:rsidTr="00AD08E6">
        <w:trPr>
          <w:tblCellSpacing w:w="15" w:type="dxa"/>
        </w:trPr>
        <w:tc>
          <w:tcPr>
            <w:tcW w:w="0" w:type="auto"/>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sz w:val="18"/>
                <w:szCs w:val="18"/>
              </w:rPr>
              <w:t>B</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sz w:val="18"/>
                <w:szCs w:val="18"/>
              </w:rPr>
              <w:t>0%</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sz w:val="18"/>
                <w:szCs w:val="18"/>
              </w:rPr>
              <w:t>0%</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sz w:val="18"/>
                <w:szCs w:val="18"/>
              </w:rPr>
              <w:t>0%</w:t>
            </w:r>
          </w:p>
        </w:tc>
      </w:tr>
      <w:tr w:rsidR="00C25ECF" w:rsidRPr="00AD08E6" w:rsidTr="00AD08E6">
        <w:trPr>
          <w:tblCellSpacing w:w="15" w:type="dxa"/>
        </w:trPr>
        <w:tc>
          <w:tcPr>
            <w:tcW w:w="0" w:type="auto"/>
            <w:shd w:val="clear" w:color="auto" w:fill="CCFFCC"/>
            <w:vAlign w:val="center"/>
            <w:hideMark/>
          </w:tcPr>
          <w:p w:rsidR="00C25ECF" w:rsidRPr="00AD08E6" w:rsidRDefault="00620510">
            <w:pPr>
              <w:jc w:val="right"/>
              <w:rPr>
                <w:rFonts w:eastAsia="Times New Roman"/>
                <w:sz w:val="18"/>
                <w:szCs w:val="18"/>
              </w:rPr>
            </w:pPr>
            <w:r w:rsidRPr="00620510">
              <w:rPr>
                <w:rFonts w:eastAsia="Times New Roman"/>
                <w:sz w:val="18"/>
                <w:szCs w:val="18"/>
              </w:rPr>
              <w:pict>
                <v:rect id="_x0000_i1042" style="width:0;height:1.5pt" o:hralign="center" o:hrstd="t" o:hr="t" fillcolor="#aca899" stroked="f"/>
              </w:pict>
            </w:r>
          </w:p>
        </w:tc>
        <w:tc>
          <w:tcPr>
            <w:tcW w:w="0" w:type="auto"/>
            <w:shd w:val="clear" w:color="auto" w:fill="CCFFCC"/>
            <w:vAlign w:val="center"/>
            <w:hideMark/>
          </w:tcPr>
          <w:p w:rsidR="00C25ECF" w:rsidRPr="00AD08E6" w:rsidRDefault="00620510">
            <w:pPr>
              <w:rPr>
                <w:rFonts w:eastAsia="Times New Roman"/>
                <w:sz w:val="18"/>
                <w:szCs w:val="18"/>
              </w:rPr>
            </w:pPr>
            <w:r w:rsidRPr="00620510">
              <w:rPr>
                <w:rFonts w:eastAsia="Times New Roman"/>
                <w:sz w:val="18"/>
                <w:szCs w:val="18"/>
              </w:rPr>
              <w:pict>
                <v:rect id="_x0000_i1043" style="width:0;height:1.5pt" o:hralign="center" o:hrstd="t" o:hr="t" fillcolor="#aca899" stroked="f"/>
              </w:pict>
            </w:r>
          </w:p>
        </w:tc>
        <w:tc>
          <w:tcPr>
            <w:tcW w:w="0" w:type="auto"/>
            <w:shd w:val="clear" w:color="auto" w:fill="CCFFCC"/>
            <w:vAlign w:val="center"/>
            <w:hideMark/>
          </w:tcPr>
          <w:p w:rsidR="00C25ECF" w:rsidRPr="00AD08E6" w:rsidRDefault="00620510">
            <w:pPr>
              <w:jc w:val="right"/>
              <w:rPr>
                <w:rFonts w:eastAsia="Times New Roman"/>
                <w:sz w:val="18"/>
                <w:szCs w:val="18"/>
              </w:rPr>
            </w:pPr>
            <w:r w:rsidRPr="00620510">
              <w:rPr>
                <w:rFonts w:eastAsia="Times New Roman"/>
                <w:sz w:val="18"/>
                <w:szCs w:val="18"/>
              </w:rPr>
              <w:pict>
                <v:rect id="_x0000_i1044" style="width:0;height:1.5pt" o:hralign="center" o:hrstd="t" o:hr="t" fillcolor="#aca899" stroked="f"/>
              </w:pict>
            </w:r>
          </w:p>
        </w:tc>
        <w:tc>
          <w:tcPr>
            <w:tcW w:w="0" w:type="auto"/>
            <w:shd w:val="clear" w:color="auto" w:fill="CCFFCC"/>
            <w:vAlign w:val="center"/>
            <w:hideMark/>
          </w:tcPr>
          <w:p w:rsidR="00C25ECF" w:rsidRPr="00AD08E6" w:rsidRDefault="00620510">
            <w:pPr>
              <w:jc w:val="right"/>
              <w:rPr>
                <w:rFonts w:eastAsia="Times New Roman"/>
                <w:sz w:val="18"/>
                <w:szCs w:val="18"/>
              </w:rPr>
            </w:pPr>
            <w:r w:rsidRPr="00620510">
              <w:rPr>
                <w:rFonts w:eastAsia="Times New Roman"/>
                <w:sz w:val="18"/>
                <w:szCs w:val="18"/>
              </w:rPr>
              <w:pict>
                <v:rect id="_x0000_i1045" style="width:0;height:1.5pt" o:hralign="center" o:hrstd="t" o:hr="t" fillcolor="#aca899" stroked="f"/>
              </w:pict>
            </w:r>
          </w:p>
        </w:tc>
      </w:tr>
      <w:tr w:rsidR="00C25ECF" w:rsidRPr="00AD08E6" w:rsidTr="00AD08E6">
        <w:trPr>
          <w:tblCellSpacing w:w="15" w:type="dxa"/>
        </w:trPr>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rPr>
              <w:t>Total Sales from Major Customers</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rPr>
              <w:t>100%</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rPr>
              <w:t>100%</w:t>
            </w:r>
          </w:p>
        </w:tc>
        <w:tc>
          <w:tcPr>
            <w:tcW w:w="0" w:type="auto"/>
            <w:shd w:val="clear" w:color="auto" w:fill="FFFFFF"/>
            <w:vAlign w:val="center"/>
            <w:hideMark/>
          </w:tcPr>
          <w:p w:rsidR="00C25ECF" w:rsidRPr="00AD08E6" w:rsidRDefault="003A781F">
            <w:pPr>
              <w:jc w:val="right"/>
              <w:rPr>
                <w:rFonts w:eastAsia="Times New Roman"/>
                <w:sz w:val="18"/>
                <w:szCs w:val="18"/>
              </w:rPr>
            </w:pPr>
            <w:r w:rsidRPr="00AD08E6">
              <w:rPr>
                <w:rFonts w:eastAsia="Times New Roman"/>
                <w:b/>
                <w:bCs/>
                <w:sz w:val="18"/>
                <w:szCs w:val="18"/>
              </w:rPr>
              <w:t>100%</w:t>
            </w:r>
          </w:p>
        </w:tc>
      </w:tr>
    </w:tbl>
    <w:p w:rsidR="00C25ECF" w:rsidRPr="00AD08E6" w:rsidRDefault="003A781F">
      <w:pPr>
        <w:spacing w:before="100" w:beforeAutospacing="1" w:after="100" w:afterAutospacing="1"/>
        <w:rPr>
          <w:sz w:val="18"/>
          <w:szCs w:val="18"/>
        </w:rPr>
      </w:pPr>
      <w:r w:rsidRPr="00AD08E6">
        <w:rPr>
          <w:b/>
          <w:bCs/>
          <w:sz w:val="18"/>
          <w:szCs w:val="18"/>
        </w:rPr>
        <w:t>NOTE 4 - LAND AND BUILDINGS :</w:t>
      </w:r>
    </w:p>
    <w:p w:rsidR="00C25ECF" w:rsidRPr="00AD08E6" w:rsidRDefault="003A781F">
      <w:pPr>
        <w:rPr>
          <w:rFonts w:eastAsia="Times New Roman"/>
          <w:sz w:val="18"/>
          <w:szCs w:val="18"/>
        </w:rPr>
      </w:pPr>
      <w:r w:rsidRPr="00AD08E6">
        <w:rPr>
          <w:rFonts w:eastAsia="Times New Roman"/>
          <w:sz w:val="18"/>
          <w:szCs w:val="18"/>
        </w:rPr>
        <w:t xml:space="preserve">The Land owned by the Company's wholly owned subsidiary constitutes the largest asset of the Company. During the </w:t>
      </w:r>
      <w:r w:rsidR="00A356D0">
        <w:rPr>
          <w:rFonts w:eastAsia="Times New Roman"/>
          <w:sz w:val="18"/>
          <w:szCs w:val="18"/>
        </w:rPr>
        <w:t>period ending September 30, 2011</w:t>
      </w:r>
      <w:r w:rsidRPr="00AD08E6">
        <w:rPr>
          <w:rFonts w:eastAsia="Times New Roman"/>
          <w:sz w:val="18"/>
          <w:szCs w:val="18"/>
        </w:rPr>
        <w:t xml:space="preserve"> the Company recorded no change in the value of the Land. The value of the Land of the Company was as follows: </w:t>
      </w:r>
    </w:p>
    <w:tbl>
      <w:tblPr>
        <w:tblW w:w="2500" w:type="pct"/>
        <w:tblCellSpacing w:w="15" w:type="dxa"/>
        <w:tblCellMar>
          <w:left w:w="0" w:type="dxa"/>
          <w:right w:w="0" w:type="dxa"/>
        </w:tblCellMar>
        <w:tblLook w:val="04A0"/>
      </w:tblPr>
      <w:tblGrid>
        <w:gridCol w:w="1485"/>
        <w:gridCol w:w="1470"/>
        <w:gridCol w:w="1470"/>
        <w:gridCol w:w="1485"/>
      </w:tblGrid>
      <w:tr w:rsidR="00C25ECF" w:rsidRPr="00AD08E6">
        <w:trPr>
          <w:tblCellSpacing w:w="15" w:type="dxa"/>
        </w:trPr>
        <w:tc>
          <w:tcPr>
            <w:tcW w:w="2500" w:type="pct"/>
            <w:shd w:val="clear" w:color="auto" w:fill="CCFFCC"/>
            <w:vAlign w:val="center"/>
            <w:hideMark/>
          </w:tcPr>
          <w:p w:rsidR="00C25ECF" w:rsidRPr="00AD08E6" w:rsidRDefault="00C25ECF">
            <w:pPr>
              <w:rPr>
                <w:rFonts w:eastAsia="Times New Roman"/>
                <w:sz w:val="18"/>
                <w:szCs w:val="18"/>
              </w:rPr>
            </w:pPr>
          </w:p>
        </w:tc>
        <w:tc>
          <w:tcPr>
            <w:tcW w:w="0" w:type="auto"/>
            <w:gridSpan w:val="3"/>
            <w:shd w:val="clear" w:color="auto" w:fill="CCFFCC"/>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Value of Land,</w:t>
            </w:r>
          </w:p>
        </w:tc>
      </w:tr>
      <w:tr w:rsidR="00C25ECF" w:rsidRPr="00AD08E6">
        <w:trPr>
          <w:tblCellSpacing w:w="15" w:type="dxa"/>
        </w:trPr>
        <w:tc>
          <w:tcPr>
            <w:tcW w:w="2500" w:type="pct"/>
            <w:shd w:val="clear" w:color="auto" w:fill="CCFFCC"/>
            <w:vAlign w:val="center"/>
            <w:hideMark/>
          </w:tcPr>
          <w:p w:rsidR="00C25ECF" w:rsidRPr="00AD08E6" w:rsidRDefault="00C25ECF">
            <w:pPr>
              <w:rPr>
                <w:rFonts w:eastAsia="Times New Roman"/>
                <w:sz w:val="18"/>
                <w:szCs w:val="18"/>
              </w:rPr>
            </w:pPr>
          </w:p>
        </w:tc>
        <w:tc>
          <w:tcPr>
            <w:tcW w:w="0" w:type="auto"/>
            <w:shd w:val="clear" w:color="auto" w:fill="CCFFCC"/>
            <w:vAlign w:val="center"/>
            <w:hideMark/>
          </w:tcPr>
          <w:p w:rsidR="00C25ECF" w:rsidRPr="00AD08E6" w:rsidRDefault="00C25ECF">
            <w:pPr>
              <w:rPr>
                <w:rFonts w:eastAsia="Times New Roman"/>
                <w:sz w:val="18"/>
                <w:szCs w:val="18"/>
              </w:rPr>
            </w:pPr>
          </w:p>
        </w:tc>
        <w:tc>
          <w:tcPr>
            <w:tcW w:w="0" w:type="auto"/>
            <w:gridSpan w:val="2"/>
            <w:shd w:val="clear" w:color="auto" w:fill="CCFFCC"/>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June 30,</w:t>
            </w:r>
          </w:p>
        </w:tc>
      </w:tr>
      <w:tr w:rsidR="00C25ECF" w:rsidRPr="00AD08E6">
        <w:trPr>
          <w:tblCellSpacing w:w="15" w:type="dxa"/>
        </w:trPr>
        <w:tc>
          <w:tcPr>
            <w:tcW w:w="0" w:type="auto"/>
            <w:shd w:val="clear" w:color="auto" w:fill="FFFFFF"/>
            <w:vAlign w:val="center"/>
            <w:hideMark/>
          </w:tcPr>
          <w:p w:rsidR="00C25ECF" w:rsidRPr="00AD08E6" w:rsidRDefault="00C25ECF">
            <w:pPr>
              <w:rPr>
                <w:rFonts w:eastAsia="Times New Roman"/>
                <w:sz w:val="18"/>
                <w:szCs w:val="18"/>
              </w:rPr>
            </w:pPr>
          </w:p>
        </w:tc>
        <w:tc>
          <w:tcPr>
            <w:tcW w:w="1000" w:type="pct"/>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b/>
                <w:bCs/>
                <w:sz w:val="18"/>
                <w:szCs w:val="18"/>
              </w:rPr>
              <w:t>September 30, 2011</w:t>
            </w:r>
          </w:p>
        </w:tc>
        <w:tc>
          <w:tcPr>
            <w:tcW w:w="0" w:type="auto"/>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b/>
                <w:bCs/>
                <w:sz w:val="18"/>
                <w:szCs w:val="18"/>
                <w:u w:val="single"/>
              </w:rPr>
              <w:t>2011</w:t>
            </w:r>
          </w:p>
        </w:tc>
        <w:tc>
          <w:tcPr>
            <w:tcW w:w="0" w:type="auto"/>
            <w:shd w:val="clear" w:color="auto" w:fill="FFFFFF"/>
            <w:vAlign w:val="center"/>
            <w:hideMark/>
          </w:tcPr>
          <w:p w:rsidR="00C25ECF" w:rsidRPr="00AD08E6" w:rsidRDefault="003A781F">
            <w:pPr>
              <w:jc w:val="center"/>
              <w:rPr>
                <w:rFonts w:eastAsia="Times New Roman"/>
                <w:sz w:val="18"/>
                <w:szCs w:val="18"/>
              </w:rPr>
            </w:pPr>
            <w:r w:rsidRPr="00AD08E6">
              <w:rPr>
                <w:rFonts w:eastAsia="Times New Roman"/>
                <w:b/>
                <w:bCs/>
                <w:sz w:val="18"/>
                <w:szCs w:val="18"/>
                <w:u w:val="single"/>
              </w:rPr>
              <w:t>2010</w:t>
            </w:r>
          </w:p>
        </w:tc>
      </w:tr>
      <w:tr w:rsidR="00C25ECF" w:rsidRPr="00AD08E6">
        <w:trPr>
          <w:tblCellSpacing w:w="15" w:type="dxa"/>
        </w:trPr>
        <w:tc>
          <w:tcPr>
            <w:tcW w:w="0" w:type="auto"/>
            <w:shd w:val="clear" w:color="auto" w:fill="CCFFCC"/>
            <w:vAlign w:val="center"/>
            <w:hideMark/>
          </w:tcPr>
          <w:p w:rsidR="00C25ECF" w:rsidRPr="00AD08E6" w:rsidRDefault="003A781F">
            <w:pPr>
              <w:jc w:val="center"/>
              <w:rPr>
                <w:rFonts w:eastAsia="Times New Roman"/>
                <w:sz w:val="18"/>
                <w:szCs w:val="18"/>
              </w:rPr>
            </w:pPr>
            <w:r w:rsidRPr="00AD08E6">
              <w:rPr>
                <w:rFonts w:eastAsia="Times New Roman"/>
                <w:sz w:val="18"/>
                <w:szCs w:val="18"/>
              </w:rPr>
              <w:t>US Dollars</w:t>
            </w:r>
          </w:p>
        </w:tc>
        <w:tc>
          <w:tcPr>
            <w:tcW w:w="0" w:type="auto"/>
            <w:shd w:val="clear" w:color="auto" w:fill="CCFFCC"/>
            <w:vAlign w:val="center"/>
            <w:hideMark/>
          </w:tcPr>
          <w:p w:rsidR="00C25ECF" w:rsidRPr="00AD08E6" w:rsidRDefault="003A781F">
            <w:pPr>
              <w:jc w:val="right"/>
              <w:rPr>
                <w:rFonts w:eastAsia="Times New Roman"/>
                <w:sz w:val="18"/>
                <w:szCs w:val="18"/>
              </w:rPr>
            </w:pPr>
            <w:r w:rsidRPr="00AD08E6">
              <w:rPr>
                <w:rFonts w:eastAsia="Times New Roman"/>
                <w:sz w:val="18"/>
                <w:szCs w:val="18"/>
              </w:rPr>
              <w:t>$622,642</w:t>
            </w:r>
          </w:p>
        </w:tc>
        <w:tc>
          <w:tcPr>
            <w:tcW w:w="0" w:type="auto"/>
            <w:shd w:val="clear" w:color="auto" w:fill="CCFFCC"/>
            <w:vAlign w:val="center"/>
            <w:hideMark/>
          </w:tcPr>
          <w:p w:rsidR="00C25ECF" w:rsidRPr="00AD08E6" w:rsidRDefault="003A781F">
            <w:pPr>
              <w:jc w:val="right"/>
              <w:rPr>
                <w:rFonts w:eastAsia="Times New Roman"/>
                <w:sz w:val="18"/>
                <w:szCs w:val="18"/>
              </w:rPr>
            </w:pPr>
            <w:r w:rsidRPr="00AD08E6">
              <w:rPr>
                <w:rFonts w:eastAsia="Times New Roman"/>
                <w:sz w:val="18"/>
                <w:szCs w:val="18"/>
              </w:rPr>
              <w:t>$622,642</w:t>
            </w:r>
          </w:p>
        </w:tc>
        <w:tc>
          <w:tcPr>
            <w:tcW w:w="0" w:type="auto"/>
            <w:shd w:val="clear" w:color="auto" w:fill="CCFFCC"/>
            <w:vAlign w:val="center"/>
            <w:hideMark/>
          </w:tcPr>
          <w:p w:rsidR="00C25ECF" w:rsidRPr="00AD08E6" w:rsidRDefault="003A781F">
            <w:pPr>
              <w:jc w:val="right"/>
              <w:rPr>
                <w:rFonts w:eastAsia="Times New Roman"/>
                <w:sz w:val="18"/>
                <w:szCs w:val="18"/>
              </w:rPr>
            </w:pPr>
            <w:r w:rsidRPr="00AD08E6">
              <w:rPr>
                <w:rFonts w:eastAsia="Times New Roman"/>
                <w:sz w:val="18"/>
                <w:szCs w:val="18"/>
              </w:rPr>
              <w:t>$525,000</w:t>
            </w:r>
          </w:p>
        </w:tc>
      </w:tr>
      <w:tr w:rsidR="00C25ECF" w:rsidRPr="00AD08E6">
        <w:trPr>
          <w:tblCellSpacing w:w="15" w:type="dxa"/>
        </w:trPr>
        <w:tc>
          <w:tcPr>
            <w:tcW w:w="0" w:type="auto"/>
            <w:shd w:val="clear" w:color="auto" w:fill="CCFFCC"/>
            <w:vAlign w:val="center"/>
            <w:hideMark/>
          </w:tcPr>
          <w:p w:rsidR="00C25ECF" w:rsidRPr="00AD08E6" w:rsidRDefault="00620510">
            <w:pPr>
              <w:jc w:val="right"/>
              <w:rPr>
                <w:rFonts w:eastAsia="Times New Roman"/>
                <w:sz w:val="18"/>
                <w:szCs w:val="18"/>
              </w:rPr>
            </w:pPr>
            <w:r w:rsidRPr="00620510">
              <w:rPr>
                <w:rFonts w:eastAsia="Times New Roman"/>
                <w:sz w:val="18"/>
                <w:szCs w:val="18"/>
              </w:rPr>
              <w:pict>
                <v:rect id="_x0000_i1046" style="width:0;height:1.5pt" o:hralign="center" o:hrstd="t" o:hr="t" fillcolor="#aca899" stroked="f"/>
              </w:pict>
            </w:r>
          </w:p>
        </w:tc>
        <w:tc>
          <w:tcPr>
            <w:tcW w:w="0" w:type="auto"/>
            <w:shd w:val="clear" w:color="auto" w:fill="CCFFCC"/>
            <w:vAlign w:val="center"/>
            <w:hideMark/>
          </w:tcPr>
          <w:p w:rsidR="00C25ECF" w:rsidRPr="00AD08E6" w:rsidRDefault="00620510">
            <w:pPr>
              <w:rPr>
                <w:rFonts w:eastAsia="Times New Roman"/>
                <w:sz w:val="18"/>
                <w:szCs w:val="18"/>
              </w:rPr>
            </w:pPr>
            <w:r w:rsidRPr="00620510">
              <w:rPr>
                <w:rFonts w:eastAsia="Times New Roman"/>
                <w:sz w:val="18"/>
                <w:szCs w:val="18"/>
              </w:rPr>
              <w:pict>
                <v:rect id="_x0000_i1047" style="width:0;height:1.5pt" o:hralign="center" o:hrstd="t" o:hr="t" fillcolor="#aca899" stroked="f"/>
              </w:pict>
            </w:r>
          </w:p>
        </w:tc>
        <w:tc>
          <w:tcPr>
            <w:tcW w:w="0" w:type="auto"/>
            <w:shd w:val="clear" w:color="auto" w:fill="CCFFCC"/>
            <w:vAlign w:val="center"/>
            <w:hideMark/>
          </w:tcPr>
          <w:p w:rsidR="00C25ECF" w:rsidRPr="00AD08E6" w:rsidRDefault="00620510">
            <w:pPr>
              <w:jc w:val="right"/>
              <w:rPr>
                <w:rFonts w:eastAsia="Times New Roman"/>
                <w:sz w:val="18"/>
                <w:szCs w:val="18"/>
              </w:rPr>
            </w:pPr>
            <w:r w:rsidRPr="00620510">
              <w:rPr>
                <w:rFonts w:eastAsia="Times New Roman"/>
                <w:sz w:val="18"/>
                <w:szCs w:val="18"/>
              </w:rPr>
              <w:pict>
                <v:rect id="_x0000_i1048" style="width:0;height:1.5pt" o:hralign="center" o:hrstd="t" o:hr="t" fillcolor="#aca899" stroked="f"/>
              </w:pict>
            </w:r>
          </w:p>
        </w:tc>
        <w:tc>
          <w:tcPr>
            <w:tcW w:w="0" w:type="auto"/>
            <w:shd w:val="clear" w:color="auto" w:fill="CCFFCC"/>
            <w:vAlign w:val="center"/>
            <w:hideMark/>
          </w:tcPr>
          <w:p w:rsidR="00C25ECF" w:rsidRPr="00AD08E6" w:rsidRDefault="00620510">
            <w:pPr>
              <w:jc w:val="right"/>
              <w:rPr>
                <w:rFonts w:eastAsia="Times New Roman"/>
                <w:sz w:val="18"/>
                <w:szCs w:val="18"/>
              </w:rPr>
            </w:pPr>
            <w:r w:rsidRPr="00620510">
              <w:rPr>
                <w:rFonts w:eastAsia="Times New Roman"/>
                <w:sz w:val="18"/>
                <w:szCs w:val="18"/>
              </w:rPr>
              <w:pict>
                <v:rect id="_x0000_i1049" style="width:0;height:1.5pt" o:hralign="center" o:hrstd="t" o:hr="t" fillcolor="#aca899" stroked="f"/>
              </w:pict>
            </w:r>
          </w:p>
        </w:tc>
      </w:tr>
    </w:tbl>
    <w:p w:rsidR="00C25ECF" w:rsidRPr="00AD08E6" w:rsidRDefault="003A781F">
      <w:pPr>
        <w:pStyle w:val="NormalWeb"/>
        <w:rPr>
          <w:sz w:val="18"/>
          <w:szCs w:val="18"/>
        </w:rPr>
      </w:pPr>
      <w:r w:rsidRPr="00AD08E6">
        <w:rPr>
          <w:b/>
          <w:bCs/>
          <w:sz w:val="18"/>
          <w:szCs w:val="18"/>
        </w:rPr>
        <w:t>NOTE 5 - RELATED PARTY TRANSACTIONS ANTON NIELSEN VOJENS, ApS</w:t>
      </w:r>
      <w:r w:rsidRPr="00AD08E6">
        <w:rPr>
          <w:b/>
          <w:bCs/>
          <w:sz w:val="18"/>
          <w:szCs w:val="18"/>
        </w:rPr>
        <w:br/>
      </w:r>
      <w:r w:rsidRPr="00AD08E6">
        <w:rPr>
          <w:sz w:val="18"/>
          <w:szCs w:val="18"/>
        </w:rPr>
        <w:br/>
      </w:r>
      <w:r w:rsidR="00794B09" w:rsidRPr="00794B09">
        <w:rPr>
          <w:sz w:val="18"/>
          <w:szCs w:val="18"/>
        </w:rPr>
        <w:t xml:space="preserve">The Company purchased Anton Nielsen Vojens ApS from a previous shareholder of the Company, Borkwood Development LTD ("Borkwood"). At the time of the acquisition, even though Borkwood was not a shareholder, AOXY, a director of </w:t>
      </w:r>
      <w:proofErr w:type="spellStart"/>
      <w:r w:rsidR="00794B09" w:rsidRPr="00794B09">
        <w:rPr>
          <w:sz w:val="18"/>
          <w:szCs w:val="18"/>
        </w:rPr>
        <w:t>Borkwood</w:t>
      </w:r>
      <w:proofErr w:type="spellEnd"/>
      <w:r w:rsidR="00794B09" w:rsidRPr="00794B09">
        <w:rPr>
          <w:sz w:val="18"/>
          <w:szCs w:val="18"/>
        </w:rPr>
        <w:t xml:space="preserve"> </w:t>
      </w:r>
      <w:proofErr w:type="spellStart"/>
      <w:r w:rsidR="00794B09" w:rsidRPr="00794B09">
        <w:rPr>
          <w:sz w:val="18"/>
          <w:szCs w:val="18"/>
        </w:rPr>
        <w:t>Aage</w:t>
      </w:r>
      <w:proofErr w:type="spellEnd"/>
      <w:r w:rsidR="00794B09" w:rsidRPr="00794B09">
        <w:rPr>
          <w:sz w:val="18"/>
          <w:szCs w:val="18"/>
        </w:rPr>
        <w:t xml:space="preserve"> Madsen was an officer of Anton Nielsen Vojens ApS. </w:t>
      </w:r>
      <w:proofErr w:type="spellStart"/>
      <w:r w:rsidR="00794B09" w:rsidRPr="00794B09">
        <w:rPr>
          <w:sz w:val="18"/>
          <w:szCs w:val="18"/>
        </w:rPr>
        <w:t>Aage</w:t>
      </w:r>
      <w:proofErr w:type="spellEnd"/>
      <w:r w:rsidR="00794B09" w:rsidRPr="00794B09">
        <w:rPr>
          <w:sz w:val="18"/>
          <w:szCs w:val="18"/>
        </w:rPr>
        <w:t xml:space="preserve"> Madsen was a director of Anton Nielsen Vojens until May 25, 2007 and from there forward, there were no related parties between AOXY and Borkwood Development LTD. The Company had an outstanding balance of long term debt to Borkwood Development LTD at September 30, 2011 was $167,263 .</w:t>
      </w:r>
    </w:p>
    <w:p w:rsidR="00C25ECF" w:rsidRPr="00AD08E6" w:rsidRDefault="003A781F">
      <w:pPr>
        <w:pStyle w:val="NormalWeb"/>
        <w:rPr>
          <w:sz w:val="18"/>
          <w:szCs w:val="18"/>
        </w:rPr>
      </w:pPr>
      <w:r w:rsidRPr="00AD08E6">
        <w:rPr>
          <w:b/>
          <w:bCs/>
          <w:sz w:val="18"/>
          <w:szCs w:val="18"/>
        </w:rPr>
        <w:t>NOTE 6 - COMMITMENTS AND CONTINGENCIES:</w:t>
      </w:r>
    </w:p>
    <w:p w:rsidR="00C25ECF" w:rsidRPr="00AD08E6" w:rsidRDefault="003A781F">
      <w:pPr>
        <w:pStyle w:val="NormalWeb"/>
        <w:rPr>
          <w:sz w:val="18"/>
          <w:szCs w:val="18"/>
        </w:rPr>
      </w:pPr>
      <w:r w:rsidRPr="00AD08E6">
        <w:rPr>
          <w:i/>
          <w:iCs/>
          <w:sz w:val="18"/>
          <w:szCs w:val="18"/>
        </w:rPr>
        <w:t>Commitments</w:t>
      </w:r>
      <w:r w:rsidRPr="00AD08E6">
        <w:rPr>
          <w:sz w:val="18"/>
          <w:szCs w:val="18"/>
        </w:rPr>
        <w:t>:</w:t>
      </w:r>
    </w:p>
    <w:p w:rsidR="00C25ECF" w:rsidRPr="00AD08E6" w:rsidRDefault="003A781F">
      <w:pPr>
        <w:pStyle w:val="NormalWeb"/>
        <w:rPr>
          <w:sz w:val="18"/>
          <w:szCs w:val="18"/>
        </w:rPr>
      </w:pPr>
      <w:r w:rsidRPr="00AD08E6">
        <w:rPr>
          <w:sz w:val="18"/>
          <w:szCs w:val="18"/>
        </w:rPr>
        <w:t>The Company has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2012 and interest waived through the period ending June 30, 2011.</w:t>
      </w:r>
    </w:p>
    <w:p w:rsidR="00C25ECF" w:rsidRPr="00AD08E6" w:rsidRDefault="003A781F">
      <w:pPr>
        <w:pStyle w:val="NormalWeb"/>
        <w:rPr>
          <w:sz w:val="18"/>
          <w:szCs w:val="18"/>
        </w:rPr>
      </w:pPr>
      <w:r w:rsidRPr="00AD08E6">
        <w:rPr>
          <w:sz w:val="18"/>
          <w:szCs w:val="18"/>
        </w:rPr>
        <w:t>The Company's wholly owned subsidiary Anton Nielsen Vojens, ApS has a note payable with a bank. The original amount of the note was kr 750,000 Danish Krone (kr). The note is unsecured and uncollateralized, with a 7.00% interest rate and a 9 years left on the term. The balances on the note as of September 30, 2010 and September 30, 2009 were 72,852 and $92,108 respectively and the yearly payments are fixed at kr 75,000.</w:t>
      </w:r>
    </w:p>
    <w:p w:rsidR="00C25ECF" w:rsidRPr="00AD08E6" w:rsidRDefault="003A781F">
      <w:pPr>
        <w:pStyle w:val="NormalWeb"/>
        <w:rPr>
          <w:sz w:val="18"/>
          <w:szCs w:val="18"/>
        </w:rPr>
      </w:pPr>
      <w:r w:rsidRPr="00AD08E6">
        <w:rPr>
          <w:b/>
          <w:bCs/>
          <w:sz w:val="18"/>
          <w:szCs w:val="18"/>
        </w:rPr>
        <w:t>NOTE 7 - DUE TO AFFILIATE</w:t>
      </w:r>
    </w:p>
    <w:p w:rsidR="00C25ECF" w:rsidRPr="00AD08E6" w:rsidRDefault="003A781F">
      <w:pPr>
        <w:pStyle w:val="NormalWeb"/>
        <w:rPr>
          <w:sz w:val="18"/>
          <w:szCs w:val="18"/>
        </w:rPr>
      </w:pPr>
      <w:r w:rsidRPr="00AD08E6">
        <w:rPr>
          <w:i/>
          <w:iCs/>
          <w:sz w:val="18"/>
          <w:szCs w:val="18"/>
        </w:rPr>
        <w:t>Due to affiliate consisted of:</w:t>
      </w:r>
      <w:r w:rsidRPr="00AD08E6">
        <w:rPr>
          <w:sz w:val="18"/>
          <w:szCs w:val="18"/>
        </w:rPr>
        <w:t xml:space="preserve"> Advances payable to Crossfields, Inc., a related party, which are not collateralized, non-interest bearing, and payable upon demand, however, the Company did not expect to make payment within one year. During the 3 month</w:t>
      </w:r>
      <w:r w:rsidR="00CC5E03">
        <w:rPr>
          <w:sz w:val="18"/>
          <w:szCs w:val="18"/>
        </w:rPr>
        <w:t xml:space="preserve"> period ended September 30, 2011 and 2010</w:t>
      </w:r>
      <w:r w:rsidRPr="00AD08E6">
        <w:rPr>
          <w:sz w:val="18"/>
          <w:szCs w:val="18"/>
        </w:rPr>
        <w:t xml:space="preserve"> the Company had borrowed $0 and had balances of</w:t>
      </w:r>
      <w:r w:rsidR="00CC5E03">
        <w:rPr>
          <w:sz w:val="18"/>
          <w:szCs w:val="18"/>
        </w:rPr>
        <w:t xml:space="preserve">$38,793 and </w:t>
      </w:r>
      <w:r w:rsidRPr="00AD08E6">
        <w:rPr>
          <w:sz w:val="18"/>
          <w:szCs w:val="18"/>
        </w:rPr>
        <w:t>$36,458</w:t>
      </w:r>
      <w:r w:rsidR="00CC5E03">
        <w:rPr>
          <w:sz w:val="18"/>
          <w:szCs w:val="18"/>
        </w:rPr>
        <w:t xml:space="preserve"> </w:t>
      </w:r>
      <w:r w:rsidRPr="00AD08E6">
        <w:rPr>
          <w:sz w:val="18"/>
          <w:szCs w:val="18"/>
        </w:rPr>
        <w:t xml:space="preserve">respectively, from affiliates and officers to meet expenses. The balances were not collateralized, were non-interest bearing and were payable on demand. </w:t>
      </w:r>
    </w:p>
    <w:p w:rsidR="00C25ECF" w:rsidRPr="00AD08E6" w:rsidRDefault="003A781F">
      <w:pPr>
        <w:pStyle w:val="NormalWeb"/>
        <w:rPr>
          <w:sz w:val="18"/>
          <w:szCs w:val="18"/>
        </w:rPr>
      </w:pPr>
      <w:r w:rsidRPr="00AD08E6">
        <w:rPr>
          <w:b/>
          <w:bCs/>
          <w:sz w:val="18"/>
          <w:szCs w:val="18"/>
        </w:rPr>
        <w:t>NOTE 8 - INCOME TAXES</w:t>
      </w:r>
      <w:r w:rsidRPr="00AD08E6">
        <w:rPr>
          <w:sz w:val="18"/>
          <w:szCs w:val="18"/>
        </w:rPr>
        <w:br/>
      </w:r>
      <w:r w:rsidRPr="00AD08E6">
        <w:rPr>
          <w:sz w:val="18"/>
          <w:szCs w:val="18"/>
        </w:rPr>
        <w:br/>
        <w:t>As of September 30, 2011, the Company had federal and state net operating loss carryforwards of approximately $12,400,000 of which approximately $1,600,000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p w:rsidR="00C25ECF" w:rsidRDefault="00620510">
      <w:pPr>
        <w:pStyle w:val="NormalWeb"/>
        <w:rPr>
          <w:sz w:val="20"/>
          <w:szCs w:val="20"/>
        </w:rPr>
      </w:pPr>
      <w:hyperlink w:anchor="toc" w:history="1">
        <w:r w:rsidR="003A781F">
          <w:rPr>
            <w:rStyle w:val="Hyperlink"/>
            <w:b/>
            <w:bCs/>
            <w:sz w:val="20"/>
            <w:szCs w:val="20"/>
          </w:rPr>
          <w:t>Return to Table of Contents</w:t>
        </w:r>
      </w:hyperlink>
      <w:r w:rsidR="003A781F">
        <w:rPr>
          <w:sz w:val="20"/>
          <w:szCs w:val="20"/>
        </w:rPr>
        <w:t xml:space="preserve"> </w:t>
      </w:r>
    </w:p>
    <w:p w:rsidR="00AD08E6" w:rsidRDefault="00620510">
      <w:pPr>
        <w:rPr>
          <w:rFonts w:eastAsia="Times New Roman"/>
          <w:sz w:val="20"/>
          <w:szCs w:val="20"/>
        </w:rPr>
      </w:pPr>
      <w:r w:rsidRPr="00620510">
        <w:rPr>
          <w:rFonts w:eastAsia="Times New Roman"/>
          <w:sz w:val="20"/>
          <w:szCs w:val="20"/>
        </w:rPr>
        <w:pict>
          <v:rect id="_x0000_i1050" style="width:0;height:3pt" o:hralign="center" o:hrstd="t" o:hrnoshade="t" o:hr="t" fillcolor="black" stroked="f"/>
        </w:pict>
      </w:r>
    </w:p>
    <w:p w:rsidR="00AD08E6" w:rsidRDefault="00AD08E6">
      <w:pPr>
        <w:rPr>
          <w:rFonts w:eastAsia="Times New Roman"/>
          <w:sz w:val="20"/>
          <w:szCs w:val="20"/>
        </w:rPr>
      </w:pPr>
      <w:r>
        <w:rPr>
          <w:rFonts w:eastAsia="Times New Roman"/>
          <w:sz w:val="20"/>
          <w:szCs w:val="20"/>
        </w:rPr>
        <w:br w:type="page"/>
      </w:r>
    </w:p>
    <w:p w:rsidR="00C25ECF" w:rsidRDefault="00C25ECF">
      <w:pPr>
        <w:rPr>
          <w:rFonts w:eastAsia="Times New Roman"/>
          <w:sz w:val="20"/>
          <w:szCs w:val="20"/>
        </w:rPr>
      </w:pP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rPr>
                <w:rFonts w:eastAsia="Times New Roman"/>
              </w:rPr>
            </w:pPr>
            <w:r>
              <w:rPr>
                <w:rFonts w:eastAsia="Times New Roman"/>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jc w:val="right"/>
              <w:rPr>
                <w:rFonts w:eastAsia="Times New Roman"/>
              </w:rPr>
            </w:pPr>
            <w:r>
              <w:rPr>
                <w:rFonts w:eastAsia="Times New Roman"/>
                <w:sz w:val="20"/>
                <w:szCs w:val="20"/>
              </w:rPr>
              <w:t>Amount</w:t>
            </w:r>
          </w:p>
        </w:tc>
      </w:tr>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5ECF" w:rsidRDefault="003A781F">
            <w:pPr>
              <w:rPr>
                <w:rFonts w:eastAsia="Times New Roman"/>
              </w:rPr>
            </w:pPr>
            <w:r>
              <w:rPr>
                <w:rFonts w:eastAsia="Times New Roman"/>
                <w:sz w:val="20"/>
                <w:szCs w:val="20"/>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5ECF" w:rsidRDefault="003A781F">
            <w:pPr>
              <w:jc w:val="right"/>
              <w:rPr>
                <w:rFonts w:eastAsia="Times New Roman"/>
              </w:rPr>
            </w:pPr>
            <w:r>
              <w:rPr>
                <w:rFonts w:eastAsia="Times New Roman"/>
                <w:sz w:val="20"/>
                <w:szCs w:val="20"/>
              </w:rPr>
              <w:t>$464,000</w:t>
            </w:r>
          </w:p>
        </w:tc>
      </w:tr>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jc w:val="right"/>
              <w:rPr>
                <w:rFonts w:eastAsia="Times New Roman"/>
              </w:rPr>
            </w:pPr>
            <w:r>
              <w:rPr>
                <w:rFonts w:eastAsia="Times New Roman"/>
                <w:sz w:val="20"/>
                <w:szCs w:val="20"/>
              </w:rPr>
              <w:t>236,000</w:t>
            </w:r>
          </w:p>
        </w:tc>
      </w:tr>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5ECF" w:rsidRDefault="003A781F">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5ECF" w:rsidRDefault="003A781F">
            <w:pPr>
              <w:jc w:val="right"/>
              <w:rPr>
                <w:rFonts w:eastAsia="Times New Roman"/>
              </w:rPr>
            </w:pPr>
            <w:r>
              <w:rPr>
                <w:rFonts w:eastAsia="Times New Roman"/>
                <w:sz w:val="20"/>
                <w:szCs w:val="20"/>
              </w:rPr>
              <w:t>548,000</w:t>
            </w:r>
          </w:p>
        </w:tc>
      </w:tr>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jc w:val="right"/>
              <w:rPr>
                <w:rFonts w:eastAsia="Times New Roman"/>
              </w:rPr>
            </w:pPr>
            <w:r>
              <w:rPr>
                <w:rFonts w:eastAsia="Times New Roman"/>
                <w:sz w:val="20"/>
                <w:szCs w:val="20"/>
              </w:rPr>
              <w:t>351,000</w:t>
            </w:r>
          </w:p>
        </w:tc>
      </w:tr>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5ECF" w:rsidRDefault="003A781F">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5ECF" w:rsidRDefault="003A781F">
            <w:pPr>
              <w:jc w:val="right"/>
              <w:rPr>
                <w:rFonts w:eastAsia="Times New Roman"/>
              </w:rPr>
            </w:pPr>
            <w:r>
              <w:rPr>
                <w:rFonts w:eastAsia="Times New Roman"/>
                <w:sz w:val="20"/>
                <w:szCs w:val="20"/>
                <w:u w:val="single"/>
              </w:rPr>
              <w:t>29,000</w:t>
            </w:r>
          </w:p>
        </w:tc>
      </w:tr>
      <w:tr w:rsidR="00C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C25ECF" w:rsidRDefault="003A781F">
            <w:pPr>
              <w:jc w:val="right"/>
              <w:rPr>
                <w:rFonts w:eastAsia="Times New Roman"/>
              </w:rPr>
            </w:pPr>
            <w:r>
              <w:rPr>
                <w:rFonts w:eastAsia="Times New Roman"/>
                <w:sz w:val="20"/>
                <w:szCs w:val="20"/>
              </w:rPr>
              <w:t>$ 1,628,000</w:t>
            </w:r>
          </w:p>
        </w:tc>
      </w:tr>
    </w:tbl>
    <w:p w:rsidR="00C25ECF" w:rsidRDefault="003A781F">
      <w:pPr>
        <w:pStyle w:val="NormalWeb"/>
      </w:pPr>
      <w:r>
        <w:rPr>
          <w:sz w:val="20"/>
          <w:szCs w:val="20"/>
        </w:rPr>
        <w:t>The overall effective tax rate differs from the federal statutory tax rate of 34% due to operating losses and other deferred assets not providing benefit for income tax purposes.</w:t>
      </w:r>
    </w:p>
    <w:p w:rsidR="00C25ECF" w:rsidRDefault="003A781F">
      <w:pPr>
        <w:pStyle w:val="NormalWeb"/>
      </w:pPr>
      <w:r>
        <w:rPr>
          <w:b/>
          <w:bCs/>
          <w:sz w:val="20"/>
          <w:szCs w:val="20"/>
        </w:rPr>
        <w:t>NOTE 9 - SHAREHOLDERS' EQUITY:</w:t>
      </w:r>
    </w:p>
    <w:p w:rsidR="00C25ECF" w:rsidRDefault="003A781F">
      <w:pPr>
        <w:pStyle w:val="NormalWeb"/>
      </w:pPr>
      <w:r>
        <w:rPr>
          <w:sz w:val="20"/>
          <w:szCs w:val="20"/>
        </w:rPr>
        <w:t>Preferred Stock:</w:t>
      </w:r>
    </w:p>
    <w:p w:rsidR="00C25ECF" w:rsidRDefault="003A781F">
      <w:pPr>
        <w:pStyle w:val="NormalWeb"/>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C25ECF" w:rsidRDefault="003A781F">
      <w:pPr>
        <w:pStyle w:val="NormalWeb"/>
      </w:pPr>
      <w:r>
        <w:rPr>
          <w:sz w:val="20"/>
          <w:szCs w:val="20"/>
        </w:rPr>
        <w:t>Series 2 Convertible Preferred Stock:</w:t>
      </w:r>
    </w:p>
    <w:p w:rsidR="00C25ECF" w:rsidRDefault="003A781F">
      <w:pPr>
        <w:pStyle w:val="NormalWeb"/>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C25ECF" w:rsidRDefault="003A781F">
      <w:pPr>
        <w:pStyle w:val="NormalWeb"/>
      </w:pPr>
      <w:r>
        <w:rPr>
          <w:sz w:val="20"/>
          <w:szCs w:val="20"/>
        </w:rPr>
        <w:t>During November 1997, 172,000 shares of Series 2 preferred stock were converted into 344,000 shares of the Company's common stock.</w:t>
      </w:r>
    </w:p>
    <w:p w:rsidR="00C25ECF" w:rsidRDefault="003A781F">
      <w:pPr>
        <w:pStyle w:val="NormalWeb"/>
      </w:pPr>
      <w:r>
        <w:rPr>
          <w:sz w:val="20"/>
          <w:szCs w:val="20"/>
        </w:rPr>
        <w:t>Series 4 Convertible Preferred Stock:</w:t>
      </w:r>
    </w:p>
    <w:p w:rsidR="00C25ECF" w:rsidRDefault="003A781F">
      <w:pPr>
        <w:pStyle w:val="NormalWeb"/>
      </w:pPr>
      <w:r>
        <w:rPr>
          <w:sz w:val="20"/>
          <w:szCs w:val="20"/>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C25ECF" w:rsidRDefault="003A781F">
      <w:pPr>
        <w:pStyle w:val="NormalWeb"/>
      </w:pPr>
      <w:r>
        <w:rPr>
          <w:b/>
          <w:bCs/>
          <w:sz w:val="20"/>
          <w:szCs w:val="20"/>
        </w:rPr>
        <w:t>ITEM 2: MANAGEMENT'S DISCUSSION AND ANALYSIS OF FINANCIAL CONDITION AND RESULTS OF OPERATIONS.</w:t>
      </w:r>
    </w:p>
    <w:p w:rsidR="00C25ECF" w:rsidRDefault="003A781F">
      <w:pPr>
        <w:pStyle w:val="NormalWeb"/>
      </w:pPr>
      <w:r>
        <w:rPr>
          <w:sz w:val="20"/>
          <w:szCs w:val="20"/>
        </w:rPr>
        <w:t>The following should be read in conjunction with our Consolidated Financial Statements and the notes thereto included in the Financial Statements."</w:t>
      </w:r>
    </w:p>
    <w:p w:rsidR="00C25ECF" w:rsidRDefault="003A781F">
      <w:pPr>
        <w:pStyle w:val="NormalWeb"/>
      </w:pPr>
      <w:r>
        <w:rPr>
          <w:sz w:val="20"/>
          <w:szCs w:val="20"/>
        </w:rPr>
        <w:t xml:space="preserve">FORWARD LOOKING STATEMENTS: </w:t>
      </w:r>
    </w:p>
    <w:p w:rsidR="00C25ECF" w:rsidRDefault="003A781F">
      <w:pPr>
        <w:pStyle w:val="NormalWeb"/>
      </w:pPr>
      <w:r>
        <w:rPr>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C25ECF" w:rsidRDefault="003A781F">
      <w:pPr>
        <w:pStyle w:val="NormalWeb"/>
      </w:pPr>
      <w:r>
        <w:rPr>
          <w:sz w:val="20"/>
          <w:szCs w:val="20"/>
        </w:rPr>
        <w:t>CRITICAL ACCOUNTING POLICIES AND ESTIMATES</w:t>
      </w:r>
    </w:p>
    <w:p w:rsidR="00C25ECF" w:rsidRDefault="00620510">
      <w:pPr>
        <w:pStyle w:val="NormalWeb"/>
        <w:rPr>
          <w:sz w:val="20"/>
          <w:szCs w:val="20"/>
        </w:rPr>
      </w:pPr>
      <w:hyperlink w:anchor="toc" w:history="1">
        <w:r w:rsidR="003A781F">
          <w:rPr>
            <w:rStyle w:val="Hyperlink"/>
            <w:b/>
            <w:bCs/>
            <w:sz w:val="20"/>
            <w:szCs w:val="20"/>
          </w:rPr>
          <w:t>Return to Table of Contents</w:t>
        </w:r>
      </w:hyperlink>
      <w:r w:rsidR="003A781F">
        <w:rPr>
          <w:sz w:val="20"/>
          <w:szCs w:val="20"/>
        </w:rPr>
        <w:t xml:space="preserve"> </w:t>
      </w:r>
    </w:p>
    <w:p w:rsidR="00C25ECF" w:rsidRDefault="00620510">
      <w:pPr>
        <w:rPr>
          <w:rFonts w:eastAsia="Times New Roman"/>
          <w:sz w:val="20"/>
          <w:szCs w:val="20"/>
        </w:rPr>
      </w:pPr>
      <w:r w:rsidRPr="00620510">
        <w:rPr>
          <w:rFonts w:eastAsia="Times New Roman"/>
          <w:sz w:val="20"/>
          <w:szCs w:val="20"/>
        </w:rPr>
        <w:pict>
          <v:rect id="_x0000_i1051" style="width:0;height:3pt" o:hralign="center" o:hrstd="t" o:hrnoshade="t" o:hr="t" fillcolor="black" stroked="f"/>
        </w:pict>
      </w:r>
    </w:p>
    <w:p w:rsidR="00AD08E6" w:rsidRDefault="003A781F">
      <w:pPr>
        <w:rPr>
          <w:rFonts w:eastAsia="Times New Roman"/>
          <w:sz w:val="20"/>
          <w:szCs w:val="20"/>
        </w:rPr>
      </w:pPr>
      <w:r>
        <w:rPr>
          <w:rFonts w:eastAsia="Times New Roman"/>
          <w:sz w:val="20"/>
          <w:szCs w:val="20"/>
        </w:rPr>
        <w:br/>
      </w:r>
    </w:p>
    <w:p w:rsidR="00AD08E6" w:rsidRDefault="00AD08E6">
      <w:pPr>
        <w:rPr>
          <w:rFonts w:eastAsia="Times New Roman"/>
          <w:sz w:val="20"/>
          <w:szCs w:val="20"/>
        </w:rPr>
      </w:pPr>
    </w:p>
    <w:p w:rsidR="00AD08E6" w:rsidRDefault="00AD08E6">
      <w:pPr>
        <w:rPr>
          <w:rFonts w:eastAsia="Times New Roman"/>
          <w:sz w:val="20"/>
          <w:szCs w:val="20"/>
        </w:rPr>
      </w:pPr>
    </w:p>
    <w:p w:rsidR="00C25ECF" w:rsidRPr="00AD08E6" w:rsidRDefault="003A781F">
      <w:pPr>
        <w:rPr>
          <w:rFonts w:eastAsia="Times New Roman"/>
          <w:sz w:val="18"/>
          <w:szCs w:val="18"/>
        </w:rPr>
      </w:pPr>
      <w:r w:rsidRPr="00AD08E6">
        <w:rPr>
          <w:rFonts w:eastAsia="Times New Roman"/>
          <w:sz w:val="18"/>
          <w:szCs w:val="18"/>
        </w:rPr>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C25ECF" w:rsidRPr="00AD08E6" w:rsidRDefault="003A781F">
      <w:pPr>
        <w:pStyle w:val="NormalWeb"/>
        <w:rPr>
          <w:sz w:val="18"/>
          <w:szCs w:val="18"/>
        </w:rPr>
      </w:pPr>
      <w:r w:rsidRPr="00AD08E6">
        <w:rPr>
          <w:i/>
          <w:iCs/>
          <w:sz w:val="18"/>
          <w:szCs w:val="18"/>
        </w:rPr>
        <w:t xml:space="preserve">Recognition of rental income. </w:t>
      </w:r>
      <w:r w:rsidRPr="00AD08E6">
        <w:rPr>
          <w:sz w:val="18"/>
          <w:szCs w:val="18"/>
        </w:rPr>
        <w:t>Rental income for commercial property leases is recognized on a straight-line basis over the respective lease terms.</w:t>
      </w:r>
    </w:p>
    <w:p w:rsidR="00C25ECF" w:rsidRPr="00AD08E6" w:rsidRDefault="003A781F">
      <w:pPr>
        <w:pStyle w:val="NormalWeb"/>
        <w:rPr>
          <w:sz w:val="18"/>
          <w:szCs w:val="18"/>
        </w:rPr>
      </w:pPr>
      <w:r w:rsidRPr="00AD08E6">
        <w:rPr>
          <w:sz w:val="18"/>
          <w:szCs w:val="18"/>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C25ECF" w:rsidRPr="00AD08E6" w:rsidRDefault="003A781F">
      <w:pPr>
        <w:pStyle w:val="NormalWeb"/>
        <w:rPr>
          <w:sz w:val="18"/>
          <w:szCs w:val="18"/>
        </w:rPr>
      </w:pPr>
      <w:r w:rsidRPr="00AD08E6">
        <w:rPr>
          <w:i/>
          <w:iCs/>
          <w:sz w:val="18"/>
          <w:szCs w:val="18"/>
        </w:rPr>
        <w:t xml:space="preserve">Revenue recognition on the sale of real estate. </w:t>
      </w:r>
    </w:p>
    <w:p w:rsidR="00C25ECF" w:rsidRPr="00AD08E6" w:rsidRDefault="003A781F">
      <w:pPr>
        <w:pStyle w:val="NormalWeb"/>
        <w:rPr>
          <w:sz w:val="18"/>
          <w:szCs w:val="18"/>
        </w:rPr>
      </w:pPr>
      <w:r w:rsidRPr="00AD08E6">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C25ECF" w:rsidRPr="00AD08E6" w:rsidRDefault="003A781F">
      <w:pPr>
        <w:pStyle w:val="NormalWeb"/>
        <w:rPr>
          <w:sz w:val="18"/>
          <w:szCs w:val="18"/>
        </w:rPr>
      </w:pPr>
      <w:r w:rsidRPr="00AD08E6">
        <w:rPr>
          <w:sz w:val="18"/>
          <w:szCs w:val="18"/>
        </w:rPr>
        <w:t>Interest Recognition on Notes Receivable</w:t>
      </w:r>
    </w:p>
    <w:p w:rsidR="00C25ECF" w:rsidRPr="00AD08E6" w:rsidRDefault="003A781F">
      <w:pPr>
        <w:pStyle w:val="NormalWeb"/>
        <w:rPr>
          <w:sz w:val="18"/>
          <w:szCs w:val="18"/>
        </w:rPr>
      </w:pPr>
      <w:r w:rsidRPr="00AD08E6">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C25ECF" w:rsidRPr="00AD08E6" w:rsidRDefault="003A781F">
      <w:pPr>
        <w:pStyle w:val="NormalWeb"/>
        <w:rPr>
          <w:sz w:val="18"/>
          <w:szCs w:val="18"/>
        </w:rPr>
      </w:pPr>
      <w:r w:rsidRPr="00AD08E6">
        <w:rPr>
          <w:i/>
          <w:iCs/>
          <w:sz w:val="18"/>
          <w:szCs w:val="18"/>
        </w:rPr>
        <w:t>Foreign currency translation:</w:t>
      </w:r>
    </w:p>
    <w:p w:rsidR="00C25ECF" w:rsidRPr="00AD08E6" w:rsidRDefault="003A781F">
      <w:pPr>
        <w:pStyle w:val="NormalWeb"/>
        <w:rPr>
          <w:sz w:val="18"/>
          <w:szCs w:val="18"/>
        </w:rPr>
      </w:pPr>
      <w:r w:rsidRPr="00AD08E6">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C25ECF" w:rsidRPr="00AD08E6" w:rsidRDefault="003A781F">
      <w:pPr>
        <w:pStyle w:val="NormalWeb"/>
        <w:rPr>
          <w:sz w:val="18"/>
          <w:szCs w:val="18"/>
        </w:rPr>
      </w:pPr>
      <w:r w:rsidRPr="00AD08E6">
        <w:rPr>
          <w:i/>
          <w:iCs/>
          <w:sz w:val="18"/>
          <w:szCs w:val="18"/>
        </w:rPr>
        <w:t>Income Taxes:</w:t>
      </w:r>
    </w:p>
    <w:p w:rsidR="00C25ECF" w:rsidRPr="00AD08E6" w:rsidRDefault="003A781F">
      <w:pPr>
        <w:pStyle w:val="NormalWeb"/>
        <w:rPr>
          <w:sz w:val="18"/>
          <w:szCs w:val="18"/>
        </w:rPr>
      </w:pPr>
      <w:r w:rsidRPr="00AD08E6">
        <w:rPr>
          <w:sz w:val="18"/>
          <w:szCs w:val="18"/>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w:t>
      </w:r>
    </w:p>
    <w:p w:rsidR="00C25ECF" w:rsidRPr="00AD08E6" w:rsidRDefault="003A781F">
      <w:pPr>
        <w:pStyle w:val="NormalWeb"/>
        <w:rPr>
          <w:sz w:val="18"/>
          <w:szCs w:val="18"/>
        </w:rPr>
      </w:pPr>
      <w:r w:rsidRPr="00AD08E6">
        <w:rPr>
          <w:sz w:val="18"/>
          <w:szCs w:val="18"/>
        </w:rPr>
        <w:t>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C25ECF" w:rsidRPr="00AD08E6" w:rsidRDefault="003A781F">
      <w:pPr>
        <w:pStyle w:val="NormalWeb"/>
        <w:rPr>
          <w:sz w:val="18"/>
          <w:szCs w:val="18"/>
        </w:rPr>
      </w:pPr>
      <w:r w:rsidRPr="00AD08E6">
        <w:rPr>
          <w:i/>
          <w:iCs/>
          <w:sz w:val="18"/>
          <w:szCs w:val="18"/>
        </w:rPr>
        <w:t>Net Earnings per Share:</w:t>
      </w:r>
    </w:p>
    <w:p w:rsidR="00C25ECF" w:rsidRPr="00AD08E6" w:rsidRDefault="003A781F">
      <w:pPr>
        <w:pStyle w:val="NormalWeb"/>
        <w:rPr>
          <w:sz w:val="18"/>
          <w:szCs w:val="18"/>
        </w:rPr>
      </w:pPr>
      <w:r w:rsidRPr="00AD08E6">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C25ECF" w:rsidRPr="00AD08E6" w:rsidRDefault="003A781F">
      <w:pPr>
        <w:pStyle w:val="NormalWeb"/>
        <w:rPr>
          <w:sz w:val="18"/>
          <w:szCs w:val="18"/>
        </w:rPr>
      </w:pPr>
      <w:r w:rsidRPr="00AD08E6">
        <w:rPr>
          <w:i/>
          <w:iCs/>
          <w:sz w:val="18"/>
          <w:szCs w:val="18"/>
        </w:rPr>
        <w:t>Cash and Cash Equivalents:</w:t>
      </w:r>
    </w:p>
    <w:p w:rsidR="00C25ECF" w:rsidRPr="00AD08E6" w:rsidRDefault="003A781F">
      <w:pPr>
        <w:pStyle w:val="NormalWeb"/>
        <w:rPr>
          <w:sz w:val="18"/>
          <w:szCs w:val="18"/>
        </w:rPr>
      </w:pPr>
      <w:r w:rsidRPr="00AD08E6">
        <w:rPr>
          <w:sz w:val="18"/>
          <w:szCs w:val="18"/>
        </w:rPr>
        <w:t>For purposes of the statement of cash flows, the Company considers all highly-liquid investments purchased with original maturities of three months or less to be cash equivalents.</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52" style="width:0;height:3pt" o:hralign="center" o:hrstd="t" o:hrnoshade="t" o:hr="t" fillcolor="black" stroked="f"/>
        </w:pict>
      </w:r>
    </w:p>
    <w:p w:rsidR="00AD08E6" w:rsidRDefault="00AD08E6">
      <w:pPr>
        <w:pStyle w:val="NormalWeb"/>
        <w:rPr>
          <w:sz w:val="20"/>
          <w:szCs w:val="20"/>
        </w:rPr>
      </w:pPr>
    </w:p>
    <w:p w:rsidR="00AD08E6" w:rsidRDefault="00AD08E6">
      <w:pPr>
        <w:pStyle w:val="NormalWeb"/>
        <w:rPr>
          <w:sz w:val="20"/>
          <w:szCs w:val="20"/>
        </w:rPr>
      </w:pPr>
    </w:p>
    <w:p w:rsidR="00C25ECF" w:rsidRDefault="003A781F">
      <w:pPr>
        <w:pStyle w:val="NormalWeb"/>
      </w:pPr>
      <w:r>
        <w:rPr>
          <w:sz w:val="20"/>
          <w:szCs w:val="20"/>
        </w:rPr>
        <w:t>The Company maintains its cash in bank deposit accounts which, at September 30, 2010 did not exceed federally insured limits. The Company has not experienced any losses in such accounts and believes that it is not exposed to any significant credit risk on such amounts.</w:t>
      </w:r>
    </w:p>
    <w:p w:rsidR="00C25ECF" w:rsidRDefault="003A781F">
      <w:pPr>
        <w:pStyle w:val="NormalWeb"/>
      </w:pPr>
      <w:r>
        <w:rPr>
          <w:i/>
          <w:iCs/>
          <w:sz w:val="20"/>
          <w:szCs w:val="20"/>
        </w:rPr>
        <w:t>Estimates:</w:t>
      </w:r>
    </w:p>
    <w:p w:rsidR="00C25ECF" w:rsidRDefault="003A781F">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C25ECF" w:rsidRDefault="003A781F">
      <w:pPr>
        <w:pStyle w:val="NormalWeb"/>
      </w:pPr>
      <w:r>
        <w:rPr>
          <w:i/>
          <w:iCs/>
          <w:sz w:val="20"/>
          <w:szCs w:val="20"/>
        </w:rPr>
        <w:t>Concentrations of Credit Risk</w:t>
      </w:r>
      <w:r>
        <w:rPr>
          <w:sz w:val="20"/>
          <w:szCs w:val="20"/>
        </w:rPr>
        <w:t>:</w:t>
      </w:r>
    </w:p>
    <w:p w:rsidR="00C25ECF" w:rsidRDefault="003A781F">
      <w:pPr>
        <w:pStyle w:val="NormalWeb"/>
      </w:pPr>
      <w:r>
        <w:rPr>
          <w:sz w:val="20"/>
          <w:szCs w:val="20"/>
        </w:rPr>
        <w:t>Financial instruments that potentially subject the Company to major credit risk consist principally of a single subsidiary of Anton Nielsen Vojens ApS and its customer concentration.</w:t>
      </w:r>
    </w:p>
    <w:p w:rsidR="00C25ECF" w:rsidRDefault="003A781F">
      <w:pPr>
        <w:pStyle w:val="NormalWeb"/>
      </w:pPr>
      <w:r>
        <w:rPr>
          <w:i/>
          <w:iCs/>
          <w:sz w:val="20"/>
          <w:szCs w:val="20"/>
        </w:rPr>
        <w:t>Recently Issued Accounting Standards</w:t>
      </w:r>
    </w:p>
    <w:p w:rsidR="00C25ECF" w:rsidRDefault="003A781F">
      <w:pPr>
        <w:pStyle w:val="NormalWeb"/>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C25ECF" w:rsidRDefault="003A781F">
      <w:pPr>
        <w:pStyle w:val="NormalWeb"/>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C25ECF" w:rsidRDefault="003A781F">
      <w:pPr>
        <w:pStyle w:val="NormalWeb"/>
        <w:spacing w:after="240" w:afterAutospacing="0"/>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
    <w:p w:rsidR="00C25ECF" w:rsidRDefault="003A781F">
      <w:pPr>
        <w:pStyle w:val="NormalWeb"/>
      </w:pPr>
      <w:r>
        <w:rPr>
          <w:sz w:val="20"/>
          <w:szCs w:val="20"/>
        </w:rP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C25ECF" w:rsidRDefault="003A781F">
      <w:pPr>
        <w:pStyle w:val="NormalWeb"/>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C25ECF" w:rsidRDefault="003A781F">
      <w:pPr>
        <w:pStyle w:val="NormalWeb"/>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53" style="width:0;height:3pt" o:hralign="center" o:hrstd="t" o:hrnoshade="t" o:hr="t" fillcolor="black" stroked="f"/>
        </w:pict>
      </w:r>
    </w:p>
    <w:p w:rsidR="009417AA" w:rsidRDefault="009417AA">
      <w:pPr>
        <w:pStyle w:val="NormalWeb"/>
        <w:rPr>
          <w:sz w:val="20"/>
          <w:szCs w:val="20"/>
        </w:rPr>
      </w:pPr>
    </w:p>
    <w:p w:rsidR="009417AA" w:rsidRDefault="009417AA">
      <w:pPr>
        <w:pStyle w:val="NormalWeb"/>
        <w:rPr>
          <w:sz w:val="20"/>
          <w:szCs w:val="20"/>
        </w:rPr>
      </w:pPr>
    </w:p>
    <w:p w:rsidR="00C25ECF" w:rsidRDefault="003A781F">
      <w:pPr>
        <w:pStyle w:val="NormalWeb"/>
      </w:pPr>
      <w:r>
        <w:rPr>
          <w:sz w:val="20"/>
          <w:szCs w:val="20"/>
        </w:rPr>
        <w:t>of a materiality assessment. SAB 108 was effective for fiscal years ending after November 15, 2006. The adoption of SAB 108 did not have an impact on the Company’s consolidated financial statements.</w:t>
      </w:r>
    </w:p>
    <w:p w:rsidR="00C25ECF" w:rsidRDefault="003A781F">
      <w:pPr>
        <w:pStyle w:val="NormalWeb"/>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C25ECF" w:rsidRDefault="003A781F">
      <w:pPr>
        <w:pStyle w:val="NormalWeb"/>
      </w:pPr>
      <w:r>
        <w:rPr>
          <w:sz w:val="20"/>
          <w:szCs w:val="20"/>
        </w:rPr>
        <w:t>RESULTS OF OPERATIONS FOR THE THREE MONTH PERIOD ENDING SEPTEMBER 30, 2011 COMPARED TO 2010</w:t>
      </w:r>
    </w:p>
    <w:p w:rsidR="00C25ECF" w:rsidRDefault="003A781F">
      <w:pPr>
        <w:pStyle w:val="NormalWeb"/>
      </w:pPr>
      <w:r>
        <w:rPr>
          <w:i/>
          <w:iCs/>
          <w:sz w:val="20"/>
          <w:szCs w:val="20"/>
        </w:rPr>
        <w:t>Revenues:</w:t>
      </w:r>
      <w:r>
        <w:rPr>
          <w:sz w:val="20"/>
          <w:szCs w:val="20"/>
        </w:rPr>
        <w:t xml:space="preserve"> Revenues from operations for the three month period ending September 30, 2011 and September 30, 2010 were $10,561 and $10,114 respectively . They were attributable to rental payments for the commercial real estate held by Anton Nielsen Vojens and the fluctuation was due to currency value changes.</w:t>
      </w:r>
    </w:p>
    <w:p w:rsidR="00C25ECF" w:rsidRDefault="003A781F">
      <w:pPr>
        <w:pStyle w:val="NormalWeb"/>
      </w:pPr>
      <w:r>
        <w:rPr>
          <w:i/>
          <w:iCs/>
          <w:sz w:val="20"/>
          <w:szCs w:val="20"/>
        </w:rPr>
        <w:t xml:space="preserve">Selling, general and administrative expenses: </w:t>
      </w:r>
      <w:r>
        <w:rPr>
          <w:sz w:val="20"/>
          <w:szCs w:val="20"/>
        </w:rPr>
        <w:t>SG&amp;A expenses for the three month period ending September 30, 2011 and September 30, 2010 were $4,899 and $1,940 respectively. The expenses are attributable to ANV's operations.</w:t>
      </w:r>
    </w:p>
    <w:p w:rsidR="00C25ECF" w:rsidRDefault="003A781F">
      <w:pPr>
        <w:pStyle w:val="NormalWeb"/>
      </w:pPr>
      <w:r>
        <w:rPr>
          <w:i/>
          <w:iCs/>
          <w:sz w:val="20"/>
          <w:szCs w:val="20"/>
        </w:rPr>
        <w:t xml:space="preserve">Interest expense: </w:t>
      </w:r>
      <w:r>
        <w:rPr>
          <w:sz w:val="20"/>
          <w:szCs w:val="20"/>
        </w:rPr>
        <w:t>Interest expense for the three month period ending September 30, 2011 and September 30, 2010 was $1,400 and $1,508 respectively. Interest expenses for 2011 are lower primarily due to the foreign currency adjustments of the US Dollar.</w:t>
      </w:r>
    </w:p>
    <w:p w:rsidR="00C25ECF" w:rsidRDefault="003A781F">
      <w:pPr>
        <w:pStyle w:val="NormalWeb"/>
      </w:pPr>
      <w:r>
        <w:rPr>
          <w:i/>
          <w:iCs/>
          <w:sz w:val="20"/>
          <w:szCs w:val="20"/>
        </w:rPr>
        <w:t>Other income (expense), net:</w:t>
      </w:r>
      <w:r>
        <w:rPr>
          <w:sz w:val="20"/>
          <w:szCs w:val="20"/>
        </w:rPr>
        <w:t xml:space="preserve"> Other income (expense) net for the three month period ending September 30, 2011 and September 30, 2010 was $36 and $9 respectively. Other income is completely associated with interest income.</w:t>
      </w:r>
    </w:p>
    <w:p w:rsidR="00C25ECF" w:rsidRDefault="003A781F">
      <w:pPr>
        <w:pStyle w:val="NormalWeb"/>
      </w:pPr>
      <w:r>
        <w:rPr>
          <w:i/>
          <w:iCs/>
          <w:sz w:val="20"/>
          <w:szCs w:val="20"/>
        </w:rPr>
        <w:t xml:space="preserve">Net income (loss) attributed to common stockholders: </w:t>
      </w:r>
      <w:r>
        <w:rPr>
          <w:sz w:val="20"/>
          <w:szCs w:val="20"/>
        </w:rPr>
        <w:t>Net loss and income for the three month period ending September 30, 2011 and September 30, 2010 attributed to common stockholders was $4,892 and $(1,582), or $0.000 per share respectively.</w:t>
      </w:r>
    </w:p>
    <w:p w:rsidR="00C25ECF" w:rsidRDefault="003A781F">
      <w:pPr>
        <w:pStyle w:val="NormalWeb"/>
      </w:pPr>
      <w:r>
        <w:rPr>
          <w:i/>
          <w:iCs/>
          <w:sz w:val="20"/>
          <w:szCs w:val="20"/>
        </w:rPr>
        <w:t xml:space="preserve">Liquidity and capital resources: </w:t>
      </w:r>
      <w:r>
        <w:rPr>
          <w:sz w:val="20"/>
          <w:szCs w:val="20"/>
        </w:rPr>
        <w:t>As of September 30, 2011 the Company had $32,983 in cash and cash equivalents and a working capital of $262,987 as compared to September 30, 2010 the Company had $16,839 in cash and cash equivalents and a working capital of $189,591. The change in cash is primarily due to the payments made on the debt of the acquisition of ANV and normal operations. The increase in the working capital is primarily related operations of ANV real estate.</w:t>
      </w:r>
    </w:p>
    <w:p w:rsidR="00C25ECF" w:rsidRDefault="003A781F">
      <w:pPr>
        <w:pStyle w:val="NormalWeb"/>
      </w:pPr>
      <w:r>
        <w:rPr>
          <w:sz w:val="20"/>
          <w:szCs w:val="20"/>
        </w:rPr>
        <w:t>Net cash provided (used) by operating activities for three month period ending September 30, 2011 was $8,573 compared to September 30, 2010 which was $(4,281) . The net cash used by operating activities was primarily due to the operations of ANV.</w:t>
      </w:r>
    </w:p>
    <w:p w:rsidR="00C25ECF" w:rsidRDefault="003A781F">
      <w:pPr>
        <w:pStyle w:val="NormalWeb"/>
      </w:pPr>
      <w:r>
        <w:rPr>
          <w:sz w:val="20"/>
          <w:szCs w:val="20"/>
        </w:rPr>
        <w:t>OFF BALANCE SHEET ARRANGEMENTS</w:t>
      </w:r>
    </w:p>
    <w:p w:rsidR="00C25ECF" w:rsidRDefault="003A781F">
      <w:pPr>
        <w:pStyle w:val="NormalWeb"/>
      </w:pPr>
      <w:r>
        <w:rPr>
          <w:sz w:val="20"/>
          <w:szCs w:val="20"/>
        </w:rPr>
        <w:t>We do not currently have any off balance sheet arrangements.</w:t>
      </w:r>
    </w:p>
    <w:p w:rsidR="00C25ECF" w:rsidRDefault="003A781F">
      <w:pPr>
        <w:pStyle w:val="NormalWeb"/>
      </w:pPr>
      <w:r>
        <w:rPr>
          <w:sz w:val="20"/>
          <w:szCs w:val="20"/>
        </w:rPr>
        <w:t>ACQUISITION EFFORTS:</w:t>
      </w:r>
    </w:p>
    <w:p w:rsidR="00C25ECF" w:rsidRDefault="003A781F">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C25ECF" w:rsidRDefault="003A781F">
      <w:pPr>
        <w:pStyle w:val="NormalWeb"/>
      </w:pPr>
      <w:r>
        <w:rPr>
          <w:sz w:val="20"/>
          <w:szCs w:val="20"/>
        </w:rPr>
        <w:t>HISTORICAL OPERATIONS:</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54" style="width:0;height:3pt" o:hralign="center" o:hrstd="t" o:hrnoshade="t" o:hr="t" fillcolor="black" stroked="f"/>
        </w:pict>
      </w:r>
    </w:p>
    <w:p w:rsidR="009417AA" w:rsidRDefault="003A781F">
      <w:pPr>
        <w:pStyle w:val="NormalWeb"/>
        <w:rPr>
          <w:sz w:val="20"/>
          <w:szCs w:val="20"/>
        </w:rPr>
      </w:pPr>
      <w:r>
        <w:rPr>
          <w:sz w:val="20"/>
          <w:szCs w:val="20"/>
        </w:rPr>
        <w:br/>
      </w:r>
    </w:p>
    <w:p w:rsidR="009417AA" w:rsidRDefault="009417AA">
      <w:pPr>
        <w:pStyle w:val="NormalWeb"/>
        <w:rPr>
          <w:sz w:val="20"/>
          <w:szCs w:val="20"/>
        </w:rPr>
      </w:pPr>
    </w:p>
    <w:p w:rsidR="009417AA" w:rsidRDefault="009417AA">
      <w:pPr>
        <w:pStyle w:val="NormalWeb"/>
        <w:rPr>
          <w:sz w:val="20"/>
          <w:szCs w:val="20"/>
        </w:rPr>
      </w:pPr>
    </w:p>
    <w:p w:rsidR="00C25ECF" w:rsidRDefault="003A781F">
      <w:pPr>
        <w:pStyle w:val="NormalWeb"/>
      </w:pPr>
      <w:r>
        <w:rPr>
          <w:sz w:val="20"/>
          <w:szCs w:val="20"/>
        </w:rPr>
        <w:t>On March 9, 1998, pursuant to an Agreement for Purchase and Sale of Specified Business Assets ("Purchase Agreement"), a Promissory Note ("Note"),and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C25ECF" w:rsidRDefault="003A781F">
      <w:pPr>
        <w:pStyle w:val="NormalWeb"/>
      </w:pPr>
      <w:r>
        <w:rPr>
          <w:sz w:val="20"/>
          <w:szCs w:val="20"/>
        </w:rPr>
        <w:t xml:space="preserve">Pursuant to an employment agreement dated March 09, 1998 between the Company and John Teuber ("Employment Agreement"), on September 04, 1998 the Company terminated John Teuber for cause without relinquishing any of its rights or remedies. </w:t>
      </w:r>
    </w:p>
    <w:p w:rsidR="00C25ECF" w:rsidRDefault="003A781F">
      <w:pPr>
        <w:pStyle w:val="NormalWeb"/>
      </w:pPr>
      <w:r>
        <w:rPr>
          <w:sz w:val="20"/>
          <w:szCs w:val="20"/>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C25ECF" w:rsidRDefault="003A781F">
      <w:pPr>
        <w:pStyle w:val="NormalWeb"/>
      </w:pPr>
      <w:r>
        <w:rPr>
          <w:sz w:val="20"/>
          <w:szCs w:val="20"/>
        </w:rPr>
        <w:t xml:space="preserve">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06,1998 in Santa Clarita for its CA location. Currently, this is the only California location of the Company. </w:t>
      </w:r>
    </w:p>
    <w:p w:rsidR="00C25ECF" w:rsidRDefault="003A781F">
      <w:pPr>
        <w:pStyle w:val="NormalWeb"/>
      </w:pPr>
      <w:r>
        <w:rPr>
          <w:sz w:val="20"/>
          <w:szCs w:val="20"/>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C25ECF" w:rsidRDefault="003A781F">
      <w:pPr>
        <w:pStyle w:val="NormalWeb"/>
      </w:pPr>
      <w:r>
        <w:rPr>
          <w:sz w:val="20"/>
          <w:szCs w:val="20"/>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C25ECF" w:rsidRDefault="003A781F">
      <w:pPr>
        <w:pStyle w:val="NormalWeb"/>
      </w:pPr>
      <w:r>
        <w:rPr>
          <w:sz w:val="20"/>
          <w:szCs w:val="20"/>
        </w:rPr>
        <w:t xml:space="preserve">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w:t>
      </w:r>
    </w:p>
    <w:p w:rsidR="00C25ECF" w:rsidRDefault="003A781F">
      <w:pPr>
        <w:pStyle w:val="NormalWeb"/>
      </w:pPr>
      <w:r>
        <w:rPr>
          <w:sz w:val="20"/>
          <w:szCs w:val="20"/>
        </w:rPr>
        <w:t>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C25ECF" w:rsidRDefault="003A781F">
      <w:pPr>
        <w:pStyle w:val="NormalWeb"/>
      </w:pPr>
      <w:r>
        <w:rPr>
          <w:sz w:val="20"/>
          <w:szCs w:val="20"/>
        </w:rPr>
        <w:t>On December 31, 2000, AOXY entered into an agreement with Eastern Star, ltd, and Baldwin Construction Co (the "Purchasers") whereby  the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Sejeroe for a conversion of her 1 Preferred Share number P 0002 issued April 16, 1998, and in accordance with the restrictions, terms and conditions, as evidenced on the reverse side of the share certificate, the Company issued 333,333 shares bearing a restrictive legend.</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55" style="width:0;height:3pt" o:hralign="center" o:hrstd="t" o:hrnoshade="t" o:hr="t" fillcolor="black" stroked="f"/>
        </w:pict>
      </w:r>
    </w:p>
    <w:p w:rsidR="00017801" w:rsidRDefault="00017801">
      <w:pPr>
        <w:pStyle w:val="NormalWeb"/>
        <w:rPr>
          <w:sz w:val="20"/>
          <w:szCs w:val="20"/>
        </w:rPr>
      </w:pPr>
    </w:p>
    <w:p w:rsidR="00017801" w:rsidRDefault="00017801">
      <w:pPr>
        <w:pStyle w:val="NormalWeb"/>
        <w:rPr>
          <w:sz w:val="20"/>
          <w:szCs w:val="20"/>
        </w:rPr>
      </w:pPr>
    </w:p>
    <w:p w:rsidR="00C25ECF" w:rsidRDefault="003A781F">
      <w:pPr>
        <w:pStyle w:val="NormalWeb"/>
      </w:pPr>
      <w:r>
        <w:rPr>
          <w:sz w:val="20"/>
          <w:szCs w:val="20"/>
        </w:rPr>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C25ECF" w:rsidRDefault="003A781F">
      <w:pPr>
        <w:pStyle w:val="NormalWeb"/>
      </w:pPr>
      <w:r>
        <w:rPr>
          <w:sz w:val="20"/>
          <w:szCs w:val="20"/>
        </w:rPr>
        <w:t>On February 14, 2002 the Company gave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C25ECF" w:rsidRDefault="003A781F">
      <w:pPr>
        <w:pStyle w:val="NormalWeb"/>
        <w:spacing w:after="240" w:afterAutospacing="0"/>
      </w:pPr>
      <w:r>
        <w:rPr>
          <w:sz w:val="20"/>
          <w:szCs w:val="20"/>
        </w:rPr>
        <w:t>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InfoUSA,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C25ECF" w:rsidRDefault="003A781F">
      <w:pPr>
        <w:pStyle w:val="NormalWeb"/>
      </w:pPr>
      <w:r>
        <w:rPr>
          <w:sz w:val="20"/>
          <w:szCs w:val="20"/>
        </w:rPr>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C25ECF" w:rsidRDefault="003A781F">
      <w:pPr>
        <w:pStyle w:val="NormalWeb"/>
      </w:pPr>
      <w:r>
        <w:rPr>
          <w:sz w:val="20"/>
          <w:szCs w:val="20"/>
        </w:rPr>
        <w:t>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Sondergaard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C25ECF" w:rsidRDefault="003A781F">
      <w:pPr>
        <w:pStyle w:val="NormalWeb"/>
        <w:spacing w:after="240" w:afterAutospacing="0"/>
      </w:pPr>
      <w:r>
        <w:rPr>
          <w:sz w:val="20"/>
          <w:szCs w:val="20"/>
        </w:rPr>
        <w:t>Pursuant to a stock acquisition agreement, on February 3, 2006 Advanced Oxygen Technologies, Inc. ("AOXY") purchased 100.00% of the stock of Anton Nielsen Vojens ApS ("ANV"), a Danish company from Borkwood Development Ltd. (a previous shareholder of AOXY) for Six Hundred and Fifty Thousand US Dollars. ANV owns commercial real estate and produces rental income.</w:t>
      </w:r>
    </w:p>
    <w:p w:rsidR="00C25ECF" w:rsidRDefault="003A781F">
      <w:pPr>
        <w:pStyle w:val="NormalWeb"/>
      </w:pPr>
      <w:r>
        <w:rPr>
          <w:sz w:val="20"/>
          <w:szCs w:val="20"/>
        </w:rPr>
        <w:t>On August 1, 2006, the Company was notified by Bernstien &amp; Pinchuk LLP that they had resigned as the Company's independent auditors. On September 12, 2006 the Company engaged Horwath Revisorenrne, AS Strandvejen 58, Hellerup, Denmark as its certified independent accounting firm/outside auditor.</w:t>
      </w:r>
    </w:p>
    <w:p w:rsidR="00C25ECF" w:rsidRDefault="003A781F">
      <w:pPr>
        <w:pStyle w:val="NormalWeb"/>
      </w:pPr>
      <w:r>
        <w:rPr>
          <w:sz w:val="20"/>
          <w:szCs w:val="20"/>
        </w:rPr>
        <w:t>On September 1, 2006 the Company sold its minority position of 20% of Mobile Group Inc. to KBA Holding ApS for one dollar.</w:t>
      </w:r>
    </w:p>
    <w:p w:rsidR="00C25ECF" w:rsidRDefault="003A781F">
      <w:pPr>
        <w:pStyle w:val="NormalWeb"/>
      </w:pPr>
      <w:r>
        <w:rPr>
          <w:sz w:val="20"/>
          <w:szCs w:val="20"/>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56" style="width:0;height:3pt" o:hralign="center" o:hrstd="t" o:hrnoshade="t" o:hr="t" fillcolor="black" stroked="f"/>
        </w:pict>
      </w:r>
    </w:p>
    <w:p w:rsidR="001F4F0B" w:rsidRDefault="001F4F0B">
      <w:pPr>
        <w:pStyle w:val="NormalWeb"/>
        <w:rPr>
          <w:sz w:val="20"/>
          <w:szCs w:val="20"/>
        </w:rPr>
      </w:pPr>
    </w:p>
    <w:p w:rsidR="001F4F0B" w:rsidRDefault="001F4F0B">
      <w:pPr>
        <w:pStyle w:val="NormalWeb"/>
        <w:rPr>
          <w:sz w:val="20"/>
          <w:szCs w:val="20"/>
        </w:rPr>
      </w:pPr>
    </w:p>
    <w:p w:rsidR="001F4F0B" w:rsidRDefault="001F4F0B">
      <w:pPr>
        <w:pStyle w:val="NormalWeb"/>
        <w:rPr>
          <w:sz w:val="20"/>
          <w:szCs w:val="20"/>
        </w:rPr>
      </w:pPr>
    </w:p>
    <w:p w:rsidR="00C25ECF" w:rsidRDefault="003A781F">
      <w:pPr>
        <w:pStyle w:val="NormalWeb"/>
      </w:pPr>
      <w:r>
        <w:rPr>
          <w:sz w:val="20"/>
          <w:szCs w:val="20"/>
        </w:rPr>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C25ECF" w:rsidRDefault="003A781F">
      <w:pPr>
        <w:pStyle w:val="NormalWeb"/>
      </w:pPr>
      <w:r>
        <w:rPr>
          <w:b/>
          <w:bCs/>
          <w:sz w:val="20"/>
          <w:szCs w:val="20"/>
        </w:rPr>
        <w:t>ITEM 3. Quantitative and Qualitative Disclosures About Market Risk:</w:t>
      </w:r>
    </w:p>
    <w:p w:rsidR="00C25ECF" w:rsidRDefault="003A781F">
      <w:pPr>
        <w:pStyle w:val="NormalWeb"/>
      </w:pPr>
      <w:r>
        <w:rPr>
          <w:sz w:val="20"/>
          <w:szCs w:val="20"/>
        </w:rPr>
        <w:t>Smaller reporting companies are not required to provide the information required by this Item.</w:t>
      </w:r>
    </w:p>
    <w:p w:rsidR="00C25ECF" w:rsidRDefault="003A781F">
      <w:pPr>
        <w:pStyle w:val="NormalWeb"/>
        <w:spacing w:after="240" w:afterAutospacing="0"/>
      </w:pPr>
      <w:r>
        <w:rPr>
          <w:b/>
          <w:bCs/>
          <w:sz w:val="20"/>
          <w:szCs w:val="20"/>
        </w:rPr>
        <w:t>ITEM 4. CONTROLS AND PROCEDURES</w:t>
      </w:r>
    </w:p>
    <w:p w:rsidR="00C25ECF" w:rsidRDefault="003A781F">
      <w:pPr>
        <w:pStyle w:val="NormalWeb"/>
      </w:pPr>
      <w:r>
        <w:rPr>
          <w:sz w:val="20"/>
          <w:szCs w:val="20"/>
        </w:rPr>
        <w:t>EVALUATION OF DISCLOSURE CONTROLS AND PROCEDURES</w:t>
      </w:r>
    </w:p>
    <w:p w:rsidR="00C25ECF" w:rsidRDefault="003A781F">
      <w:pPr>
        <w:pStyle w:val="NormalWeb"/>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2011 that our disclosure controls and procedures were effective at ensuring that the material information required to be disclosed in the Exchange Act reports is recorded, processed, summarized and reported as required in applicable SEC rules and forms.</w:t>
      </w:r>
    </w:p>
    <w:p w:rsidR="00C25ECF" w:rsidRDefault="003A781F">
      <w:pPr>
        <w:pStyle w:val="NormalWeb"/>
      </w:pPr>
      <w:r>
        <w:rPr>
          <w:sz w:val="20"/>
          <w:szCs w:val="20"/>
        </w:rPr>
        <w:t>During the quarter ended September 30, 2011,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C25ECF" w:rsidRDefault="003A781F">
      <w:pPr>
        <w:rPr>
          <w:rFonts w:eastAsia="Times New Roman"/>
        </w:rPr>
      </w:pPr>
      <w:r>
        <w:rPr>
          <w:rFonts w:eastAsia="Times New Roman"/>
          <w:b/>
          <w:bCs/>
          <w:sz w:val="20"/>
          <w:szCs w:val="20"/>
        </w:rPr>
        <w:t xml:space="preserve">PART II </w:t>
      </w:r>
    </w:p>
    <w:p w:rsidR="00C25ECF" w:rsidRDefault="003A781F">
      <w:pPr>
        <w:pStyle w:val="NormalWeb"/>
      </w:pPr>
      <w:r>
        <w:rPr>
          <w:b/>
          <w:bCs/>
          <w:sz w:val="20"/>
          <w:szCs w:val="20"/>
        </w:rPr>
        <w:t>ITEM 1: LEGAL PROCEEDINGS</w:t>
      </w:r>
    </w:p>
    <w:p w:rsidR="00C25ECF" w:rsidRDefault="003A781F">
      <w:pPr>
        <w:pStyle w:val="NormalWeb"/>
      </w:pPr>
      <w:r>
        <w:rPr>
          <w:sz w:val="20"/>
          <w:szCs w:val="20"/>
        </w:rPr>
        <w:t xml:space="preserve">On July, 8, 2011 the Company's wholly owned subsidiary, Anton Nielsen Vojens AS filed a </w:t>
      </w:r>
      <w:r w:rsidR="00FE5DE7">
        <w:rPr>
          <w:sz w:val="20"/>
          <w:szCs w:val="20"/>
        </w:rPr>
        <w:t>suit</w:t>
      </w:r>
      <w:r>
        <w:rPr>
          <w:sz w:val="20"/>
          <w:szCs w:val="20"/>
        </w:rPr>
        <w:t xml:space="preserve"> against Evergreen World ApS, Jomfrumarken 3, 5580 Nørre Aaby, Denmark in the ordinary course of business.</w:t>
      </w:r>
    </w:p>
    <w:p w:rsidR="00C25ECF" w:rsidRDefault="003A781F">
      <w:pPr>
        <w:pStyle w:val="NormalWeb"/>
      </w:pPr>
      <w:r>
        <w:rPr>
          <w:b/>
          <w:bCs/>
          <w:sz w:val="20"/>
          <w:szCs w:val="20"/>
        </w:rPr>
        <w:t>ITEM 2. UNREGISTERED SALES OF EQUITY SECURITIES AND USE OF PROCEEDS</w:t>
      </w:r>
    </w:p>
    <w:p w:rsidR="00C25ECF" w:rsidRDefault="003A781F">
      <w:pPr>
        <w:pStyle w:val="NormalWeb"/>
      </w:pPr>
      <w:r>
        <w:rPr>
          <w:sz w:val="20"/>
          <w:szCs w:val="20"/>
        </w:rPr>
        <w:t>None</w:t>
      </w:r>
      <w:r>
        <w:rPr>
          <w:sz w:val="20"/>
          <w:szCs w:val="20"/>
        </w:rPr>
        <w:br/>
      </w:r>
      <w:r>
        <w:rPr>
          <w:sz w:val="20"/>
          <w:szCs w:val="20"/>
        </w:rPr>
        <w:br/>
      </w:r>
      <w:r>
        <w:rPr>
          <w:b/>
          <w:bCs/>
          <w:sz w:val="20"/>
          <w:szCs w:val="20"/>
        </w:rPr>
        <w:t>ITEM 3. DEFAULTS UPON SENIOR SECURITIES</w:t>
      </w:r>
    </w:p>
    <w:p w:rsidR="00C25ECF" w:rsidRDefault="003A781F">
      <w:pPr>
        <w:pStyle w:val="NormalWeb"/>
      </w:pPr>
      <w:r>
        <w:rPr>
          <w:sz w:val="20"/>
          <w:szCs w:val="20"/>
        </w:rPr>
        <w:t>None</w:t>
      </w:r>
    </w:p>
    <w:p w:rsidR="00C25ECF" w:rsidRDefault="003A781F">
      <w:pPr>
        <w:pStyle w:val="NormalWeb"/>
      </w:pPr>
      <w:r>
        <w:rPr>
          <w:b/>
          <w:bCs/>
          <w:sz w:val="20"/>
          <w:szCs w:val="20"/>
        </w:rPr>
        <w:t>ITEM 4. SUBMISSION OF MATTERS TO A VOTE OF SECURITY HOLDERS</w:t>
      </w:r>
    </w:p>
    <w:p w:rsidR="00C25ECF" w:rsidRDefault="003A781F">
      <w:pPr>
        <w:pStyle w:val="NormalWeb"/>
      </w:pPr>
      <w:r>
        <w:rPr>
          <w:sz w:val="20"/>
          <w:szCs w:val="20"/>
        </w:rPr>
        <w:t>None</w:t>
      </w:r>
    </w:p>
    <w:p w:rsidR="00C25ECF" w:rsidRDefault="003A781F">
      <w:pPr>
        <w:pStyle w:val="NormalWeb"/>
      </w:pPr>
      <w:r>
        <w:rPr>
          <w:b/>
          <w:bCs/>
          <w:sz w:val="20"/>
          <w:szCs w:val="20"/>
        </w:rPr>
        <w:t>ITEM 5. OTHER INFORMATION</w:t>
      </w:r>
    </w:p>
    <w:p w:rsidR="00C25ECF" w:rsidRDefault="003A781F">
      <w:pPr>
        <w:pStyle w:val="NormalWeb"/>
      </w:pPr>
      <w:r>
        <w:rPr>
          <w:sz w:val="20"/>
          <w:szCs w:val="20"/>
        </w:rPr>
        <w:t>None</w:t>
      </w:r>
    </w:p>
    <w:p w:rsidR="00C25ECF" w:rsidRDefault="00620510">
      <w:pPr>
        <w:pStyle w:val="NormalWeb"/>
      </w:pPr>
      <w:hyperlink w:anchor="toc" w:history="1">
        <w:r w:rsidR="003A781F">
          <w:rPr>
            <w:rStyle w:val="Hyperlink"/>
            <w:b/>
            <w:bCs/>
            <w:sz w:val="20"/>
            <w:szCs w:val="20"/>
          </w:rPr>
          <w:t>Return to Table of Contents</w:t>
        </w:r>
      </w:hyperlink>
    </w:p>
    <w:p w:rsidR="00C25ECF" w:rsidRDefault="00620510">
      <w:pPr>
        <w:rPr>
          <w:rFonts w:eastAsia="Times New Roman"/>
        </w:rPr>
      </w:pPr>
      <w:r w:rsidRPr="00620510">
        <w:rPr>
          <w:rFonts w:eastAsia="Times New Roman"/>
        </w:rPr>
        <w:pict>
          <v:rect id="_x0000_i1057" style="width:0;height:3pt" o:hralign="center" o:hrstd="t" o:hrnoshade="t" o:hr="t" fillcolor="black" stroked="f"/>
        </w:pict>
      </w:r>
    </w:p>
    <w:p w:rsidR="003A781F" w:rsidRDefault="003A781F">
      <w:pPr>
        <w:pStyle w:val="NormalWeb"/>
        <w:rPr>
          <w:b/>
          <w:bCs/>
          <w:sz w:val="20"/>
          <w:szCs w:val="20"/>
        </w:rPr>
      </w:pPr>
    </w:p>
    <w:p w:rsidR="003A781F" w:rsidRDefault="003A781F">
      <w:pPr>
        <w:pStyle w:val="NormalWeb"/>
        <w:rPr>
          <w:b/>
          <w:bCs/>
          <w:sz w:val="20"/>
          <w:szCs w:val="20"/>
        </w:rPr>
      </w:pPr>
    </w:p>
    <w:p w:rsidR="00C25ECF" w:rsidRDefault="003A781F">
      <w:pPr>
        <w:pStyle w:val="NormalWeb"/>
      </w:pPr>
      <w:r>
        <w:rPr>
          <w:b/>
          <w:bCs/>
          <w:sz w:val="20"/>
          <w:szCs w:val="20"/>
        </w:rPr>
        <w:t>ITEM 6: EXHIBITS AND REPORTS ON FORM 8-K</w:t>
      </w:r>
    </w:p>
    <w:p w:rsidR="00C25ECF" w:rsidRDefault="003A781F">
      <w:pPr>
        <w:pStyle w:val="NormalWeb"/>
      </w:pPr>
      <w:r>
        <w:rPr>
          <w:sz w:val="20"/>
          <w:szCs w:val="20"/>
        </w:rPr>
        <w:t>During the 3 month period ending September 30, 2011, the Company filed no reports on Form 8-K.</w:t>
      </w:r>
    </w:p>
    <w:p w:rsidR="00C25ECF" w:rsidRDefault="003A781F">
      <w:pPr>
        <w:pStyle w:val="NormalWeb"/>
      </w:pPr>
      <w:r>
        <w:rPr>
          <w:b/>
          <w:bCs/>
          <w:sz w:val="20"/>
          <w:szCs w:val="20"/>
        </w:rPr>
        <w:t>EXHIBIT 99.906CERT (A)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C25ECF" w:rsidRDefault="003A781F">
      <w:pPr>
        <w:pStyle w:val="NormalWeb"/>
      </w:pPr>
      <w:r>
        <w:rPr>
          <w:b/>
          <w:bCs/>
          <w:sz w:val="20"/>
          <w:szCs w:val="20"/>
        </w:rPr>
        <w:t>EXHIBIT 99.906CERT (B)</w:t>
      </w:r>
      <w:r>
        <w:rPr>
          <w:b/>
          <w:bCs/>
          <w:sz w:val="20"/>
          <w:szCs w:val="20"/>
        </w:rPr>
        <w:br/>
        <w:t>CERTIFICATION OF TREASURER</w:t>
      </w:r>
      <w:r>
        <w:rPr>
          <w:b/>
          <w:bCs/>
          <w:sz w:val="20"/>
          <w:szCs w:val="20"/>
        </w:rPr>
        <w:br/>
        <w:t>PURSUANT TO18 U.S.C. SECTION 1350, AS ADOPTED PURSUANT TO</w:t>
      </w:r>
      <w:r>
        <w:rPr>
          <w:b/>
          <w:bCs/>
          <w:sz w:val="20"/>
          <w:szCs w:val="20"/>
        </w:rPr>
        <w:br/>
        <w:t>SECTION 906 OF THE SARBANES-OXLEY ACT OF 2002</w:t>
      </w:r>
    </w:p>
    <w:p w:rsidR="00C25ECF" w:rsidRDefault="003A781F">
      <w:pPr>
        <w:pStyle w:val="NormalWeb"/>
      </w:pPr>
      <w:r>
        <w:rPr>
          <w:b/>
          <w:bCs/>
          <w:sz w:val="20"/>
          <w:szCs w:val="20"/>
        </w:rPr>
        <w:t>EXHIBIT 99.CERT (C)</w:t>
      </w:r>
      <w:r>
        <w:rPr>
          <w:b/>
          <w:bCs/>
          <w:sz w:val="20"/>
          <w:szCs w:val="20"/>
        </w:rPr>
        <w:br/>
        <w:t>CERTIFICATION PURSUANT TO</w:t>
      </w:r>
      <w:r>
        <w:rPr>
          <w:b/>
          <w:bCs/>
          <w:sz w:val="20"/>
          <w:szCs w:val="20"/>
        </w:rPr>
        <w:br/>
        <w:t>SECTION 302 OF THE SARBANES-OXLEY ACT OF 2002</w:t>
      </w:r>
    </w:p>
    <w:p w:rsidR="00C25ECF" w:rsidRDefault="003A781F">
      <w:pPr>
        <w:pStyle w:val="NormalWeb"/>
      </w:pPr>
      <w:r>
        <w:rPr>
          <w:b/>
          <w:bCs/>
          <w:sz w:val="20"/>
          <w:szCs w:val="20"/>
        </w:rPr>
        <w:t>EXHIBIT 99.CERT (D)</w:t>
      </w:r>
      <w:r>
        <w:rPr>
          <w:b/>
          <w:bCs/>
          <w:sz w:val="20"/>
          <w:szCs w:val="20"/>
        </w:rPr>
        <w:br/>
        <w:t>CERTIFICATION PURSUANT TO</w:t>
      </w:r>
      <w:r>
        <w:rPr>
          <w:b/>
          <w:bCs/>
          <w:sz w:val="20"/>
          <w:szCs w:val="20"/>
        </w:rPr>
        <w:br/>
        <w:t>SECTION 302 OF THE SARBANES-OXLEY ACT OF 2002</w:t>
      </w:r>
    </w:p>
    <w:p w:rsidR="00C25ECF" w:rsidRDefault="00C25ECF">
      <w:pPr>
        <w:pStyle w:val="NormalWeb"/>
      </w:pPr>
    </w:p>
    <w:p w:rsidR="00C25ECF" w:rsidRDefault="003A781F">
      <w:pPr>
        <w:pStyle w:val="NormalWeb"/>
      </w:pPr>
      <w:r>
        <w:rPr>
          <w:sz w:val="20"/>
          <w:szCs w:val="20"/>
        </w:rPr>
        <w:t xml:space="preserve">SIGNATURE </w:t>
      </w:r>
    </w:p>
    <w:p w:rsidR="00C25ECF" w:rsidRDefault="003A781F">
      <w:pPr>
        <w:pStyle w:val="NormalWeb"/>
      </w:pPr>
      <w:r>
        <w:rPr>
          <w:sz w:val="20"/>
          <w:szCs w:val="20"/>
        </w:rPr>
        <w:t xml:space="preserve">In accordance with the requirements of the Exchange Act, the Registrant has caused this report to be signed on its behalf by the undersigned, thereunto duly authorized. </w:t>
      </w:r>
    </w:p>
    <w:p w:rsidR="00C25ECF" w:rsidRDefault="003A781F">
      <w:pPr>
        <w:pStyle w:val="NormalWeb"/>
      </w:pPr>
      <w:r>
        <w:rPr>
          <w:sz w:val="20"/>
          <w:szCs w:val="20"/>
        </w:rPr>
        <w:t>Date: October 26, 2011</w:t>
      </w:r>
    </w:p>
    <w:p w:rsidR="00C25ECF" w:rsidRDefault="003A781F">
      <w:pPr>
        <w:pStyle w:val="NormalWeb"/>
      </w:pPr>
      <w:r>
        <w:rPr>
          <w:sz w:val="20"/>
          <w:szCs w:val="20"/>
        </w:rPr>
        <w:t> </w:t>
      </w:r>
    </w:p>
    <w:p w:rsidR="00C25ECF" w:rsidRDefault="003A781F">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C25ECF" w:rsidRDefault="003A781F">
      <w:pPr>
        <w:pStyle w:val="NormalWeb"/>
      </w:pPr>
      <w:r>
        <w:rPr>
          <w:sz w:val="20"/>
          <w:szCs w:val="20"/>
        </w:rPr>
        <w:t> </w:t>
      </w:r>
    </w:p>
    <w:sectPr w:rsidR="00C25ECF" w:rsidSect="001D5D0B">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20"/>
  <w:drawingGridHorizontalSpacing w:val="120"/>
  <w:displayHorizontalDrawingGridEvery w:val="2"/>
  <w:noPunctuationKerning/>
  <w:characterSpacingControl w:val="doNotCompress"/>
  <w:compat/>
  <w:rsids>
    <w:rsidRoot w:val="00983ED1"/>
    <w:rsid w:val="00017801"/>
    <w:rsid w:val="001D5D0B"/>
    <w:rsid w:val="001F4F0B"/>
    <w:rsid w:val="002959FB"/>
    <w:rsid w:val="00323F0C"/>
    <w:rsid w:val="003A781F"/>
    <w:rsid w:val="00620510"/>
    <w:rsid w:val="006F3022"/>
    <w:rsid w:val="00794B09"/>
    <w:rsid w:val="009417AA"/>
    <w:rsid w:val="00983ED1"/>
    <w:rsid w:val="00A356D0"/>
    <w:rsid w:val="00AD08E6"/>
    <w:rsid w:val="00C25ECF"/>
    <w:rsid w:val="00CC5E03"/>
    <w:rsid w:val="00FE5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C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ECF"/>
    <w:rPr>
      <w:color w:val="0000FF"/>
      <w:u w:val="single"/>
    </w:rPr>
  </w:style>
  <w:style w:type="character" w:styleId="FollowedHyperlink">
    <w:name w:val="FollowedHyperlink"/>
    <w:basedOn w:val="DefaultParagraphFont"/>
    <w:uiPriority w:val="99"/>
    <w:semiHidden/>
    <w:unhideWhenUsed/>
    <w:rsid w:val="00C25ECF"/>
    <w:rPr>
      <w:color w:val="800080"/>
      <w:u w:val="single"/>
    </w:rPr>
  </w:style>
  <w:style w:type="paragraph" w:styleId="NormalWeb">
    <w:name w:val="Normal (Web)"/>
    <w:basedOn w:val="Normal"/>
    <w:uiPriority w:val="99"/>
    <w:unhideWhenUsed/>
    <w:rsid w:val="00C25ECF"/>
    <w:pPr>
      <w:spacing w:before="100" w:beforeAutospacing="1" w:after="100" w:afterAutospacing="1"/>
    </w:pPr>
  </w:style>
  <w:style w:type="character" w:styleId="Strong">
    <w:name w:val="Strong"/>
    <w:basedOn w:val="DefaultParagraphFont"/>
    <w:uiPriority w:val="22"/>
    <w:qFormat/>
    <w:rsid w:val="00C25ECF"/>
    <w:rPr>
      <w:b/>
      <w:bCs/>
    </w:rPr>
  </w:style>
</w:styles>
</file>

<file path=word/webSettings.xml><?xml version="1.0" encoding="utf-8"?>
<w:webSettings xmlns:r="http://schemas.openxmlformats.org/officeDocument/2006/relationships" xmlns:w="http://schemas.openxmlformats.org/wordprocessingml/2006/main">
  <w:divs>
    <w:div w:id="583611988">
      <w:marLeft w:val="0"/>
      <w:marRight w:val="0"/>
      <w:marTop w:val="0"/>
      <w:marBottom w:val="0"/>
      <w:divBdr>
        <w:top w:val="none" w:sz="0" w:space="0" w:color="auto"/>
        <w:left w:val="none" w:sz="0" w:space="0" w:color="auto"/>
        <w:bottom w:val="none" w:sz="0" w:space="0" w:color="auto"/>
        <w:right w:val="none" w:sz="0" w:space="0" w:color="auto"/>
      </w:divBdr>
    </w:div>
    <w:div w:id="997346738">
      <w:marLeft w:val="0"/>
      <w:marRight w:val="0"/>
      <w:marTop w:val="0"/>
      <w:marBottom w:val="0"/>
      <w:divBdr>
        <w:top w:val="none" w:sz="0" w:space="0" w:color="auto"/>
        <w:left w:val="none" w:sz="0" w:space="0" w:color="auto"/>
        <w:bottom w:val="none" w:sz="0" w:space="0" w:color="auto"/>
        <w:right w:val="none" w:sz="0" w:space="0" w:color="auto"/>
      </w:divBdr>
    </w:div>
    <w:div w:id="140877210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8871</Words>
  <Characters>50566</Characters>
  <Application>Microsoft Office Word</Application>
  <DocSecurity>0</DocSecurity>
  <Lines>421</Lines>
  <Paragraphs>118</Paragraphs>
  <ScaleCrop>false</ScaleCrop>
  <Company>Crossfield, Inc.</Company>
  <LinksUpToDate>false</LinksUpToDate>
  <CharactersWithSpaces>59319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2011 10Q</dc:title>
  <dc:subject/>
  <dc:creator>Robert Wolfe</dc:creator>
  <cp:keywords/>
  <dc:description/>
  <cp:lastModifiedBy>Robert Wolfe</cp:lastModifiedBy>
  <cp:revision>2</cp:revision>
  <cp:lastPrinted>2011-10-31T14:23:00Z</cp:lastPrinted>
  <dcterms:created xsi:type="dcterms:W3CDTF">2011-11-04T13:29:00Z</dcterms:created>
  <dcterms:modified xsi:type="dcterms:W3CDTF">2011-11-04T13:29:00Z</dcterms:modified>
</cp:coreProperties>
</file>