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346E8" w14:textId="77777777" w:rsidR="002B5D06" w:rsidRDefault="000B69DD">
      <w:pPr>
        <w:pStyle w:val="NormalWeb"/>
        <w:spacing w:before="0" w:beforeAutospacing="0" w:after="0" w:afterAutospacing="0"/>
        <w:divId w:val="1684360448"/>
        <w:rPr>
          <w:sz w:val="20"/>
          <w:szCs w:val="20"/>
        </w:rPr>
      </w:pPr>
      <w:r>
        <w:rPr>
          <w:sz w:val="20"/>
          <w:szCs w:val="20"/>
        </w:rPr>
        <w:t xml:space="preserve"> </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2B5D06" w14:paraId="62C994BE" w14:textId="77777777">
        <w:trPr>
          <w:divId w:val="1684360448"/>
          <w:tblCellSpacing w:w="15" w:type="dxa"/>
          <w:jc w:val="center"/>
        </w:trPr>
        <w:tc>
          <w:tcPr>
            <w:tcW w:w="0" w:type="auto"/>
            <w:tcBorders>
              <w:bottom w:val="single" w:sz="36" w:space="0" w:color="auto"/>
            </w:tcBorders>
            <w:vAlign w:val="center"/>
            <w:hideMark/>
          </w:tcPr>
          <w:p w14:paraId="55240B12" w14:textId="77777777" w:rsidR="002B5D06" w:rsidRDefault="002B5D06">
            <w:pPr>
              <w:rPr>
                <w:rFonts w:eastAsia="Times New Roman"/>
                <w:sz w:val="2"/>
                <w:szCs w:val="2"/>
              </w:rPr>
            </w:pPr>
          </w:p>
        </w:tc>
      </w:tr>
      <w:tr w:rsidR="002B5D06" w14:paraId="6CBA4D5D" w14:textId="77777777">
        <w:trPr>
          <w:divId w:val="1684360448"/>
          <w:tblCellSpacing w:w="15" w:type="dxa"/>
          <w:jc w:val="center"/>
        </w:trPr>
        <w:tc>
          <w:tcPr>
            <w:tcW w:w="0" w:type="auto"/>
            <w:tcBorders>
              <w:bottom w:val="single" w:sz="12" w:space="0" w:color="auto"/>
            </w:tcBorders>
            <w:vAlign w:val="center"/>
            <w:hideMark/>
          </w:tcPr>
          <w:p w14:paraId="6A5C29BE" w14:textId="77777777" w:rsidR="002B5D06" w:rsidRDefault="002B5D06">
            <w:pPr>
              <w:rPr>
                <w:rFonts w:eastAsia="Times New Roman"/>
                <w:sz w:val="2"/>
                <w:szCs w:val="2"/>
              </w:rPr>
            </w:pPr>
          </w:p>
        </w:tc>
      </w:tr>
    </w:tbl>
    <w:p w14:paraId="4236E5D7" w14:textId="77777777" w:rsidR="002B5D06" w:rsidRDefault="000B69DD">
      <w:pPr>
        <w:pStyle w:val="NormalWeb"/>
        <w:spacing w:before="0" w:beforeAutospacing="0" w:after="0" w:afterAutospacing="0"/>
        <w:divId w:val="1684360448"/>
        <w:rPr>
          <w:sz w:val="20"/>
          <w:szCs w:val="20"/>
        </w:rPr>
      </w:pPr>
      <w:r>
        <w:rPr>
          <w:sz w:val="20"/>
          <w:szCs w:val="20"/>
        </w:rPr>
        <w:t> </w:t>
      </w:r>
    </w:p>
    <w:p w14:paraId="4F1C4917" w14:textId="77777777" w:rsidR="002B5D06" w:rsidRDefault="000B69DD">
      <w:pPr>
        <w:pStyle w:val="NormalWeb"/>
        <w:spacing w:before="0" w:beforeAutospacing="0" w:after="0" w:afterAutospacing="0"/>
        <w:jc w:val="center"/>
        <w:divId w:val="1684360448"/>
        <w:rPr>
          <w:sz w:val="20"/>
          <w:szCs w:val="20"/>
        </w:rPr>
      </w:pPr>
      <w:r>
        <w:rPr>
          <w:rStyle w:val="Strong"/>
          <w:sz w:val="20"/>
          <w:szCs w:val="20"/>
        </w:rPr>
        <w:t>U. S. SECURITIES AND EXCHANGE COMMISSION</w:t>
      </w:r>
    </w:p>
    <w:p w14:paraId="0B2CC4FC" w14:textId="77777777" w:rsidR="002B5D06" w:rsidRDefault="000B69DD">
      <w:pPr>
        <w:pStyle w:val="NormalWeb"/>
        <w:spacing w:before="0" w:beforeAutospacing="0" w:after="0" w:afterAutospacing="0"/>
        <w:jc w:val="center"/>
        <w:divId w:val="1684360448"/>
        <w:rPr>
          <w:sz w:val="20"/>
          <w:szCs w:val="20"/>
        </w:rPr>
      </w:pPr>
      <w:r>
        <w:rPr>
          <w:rStyle w:val="Strong"/>
          <w:sz w:val="20"/>
          <w:szCs w:val="20"/>
        </w:rPr>
        <w:t>WASHINGTON, D.C. 20549</w:t>
      </w:r>
    </w:p>
    <w:p w14:paraId="4F8DB1EA" w14:textId="77777777" w:rsidR="002B5D06" w:rsidRDefault="000B69DD">
      <w:pPr>
        <w:pStyle w:val="NormalWeb"/>
        <w:spacing w:before="0" w:beforeAutospacing="0" w:after="0" w:afterAutospacing="0"/>
        <w:jc w:val="center"/>
        <w:divId w:val="1684360448"/>
        <w:rPr>
          <w:sz w:val="20"/>
          <w:szCs w:val="20"/>
        </w:rPr>
      </w:pPr>
      <w:r>
        <w:rPr>
          <w:sz w:val="20"/>
          <w:szCs w:val="20"/>
        </w:rPr>
        <w:t> </w:t>
      </w:r>
    </w:p>
    <w:p w14:paraId="09EF4AF5" w14:textId="77777777" w:rsidR="002B5D06" w:rsidRDefault="000B69DD">
      <w:pPr>
        <w:pStyle w:val="NormalWeb"/>
        <w:spacing w:before="0" w:beforeAutospacing="0" w:after="0" w:afterAutospacing="0"/>
        <w:jc w:val="center"/>
        <w:divId w:val="1684360448"/>
        <w:rPr>
          <w:sz w:val="20"/>
          <w:szCs w:val="20"/>
        </w:rPr>
      </w:pPr>
      <w:r>
        <w:rPr>
          <w:rStyle w:val="Strong"/>
          <w:sz w:val="36"/>
          <w:szCs w:val="36"/>
        </w:rPr>
        <w:t>FORM 10-K</w:t>
      </w:r>
    </w:p>
    <w:p w14:paraId="3C1B5087" w14:textId="77777777" w:rsidR="002B5D06" w:rsidRDefault="000B69DD">
      <w:pPr>
        <w:pStyle w:val="NormalWeb"/>
        <w:spacing w:before="0" w:beforeAutospacing="0" w:after="0" w:afterAutospacing="0"/>
        <w:jc w:val="center"/>
        <w:divId w:val="1684360448"/>
        <w:rPr>
          <w:sz w:val="20"/>
          <w:szCs w:val="20"/>
        </w:rPr>
      </w:pPr>
      <w:r>
        <w:rPr>
          <w:sz w:val="20"/>
          <w:szCs w:val="20"/>
        </w:rPr>
        <w:t> </w:t>
      </w:r>
    </w:p>
    <w:p w14:paraId="7EED155E" w14:textId="77777777" w:rsidR="002B5D06" w:rsidRDefault="000B69DD">
      <w:pPr>
        <w:pStyle w:val="NormalWeb"/>
        <w:spacing w:before="0" w:beforeAutospacing="0" w:after="0" w:afterAutospacing="0"/>
        <w:jc w:val="center"/>
        <w:divId w:val="1684360448"/>
        <w:rPr>
          <w:sz w:val="20"/>
          <w:szCs w:val="20"/>
        </w:rPr>
      </w:pPr>
      <w:r>
        <w:rPr>
          <w:sz w:val="20"/>
          <w:szCs w:val="20"/>
        </w:rPr>
        <w:t>(Mark One)</w:t>
      </w:r>
    </w:p>
    <w:p w14:paraId="6859BE8B" w14:textId="77777777" w:rsidR="002B5D06" w:rsidRDefault="000B69DD">
      <w:pPr>
        <w:pStyle w:val="NormalWeb"/>
        <w:spacing w:before="0" w:beforeAutospacing="0" w:after="0" w:afterAutospacing="0"/>
        <w:jc w:val="center"/>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6"/>
        <w:gridCol w:w="8944"/>
      </w:tblGrid>
      <w:tr w:rsidR="002B5D06" w14:paraId="793E9DB6" w14:textId="77777777">
        <w:trPr>
          <w:divId w:val="1684360448"/>
          <w:trHeight w:val="225"/>
          <w:tblCellSpacing w:w="15" w:type="dxa"/>
          <w:jc w:val="center"/>
        </w:trPr>
        <w:tc>
          <w:tcPr>
            <w:tcW w:w="200" w:type="pct"/>
            <w:hideMark/>
          </w:tcPr>
          <w:p w14:paraId="55EFBD07" w14:textId="77777777" w:rsidR="002B5D06" w:rsidRDefault="000B69DD">
            <w:pPr>
              <w:pStyle w:val="NormalWeb"/>
              <w:spacing w:before="0" w:beforeAutospacing="0" w:after="0" w:afterAutospacing="0"/>
              <w:rPr>
                <w:sz w:val="20"/>
                <w:szCs w:val="20"/>
              </w:rPr>
            </w:pPr>
            <w:r>
              <w:rPr>
                <w:rStyle w:val="Strong"/>
                <w:rFonts w:ascii="MS Gothic" w:eastAsia="MS Gothic" w:hAnsi="MS Gothic" w:cs="MS Gothic" w:hint="eastAsia"/>
                <w:sz w:val="20"/>
                <w:szCs w:val="20"/>
              </w:rPr>
              <w:t>☒</w:t>
            </w:r>
          </w:p>
        </w:tc>
        <w:tc>
          <w:tcPr>
            <w:tcW w:w="0" w:type="auto"/>
            <w:vAlign w:val="center"/>
            <w:hideMark/>
          </w:tcPr>
          <w:p w14:paraId="693389E9" w14:textId="77777777" w:rsidR="002B5D06" w:rsidRDefault="000B69DD">
            <w:pPr>
              <w:pStyle w:val="NormalWeb"/>
              <w:spacing w:before="0" w:beforeAutospacing="0" w:after="0" w:afterAutospacing="0"/>
              <w:rPr>
                <w:sz w:val="20"/>
                <w:szCs w:val="20"/>
              </w:rPr>
            </w:pPr>
            <w:r>
              <w:rPr>
                <w:rStyle w:val="Strong"/>
                <w:sz w:val="20"/>
                <w:szCs w:val="20"/>
              </w:rPr>
              <w:t xml:space="preserve">ANNUAL REPORT PURSUANT SECTION 13 OR 15(d) OF THE SECURITIES EXCHANGE ACT OF 1934 </w:t>
            </w:r>
          </w:p>
        </w:tc>
      </w:tr>
    </w:tbl>
    <w:p w14:paraId="723548CC"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0136B9B7" w14:textId="77777777" w:rsidR="002B5D06" w:rsidRDefault="000B69DD">
      <w:pPr>
        <w:pStyle w:val="NormalWeb"/>
        <w:spacing w:before="0" w:beforeAutospacing="0" w:after="0" w:afterAutospacing="0"/>
        <w:jc w:val="center"/>
        <w:divId w:val="1684360448"/>
        <w:rPr>
          <w:sz w:val="20"/>
          <w:szCs w:val="20"/>
        </w:rPr>
      </w:pPr>
      <w:r>
        <w:rPr>
          <w:sz w:val="20"/>
          <w:szCs w:val="20"/>
        </w:rPr>
        <w:t xml:space="preserve">For the fiscal year ended </w:t>
      </w:r>
      <w:r>
        <w:rPr>
          <w:rStyle w:val="Strong"/>
          <w:sz w:val="20"/>
          <w:szCs w:val="20"/>
          <w:u w:val="single"/>
        </w:rPr>
        <w:t>June 30, 2025</w:t>
      </w:r>
    </w:p>
    <w:p w14:paraId="2B7F61D8" w14:textId="77777777" w:rsidR="002B5D06" w:rsidRDefault="000B69DD">
      <w:pPr>
        <w:pStyle w:val="NormalWeb"/>
        <w:spacing w:before="0" w:beforeAutospacing="0" w:after="0" w:afterAutospacing="0"/>
        <w:jc w:val="center"/>
        <w:divId w:val="1684360448"/>
        <w:rPr>
          <w:sz w:val="20"/>
          <w:szCs w:val="20"/>
        </w:rPr>
      </w:pPr>
      <w:r>
        <w:rPr>
          <w:sz w:val="20"/>
          <w:szCs w:val="20"/>
        </w:rPr>
        <w:t> </w:t>
      </w:r>
    </w:p>
    <w:p w14:paraId="50D9766F" w14:textId="77777777" w:rsidR="002B5D06" w:rsidRDefault="000B69DD">
      <w:pPr>
        <w:pStyle w:val="NormalWeb"/>
        <w:spacing w:before="0" w:beforeAutospacing="0" w:after="0" w:afterAutospacing="0"/>
        <w:jc w:val="center"/>
        <w:divId w:val="1684360448"/>
        <w:rPr>
          <w:sz w:val="20"/>
          <w:szCs w:val="20"/>
        </w:rPr>
      </w:pPr>
      <w:r>
        <w:rPr>
          <w:sz w:val="20"/>
          <w:szCs w:val="20"/>
        </w:rPr>
        <w:t>Or</w:t>
      </w:r>
    </w:p>
    <w:p w14:paraId="41A152EF" w14:textId="77777777" w:rsidR="002B5D06" w:rsidRDefault="000B69DD">
      <w:pPr>
        <w:pStyle w:val="NormalWeb"/>
        <w:spacing w:before="0" w:beforeAutospacing="0" w:after="0" w:afterAutospacing="0"/>
        <w:jc w:val="center"/>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6"/>
        <w:gridCol w:w="8944"/>
      </w:tblGrid>
      <w:tr w:rsidR="002B5D06" w14:paraId="2E41C7CD" w14:textId="77777777">
        <w:trPr>
          <w:divId w:val="1684360448"/>
          <w:trHeight w:val="225"/>
          <w:tblCellSpacing w:w="15" w:type="dxa"/>
          <w:jc w:val="center"/>
        </w:trPr>
        <w:tc>
          <w:tcPr>
            <w:tcW w:w="200" w:type="pct"/>
            <w:hideMark/>
          </w:tcPr>
          <w:p w14:paraId="64F76B72" w14:textId="77777777" w:rsidR="002B5D06" w:rsidRDefault="000B69DD">
            <w:pPr>
              <w:pStyle w:val="NormalWeb"/>
              <w:spacing w:before="0" w:beforeAutospacing="0" w:after="0" w:afterAutospacing="0"/>
              <w:rPr>
                <w:sz w:val="20"/>
                <w:szCs w:val="20"/>
              </w:rPr>
            </w:pPr>
            <w:r>
              <w:rPr>
                <w:rStyle w:val="Strong"/>
                <w:rFonts w:ascii="MS Gothic" w:eastAsia="MS Gothic" w:hAnsi="MS Gothic" w:cs="MS Gothic" w:hint="eastAsia"/>
                <w:sz w:val="20"/>
                <w:szCs w:val="20"/>
              </w:rPr>
              <w:t>☐</w:t>
            </w:r>
          </w:p>
        </w:tc>
        <w:tc>
          <w:tcPr>
            <w:tcW w:w="0" w:type="auto"/>
            <w:vAlign w:val="center"/>
            <w:hideMark/>
          </w:tcPr>
          <w:p w14:paraId="02E1DF57" w14:textId="77777777" w:rsidR="002B5D06" w:rsidRDefault="000B69DD">
            <w:pPr>
              <w:pStyle w:val="NormalWeb"/>
              <w:spacing w:before="0" w:beforeAutospacing="0" w:after="0" w:afterAutospacing="0"/>
              <w:rPr>
                <w:sz w:val="20"/>
                <w:szCs w:val="20"/>
              </w:rPr>
            </w:pPr>
            <w:r>
              <w:rPr>
                <w:rStyle w:val="Strong"/>
                <w:sz w:val="20"/>
                <w:szCs w:val="20"/>
              </w:rPr>
              <w:t xml:space="preserve">TRANSITION REPORT UNDER SECTION 13 OR 15(d) OF THE SECURITIES EXCHANGE ACT OF 1934 </w:t>
            </w:r>
          </w:p>
        </w:tc>
      </w:tr>
    </w:tbl>
    <w:p w14:paraId="2C9AC9FC"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943901A" w14:textId="77777777" w:rsidR="002B5D06" w:rsidRDefault="000B69DD">
      <w:pPr>
        <w:pStyle w:val="NormalWeb"/>
        <w:spacing w:before="0" w:beforeAutospacing="0" w:after="0" w:afterAutospacing="0"/>
        <w:jc w:val="center"/>
        <w:divId w:val="1684360448"/>
        <w:rPr>
          <w:sz w:val="20"/>
          <w:szCs w:val="20"/>
        </w:rPr>
      </w:pPr>
      <w:r>
        <w:rPr>
          <w:sz w:val="20"/>
          <w:szCs w:val="20"/>
        </w:rPr>
        <w:t>For the transition period from __________ to __________</w:t>
      </w:r>
    </w:p>
    <w:p w14:paraId="3FFC2131" w14:textId="77777777" w:rsidR="002B5D06" w:rsidRDefault="000B69DD">
      <w:pPr>
        <w:pStyle w:val="NormalWeb"/>
        <w:spacing w:before="0" w:beforeAutospacing="0" w:after="0" w:afterAutospacing="0"/>
        <w:jc w:val="center"/>
        <w:divId w:val="1684360448"/>
        <w:rPr>
          <w:sz w:val="20"/>
          <w:szCs w:val="20"/>
        </w:rPr>
      </w:pPr>
      <w:r>
        <w:rPr>
          <w:sz w:val="20"/>
          <w:szCs w:val="20"/>
        </w:rPr>
        <w:t> </w:t>
      </w:r>
    </w:p>
    <w:p w14:paraId="46923648" w14:textId="77777777" w:rsidR="002B5D06" w:rsidRDefault="000B69DD">
      <w:pPr>
        <w:pStyle w:val="NormalWeb"/>
        <w:spacing w:before="0" w:beforeAutospacing="0" w:after="0" w:afterAutospacing="0"/>
        <w:jc w:val="center"/>
        <w:divId w:val="1684360448"/>
        <w:rPr>
          <w:sz w:val="20"/>
          <w:szCs w:val="20"/>
        </w:rPr>
      </w:pPr>
      <w:r>
        <w:rPr>
          <w:sz w:val="20"/>
          <w:szCs w:val="20"/>
        </w:rPr>
        <w:t>Commission File Number:</w:t>
      </w:r>
      <w:r>
        <w:rPr>
          <w:rStyle w:val="Strong"/>
          <w:sz w:val="20"/>
          <w:szCs w:val="20"/>
          <w:u w:val="single"/>
        </w:rPr>
        <w:t>0-9951</w:t>
      </w:r>
    </w:p>
    <w:p w14:paraId="72394E0E" w14:textId="77777777" w:rsidR="002B5D06" w:rsidRDefault="000B69DD">
      <w:pPr>
        <w:pStyle w:val="NormalWeb"/>
        <w:spacing w:before="0" w:beforeAutospacing="0" w:after="0" w:afterAutospacing="0"/>
        <w:jc w:val="center"/>
        <w:divId w:val="1684360448"/>
        <w:rPr>
          <w:sz w:val="20"/>
          <w:szCs w:val="20"/>
        </w:rPr>
      </w:pPr>
      <w:r>
        <w:rPr>
          <w:sz w:val="20"/>
          <w:szCs w:val="20"/>
        </w:rPr>
        <w:t> </w:t>
      </w:r>
    </w:p>
    <w:tbl>
      <w:tblPr>
        <w:tblW w:w="3000" w:type="pct"/>
        <w:jc w:val="center"/>
        <w:tblCellMar>
          <w:left w:w="0" w:type="dxa"/>
          <w:right w:w="0" w:type="dxa"/>
        </w:tblCellMar>
        <w:tblLook w:val="04A0" w:firstRow="1" w:lastRow="0" w:firstColumn="1" w:lastColumn="0" w:noHBand="0" w:noVBand="1"/>
      </w:tblPr>
      <w:tblGrid>
        <w:gridCol w:w="5616"/>
      </w:tblGrid>
      <w:tr w:rsidR="002B5D06" w14:paraId="5D0C398F" w14:textId="77777777">
        <w:trPr>
          <w:divId w:val="1684360448"/>
          <w:trHeight w:val="225"/>
          <w:jc w:val="center"/>
        </w:trPr>
        <w:tc>
          <w:tcPr>
            <w:tcW w:w="0" w:type="auto"/>
            <w:tcBorders>
              <w:bottom w:val="single" w:sz="6" w:space="0" w:color="auto"/>
            </w:tcBorders>
            <w:vAlign w:val="center"/>
            <w:hideMark/>
          </w:tcPr>
          <w:p w14:paraId="1B74707D" w14:textId="77777777" w:rsidR="002B5D06" w:rsidRDefault="000B69DD">
            <w:pPr>
              <w:pStyle w:val="NormalWeb"/>
              <w:spacing w:before="0" w:beforeAutospacing="0" w:after="0" w:afterAutospacing="0"/>
              <w:jc w:val="center"/>
              <w:rPr>
                <w:sz w:val="20"/>
                <w:szCs w:val="20"/>
              </w:rPr>
            </w:pPr>
            <w:r>
              <w:rPr>
                <w:rStyle w:val="Strong"/>
                <w:sz w:val="36"/>
                <w:szCs w:val="36"/>
              </w:rPr>
              <w:t>ADVANCED OXYGEN TECHNOLOGIES, INC.</w:t>
            </w:r>
          </w:p>
        </w:tc>
      </w:tr>
      <w:tr w:rsidR="002B5D06" w14:paraId="2B6EA52F" w14:textId="77777777">
        <w:trPr>
          <w:divId w:val="1684360448"/>
          <w:trHeight w:val="225"/>
          <w:jc w:val="center"/>
        </w:trPr>
        <w:tc>
          <w:tcPr>
            <w:tcW w:w="0" w:type="auto"/>
            <w:vAlign w:val="center"/>
            <w:hideMark/>
          </w:tcPr>
          <w:p w14:paraId="39090E19" w14:textId="77777777" w:rsidR="002B5D06" w:rsidRDefault="000B69DD">
            <w:pPr>
              <w:pStyle w:val="NormalWeb"/>
              <w:spacing w:before="0" w:beforeAutospacing="0" w:after="0" w:afterAutospacing="0"/>
              <w:jc w:val="center"/>
              <w:rPr>
                <w:sz w:val="20"/>
                <w:szCs w:val="20"/>
              </w:rPr>
            </w:pPr>
            <w:r>
              <w:rPr>
                <w:sz w:val="20"/>
                <w:szCs w:val="20"/>
              </w:rPr>
              <w:t>(Exact name of registrant as specified in its charter)</w:t>
            </w:r>
          </w:p>
        </w:tc>
      </w:tr>
    </w:tbl>
    <w:p w14:paraId="4EC3B638"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4250" w:type="pct"/>
        <w:jc w:val="center"/>
        <w:tblCellMar>
          <w:left w:w="0" w:type="dxa"/>
          <w:right w:w="0" w:type="dxa"/>
        </w:tblCellMar>
        <w:tblLook w:val="04A0" w:firstRow="1" w:lastRow="0" w:firstColumn="1" w:lastColumn="0" w:noHBand="0" w:noVBand="1"/>
      </w:tblPr>
      <w:tblGrid>
        <w:gridCol w:w="3580"/>
        <w:gridCol w:w="796"/>
        <w:gridCol w:w="3580"/>
      </w:tblGrid>
      <w:tr w:rsidR="002B5D06" w14:paraId="67C33BA6" w14:textId="77777777">
        <w:trPr>
          <w:divId w:val="1684360448"/>
          <w:trHeight w:val="225"/>
          <w:jc w:val="center"/>
        </w:trPr>
        <w:tc>
          <w:tcPr>
            <w:tcW w:w="2250" w:type="pct"/>
            <w:tcBorders>
              <w:bottom w:val="single" w:sz="6" w:space="0" w:color="auto"/>
            </w:tcBorders>
            <w:hideMark/>
          </w:tcPr>
          <w:p w14:paraId="45325A62" w14:textId="77777777" w:rsidR="002B5D06" w:rsidRDefault="000B69DD">
            <w:pPr>
              <w:pStyle w:val="NormalWeb"/>
              <w:spacing w:before="0" w:beforeAutospacing="0" w:after="0" w:afterAutospacing="0"/>
              <w:jc w:val="center"/>
              <w:rPr>
                <w:sz w:val="20"/>
                <w:szCs w:val="20"/>
              </w:rPr>
            </w:pPr>
            <w:r>
              <w:rPr>
                <w:rStyle w:val="Strong"/>
                <w:sz w:val="20"/>
                <w:szCs w:val="20"/>
              </w:rPr>
              <w:t>Delaware</w:t>
            </w:r>
          </w:p>
        </w:tc>
        <w:tc>
          <w:tcPr>
            <w:tcW w:w="500" w:type="pct"/>
            <w:vAlign w:val="center"/>
            <w:hideMark/>
          </w:tcPr>
          <w:p w14:paraId="37C24BDA" w14:textId="77777777" w:rsidR="002B5D06" w:rsidRDefault="000B69DD">
            <w:pPr>
              <w:pStyle w:val="NormalWeb"/>
              <w:spacing w:before="0" w:beforeAutospacing="0" w:after="0" w:afterAutospacing="0"/>
              <w:jc w:val="center"/>
              <w:rPr>
                <w:sz w:val="20"/>
                <w:szCs w:val="20"/>
              </w:rPr>
            </w:pPr>
            <w:r>
              <w:rPr>
                <w:sz w:val="20"/>
                <w:szCs w:val="20"/>
              </w:rPr>
              <w:t> </w:t>
            </w:r>
          </w:p>
        </w:tc>
        <w:tc>
          <w:tcPr>
            <w:tcW w:w="2250" w:type="pct"/>
            <w:tcBorders>
              <w:bottom w:val="single" w:sz="6" w:space="0" w:color="auto"/>
            </w:tcBorders>
            <w:hideMark/>
          </w:tcPr>
          <w:p w14:paraId="33E4B367" w14:textId="77777777" w:rsidR="002B5D06" w:rsidRDefault="000B69DD">
            <w:pPr>
              <w:pStyle w:val="NormalWeb"/>
              <w:spacing w:before="0" w:beforeAutospacing="0" w:after="0" w:afterAutospacing="0"/>
              <w:jc w:val="center"/>
              <w:rPr>
                <w:sz w:val="20"/>
                <w:szCs w:val="20"/>
              </w:rPr>
            </w:pPr>
            <w:r>
              <w:rPr>
                <w:rStyle w:val="Strong"/>
                <w:sz w:val="20"/>
                <w:szCs w:val="20"/>
              </w:rPr>
              <w:t>91-1143622</w:t>
            </w:r>
          </w:p>
        </w:tc>
      </w:tr>
      <w:tr w:rsidR="002B5D06" w14:paraId="268C081C" w14:textId="77777777">
        <w:trPr>
          <w:divId w:val="1684360448"/>
          <w:trHeight w:val="225"/>
          <w:jc w:val="center"/>
        </w:trPr>
        <w:tc>
          <w:tcPr>
            <w:tcW w:w="0" w:type="auto"/>
            <w:hideMark/>
          </w:tcPr>
          <w:p w14:paraId="47D44936" w14:textId="77777777" w:rsidR="002B5D06" w:rsidRDefault="000B69DD">
            <w:pPr>
              <w:pStyle w:val="NormalWeb"/>
              <w:spacing w:before="0" w:beforeAutospacing="0" w:after="0" w:afterAutospacing="0"/>
              <w:jc w:val="center"/>
              <w:rPr>
                <w:sz w:val="20"/>
                <w:szCs w:val="20"/>
              </w:rPr>
            </w:pPr>
            <w:r>
              <w:rPr>
                <w:sz w:val="20"/>
                <w:szCs w:val="20"/>
              </w:rPr>
              <w:t>(State or Other Jurisdiction</w:t>
            </w:r>
          </w:p>
        </w:tc>
        <w:tc>
          <w:tcPr>
            <w:tcW w:w="0" w:type="auto"/>
            <w:vAlign w:val="center"/>
            <w:hideMark/>
          </w:tcPr>
          <w:p w14:paraId="36098AC3" w14:textId="77777777" w:rsidR="002B5D06" w:rsidRDefault="000B69DD">
            <w:pPr>
              <w:pStyle w:val="NormalWeb"/>
              <w:spacing w:before="0" w:beforeAutospacing="0" w:after="0" w:afterAutospacing="0"/>
              <w:jc w:val="center"/>
              <w:rPr>
                <w:sz w:val="20"/>
                <w:szCs w:val="20"/>
              </w:rPr>
            </w:pPr>
            <w:r>
              <w:rPr>
                <w:sz w:val="20"/>
                <w:szCs w:val="20"/>
              </w:rPr>
              <w:t> </w:t>
            </w:r>
          </w:p>
        </w:tc>
        <w:tc>
          <w:tcPr>
            <w:tcW w:w="0" w:type="auto"/>
            <w:hideMark/>
          </w:tcPr>
          <w:p w14:paraId="271D3521" w14:textId="77777777" w:rsidR="002B5D06" w:rsidRDefault="000B69DD">
            <w:pPr>
              <w:pStyle w:val="NormalWeb"/>
              <w:spacing w:before="0" w:beforeAutospacing="0" w:after="0" w:afterAutospacing="0"/>
              <w:jc w:val="center"/>
              <w:rPr>
                <w:sz w:val="20"/>
                <w:szCs w:val="20"/>
              </w:rPr>
            </w:pPr>
            <w:r>
              <w:rPr>
                <w:sz w:val="20"/>
                <w:szCs w:val="20"/>
              </w:rPr>
              <w:t>(I.R.S. Employer</w:t>
            </w:r>
          </w:p>
        </w:tc>
      </w:tr>
      <w:tr w:rsidR="002B5D06" w14:paraId="34BF1388" w14:textId="77777777">
        <w:trPr>
          <w:divId w:val="1684360448"/>
          <w:trHeight w:val="225"/>
          <w:jc w:val="center"/>
        </w:trPr>
        <w:tc>
          <w:tcPr>
            <w:tcW w:w="0" w:type="auto"/>
            <w:hideMark/>
          </w:tcPr>
          <w:p w14:paraId="651FDAD5" w14:textId="77777777" w:rsidR="002B5D06" w:rsidRDefault="000B69DD">
            <w:pPr>
              <w:pStyle w:val="NormalWeb"/>
              <w:spacing w:before="0" w:beforeAutospacing="0" w:after="0" w:afterAutospacing="0"/>
              <w:jc w:val="center"/>
              <w:rPr>
                <w:sz w:val="20"/>
                <w:szCs w:val="20"/>
              </w:rPr>
            </w:pPr>
            <w:r>
              <w:rPr>
                <w:sz w:val="20"/>
                <w:szCs w:val="20"/>
              </w:rPr>
              <w:t>of Incorporation)</w:t>
            </w:r>
          </w:p>
        </w:tc>
        <w:tc>
          <w:tcPr>
            <w:tcW w:w="0" w:type="auto"/>
            <w:vAlign w:val="center"/>
            <w:hideMark/>
          </w:tcPr>
          <w:p w14:paraId="121B1438" w14:textId="77777777" w:rsidR="002B5D06" w:rsidRDefault="000B69DD">
            <w:pPr>
              <w:pStyle w:val="NormalWeb"/>
              <w:spacing w:before="0" w:beforeAutospacing="0" w:after="0" w:afterAutospacing="0"/>
              <w:jc w:val="center"/>
              <w:rPr>
                <w:sz w:val="20"/>
                <w:szCs w:val="20"/>
              </w:rPr>
            </w:pPr>
            <w:r>
              <w:rPr>
                <w:sz w:val="20"/>
                <w:szCs w:val="20"/>
              </w:rPr>
              <w:t> </w:t>
            </w:r>
          </w:p>
        </w:tc>
        <w:tc>
          <w:tcPr>
            <w:tcW w:w="0" w:type="auto"/>
            <w:hideMark/>
          </w:tcPr>
          <w:p w14:paraId="33E35EF8" w14:textId="77777777" w:rsidR="002B5D06" w:rsidRDefault="000B69DD">
            <w:pPr>
              <w:pStyle w:val="NormalWeb"/>
              <w:spacing w:before="0" w:beforeAutospacing="0" w:after="0" w:afterAutospacing="0"/>
              <w:jc w:val="center"/>
              <w:rPr>
                <w:sz w:val="20"/>
                <w:szCs w:val="20"/>
              </w:rPr>
            </w:pPr>
            <w:r>
              <w:rPr>
                <w:sz w:val="20"/>
                <w:szCs w:val="20"/>
              </w:rPr>
              <w:t>Identification No.)</w:t>
            </w:r>
          </w:p>
        </w:tc>
      </w:tr>
    </w:tbl>
    <w:p w14:paraId="215D0E2B" w14:textId="77777777" w:rsidR="002B5D06" w:rsidRDefault="000B69DD">
      <w:pPr>
        <w:pStyle w:val="NormalWeb"/>
        <w:spacing w:before="0" w:beforeAutospacing="0" w:after="0" w:afterAutospacing="0"/>
        <w:jc w:val="center"/>
        <w:divId w:val="1684360448"/>
        <w:rPr>
          <w:sz w:val="20"/>
          <w:szCs w:val="20"/>
        </w:rPr>
      </w:pPr>
      <w:r>
        <w:rPr>
          <w:sz w:val="20"/>
          <w:szCs w:val="20"/>
        </w:rPr>
        <w:t> </w:t>
      </w:r>
    </w:p>
    <w:p w14:paraId="09F53F39" w14:textId="77777777" w:rsidR="002B5D06" w:rsidRDefault="000B69DD">
      <w:pPr>
        <w:pStyle w:val="NormalWeb"/>
        <w:spacing w:before="0" w:beforeAutospacing="0" w:after="0" w:afterAutospacing="0"/>
        <w:jc w:val="center"/>
        <w:divId w:val="1684360448"/>
        <w:rPr>
          <w:sz w:val="20"/>
          <w:szCs w:val="20"/>
        </w:rPr>
      </w:pPr>
      <w:r>
        <w:rPr>
          <w:rStyle w:val="Strong"/>
          <w:sz w:val="20"/>
          <w:szCs w:val="20"/>
          <w:u w:val="single"/>
        </w:rPr>
        <w:t>C/O Crossfield, Inc., 653 VT Route 12A, PO Box 189, Randolph, VT 05060</w:t>
      </w:r>
    </w:p>
    <w:p w14:paraId="208718A5" w14:textId="77777777" w:rsidR="002B5D06" w:rsidRDefault="000B69DD">
      <w:pPr>
        <w:pStyle w:val="NormalWeb"/>
        <w:spacing w:before="0" w:beforeAutospacing="0" w:after="0" w:afterAutospacing="0"/>
        <w:jc w:val="center"/>
        <w:divId w:val="1684360448"/>
        <w:rPr>
          <w:sz w:val="20"/>
          <w:szCs w:val="20"/>
        </w:rPr>
      </w:pPr>
      <w:r>
        <w:rPr>
          <w:sz w:val="20"/>
          <w:szCs w:val="20"/>
        </w:rPr>
        <w:t>(Address of Principal Executive Offices) (Zip Code)</w:t>
      </w:r>
    </w:p>
    <w:p w14:paraId="79C9287C" w14:textId="77777777" w:rsidR="002B5D06" w:rsidRDefault="000B69DD">
      <w:pPr>
        <w:pStyle w:val="NormalWeb"/>
        <w:spacing w:before="0" w:beforeAutospacing="0" w:after="0" w:afterAutospacing="0"/>
        <w:jc w:val="center"/>
        <w:divId w:val="1684360448"/>
        <w:rPr>
          <w:sz w:val="20"/>
          <w:szCs w:val="20"/>
        </w:rPr>
      </w:pPr>
      <w:r>
        <w:rPr>
          <w:sz w:val="20"/>
          <w:szCs w:val="20"/>
        </w:rPr>
        <w:t> </w:t>
      </w:r>
    </w:p>
    <w:p w14:paraId="3523263E" w14:textId="77777777" w:rsidR="002B5D06" w:rsidRDefault="000B69DD">
      <w:pPr>
        <w:pStyle w:val="NormalWeb"/>
        <w:spacing w:before="0" w:beforeAutospacing="0" w:after="0" w:afterAutospacing="0"/>
        <w:jc w:val="center"/>
        <w:divId w:val="1684360448"/>
        <w:rPr>
          <w:sz w:val="20"/>
          <w:szCs w:val="20"/>
        </w:rPr>
      </w:pPr>
      <w:r>
        <w:rPr>
          <w:rStyle w:val="Strong"/>
          <w:sz w:val="20"/>
          <w:szCs w:val="20"/>
          <w:u w:val="single"/>
        </w:rPr>
        <w:t>(212)727-7085</w:t>
      </w:r>
    </w:p>
    <w:p w14:paraId="207EE27B" w14:textId="77777777" w:rsidR="002B5D06" w:rsidRDefault="000B69DD">
      <w:pPr>
        <w:pStyle w:val="NormalWeb"/>
        <w:spacing w:before="0" w:beforeAutospacing="0" w:after="0" w:afterAutospacing="0"/>
        <w:jc w:val="center"/>
        <w:divId w:val="1684360448"/>
        <w:rPr>
          <w:sz w:val="20"/>
          <w:szCs w:val="20"/>
        </w:rPr>
      </w:pPr>
      <w:r>
        <w:rPr>
          <w:sz w:val="20"/>
          <w:szCs w:val="20"/>
        </w:rPr>
        <w:t>(Registrant’s telephone number, including area code)</w:t>
      </w:r>
    </w:p>
    <w:p w14:paraId="3EC346E0" w14:textId="77777777" w:rsidR="002B5D06" w:rsidRDefault="000B69DD">
      <w:pPr>
        <w:pStyle w:val="NormalWeb"/>
        <w:spacing w:before="0" w:beforeAutospacing="0" w:after="0" w:afterAutospacing="0"/>
        <w:jc w:val="center"/>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2799"/>
        <w:gridCol w:w="489"/>
        <w:gridCol w:w="2784"/>
        <w:gridCol w:w="489"/>
        <w:gridCol w:w="2799"/>
      </w:tblGrid>
      <w:tr w:rsidR="002B5D06" w14:paraId="1BAF4E15" w14:textId="77777777">
        <w:trPr>
          <w:divId w:val="1684360448"/>
          <w:trHeight w:val="225"/>
          <w:tblCellSpacing w:w="15" w:type="dxa"/>
          <w:jc w:val="center"/>
        </w:trPr>
        <w:tc>
          <w:tcPr>
            <w:tcW w:w="1500" w:type="pct"/>
            <w:tcBorders>
              <w:bottom w:val="single" w:sz="6" w:space="0" w:color="auto"/>
            </w:tcBorders>
            <w:vAlign w:val="bottom"/>
            <w:hideMark/>
          </w:tcPr>
          <w:p w14:paraId="6482D012" w14:textId="77777777" w:rsidR="002B5D06" w:rsidRDefault="000B69DD">
            <w:pPr>
              <w:pStyle w:val="NormalWeb"/>
              <w:spacing w:before="0" w:beforeAutospacing="0" w:after="0" w:afterAutospacing="0"/>
              <w:jc w:val="center"/>
              <w:rPr>
                <w:sz w:val="20"/>
                <w:szCs w:val="20"/>
              </w:rPr>
            </w:pPr>
            <w:r>
              <w:rPr>
                <w:rStyle w:val="Strong"/>
                <w:sz w:val="20"/>
                <w:szCs w:val="20"/>
              </w:rPr>
              <w:t>Title of Class</w:t>
            </w:r>
          </w:p>
        </w:tc>
        <w:tc>
          <w:tcPr>
            <w:tcW w:w="250" w:type="pct"/>
            <w:vAlign w:val="center"/>
            <w:hideMark/>
          </w:tcPr>
          <w:p w14:paraId="0975346F" w14:textId="77777777" w:rsidR="002B5D06" w:rsidRDefault="000B69DD">
            <w:pPr>
              <w:pStyle w:val="NormalWeb"/>
              <w:spacing w:before="0" w:beforeAutospacing="0" w:after="0" w:afterAutospacing="0"/>
              <w:jc w:val="both"/>
              <w:rPr>
                <w:sz w:val="20"/>
                <w:szCs w:val="20"/>
              </w:rPr>
            </w:pPr>
            <w:r>
              <w:rPr>
                <w:sz w:val="20"/>
                <w:szCs w:val="20"/>
              </w:rPr>
              <w:t> </w:t>
            </w:r>
          </w:p>
        </w:tc>
        <w:tc>
          <w:tcPr>
            <w:tcW w:w="1500" w:type="pct"/>
            <w:tcBorders>
              <w:bottom w:val="single" w:sz="6" w:space="0" w:color="auto"/>
            </w:tcBorders>
            <w:vAlign w:val="bottom"/>
            <w:hideMark/>
          </w:tcPr>
          <w:p w14:paraId="70693D65" w14:textId="77777777" w:rsidR="002B5D06" w:rsidRDefault="000B69DD">
            <w:pPr>
              <w:pStyle w:val="NormalWeb"/>
              <w:spacing w:before="0" w:beforeAutospacing="0" w:after="0" w:afterAutospacing="0"/>
              <w:jc w:val="center"/>
              <w:rPr>
                <w:sz w:val="20"/>
                <w:szCs w:val="20"/>
              </w:rPr>
            </w:pPr>
            <w:r>
              <w:rPr>
                <w:rStyle w:val="Strong"/>
                <w:sz w:val="20"/>
                <w:szCs w:val="20"/>
              </w:rPr>
              <w:t>Trading Symbol</w:t>
            </w:r>
          </w:p>
        </w:tc>
        <w:tc>
          <w:tcPr>
            <w:tcW w:w="250" w:type="pct"/>
            <w:vAlign w:val="center"/>
            <w:hideMark/>
          </w:tcPr>
          <w:p w14:paraId="106538F1" w14:textId="77777777" w:rsidR="002B5D06" w:rsidRDefault="000B69DD">
            <w:pPr>
              <w:pStyle w:val="NormalWeb"/>
              <w:spacing w:before="0" w:beforeAutospacing="0" w:after="0" w:afterAutospacing="0"/>
              <w:jc w:val="both"/>
              <w:rPr>
                <w:sz w:val="20"/>
                <w:szCs w:val="20"/>
              </w:rPr>
            </w:pPr>
            <w:r>
              <w:rPr>
                <w:sz w:val="20"/>
                <w:szCs w:val="20"/>
              </w:rPr>
              <w:t> </w:t>
            </w:r>
          </w:p>
        </w:tc>
        <w:tc>
          <w:tcPr>
            <w:tcW w:w="1500" w:type="pct"/>
            <w:tcBorders>
              <w:bottom w:val="single" w:sz="6" w:space="0" w:color="auto"/>
            </w:tcBorders>
            <w:vAlign w:val="center"/>
            <w:hideMark/>
          </w:tcPr>
          <w:p w14:paraId="164622BC" w14:textId="77777777" w:rsidR="002B5D06" w:rsidRDefault="000B69DD">
            <w:pPr>
              <w:pStyle w:val="NormalWeb"/>
              <w:spacing w:before="0" w:beforeAutospacing="0" w:after="0" w:afterAutospacing="0"/>
              <w:jc w:val="center"/>
              <w:rPr>
                <w:sz w:val="20"/>
                <w:szCs w:val="20"/>
              </w:rPr>
            </w:pPr>
            <w:r>
              <w:rPr>
                <w:rStyle w:val="Strong"/>
                <w:sz w:val="20"/>
                <w:szCs w:val="20"/>
              </w:rPr>
              <w:t>Name of each exchange on which registered</w:t>
            </w:r>
          </w:p>
        </w:tc>
      </w:tr>
      <w:tr w:rsidR="002B5D06" w14:paraId="55B5F670" w14:textId="77777777">
        <w:trPr>
          <w:divId w:val="1684360448"/>
          <w:trHeight w:val="225"/>
          <w:tblCellSpacing w:w="15" w:type="dxa"/>
          <w:jc w:val="center"/>
        </w:trPr>
        <w:tc>
          <w:tcPr>
            <w:tcW w:w="0" w:type="auto"/>
            <w:vAlign w:val="center"/>
            <w:hideMark/>
          </w:tcPr>
          <w:p w14:paraId="2F532F8E" w14:textId="77777777" w:rsidR="002B5D06" w:rsidRDefault="000B69DD">
            <w:pPr>
              <w:pStyle w:val="NormalWeb"/>
              <w:spacing w:before="0" w:beforeAutospacing="0" w:after="0" w:afterAutospacing="0"/>
              <w:jc w:val="center"/>
              <w:rPr>
                <w:sz w:val="20"/>
                <w:szCs w:val="20"/>
              </w:rPr>
            </w:pPr>
            <w:r>
              <w:rPr>
                <w:sz w:val="20"/>
                <w:szCs w:val="20"/>
              </w:rPr>
              <w:t>Common Stock, $0.01 Par Value</w:t>
            </w:r>
          </w:p>
        </w:tc>
        <w:tc>
          <w:tcPr>
            <w:tcW w:w="0" w:type="auto"/>
            <w:vAlign w:val="center"/>
            <w:hideMark/>
          </w:tcPr>
          <w:p w14:paraId="25542FB5"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29B6F36B" w14:textId="77777777" w:rsidR="002B5D06" w:rsidRDefault="000B69DD">
            <w:pPr>
              <w:pStyle w:val="NormalWeb"/>
              <w:spacing w:before="0" w:beforeAutospacing="0" w:after="0" w:afterAutospacing="0"/>
              <w:jc w:val="center"/>
              <w:rPr>
                <w:sz w:val="20"/>
                <w:szCs w:val="20"/>
              </w:rPr>
            </w:pPr>
            <w:r>
              <w:rPr>
                <w:sz w:val="20"/>
                <w:szCs w:val="20"/>
              </w:rPr>
              <w:t>AOXY</w:t>
            </w:r>
          </w:p>
        </w:tc>
        <w:tc>
          <w:tcPr>
            <w:tcW w:w="0" w:type="auto"/>
            <w:vAlign w:val="center"/>
            <w:hideMark/>
          </w:tcPr>
          <w:p w14:paraId="6AA52058"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5BD6ACF4" w14:textId="77777777" w:rsidR="002B5D06" w:rsidRDefault="000B69DD">
            <w:pPr>
              <w:pStyle w:val="NormalWeb"/>
              <w:spacing w:before="0" w:beforeAutospacing="0" w:after="0" w:afterAutospacing="0"/>
              <w:jc w:val="center"/>
              <w:rPr>
                <w:sz w:val="20"/>
                <w:szCs w:val="20"/>
              </w:rPr>
            </w:pPr>
            <w:r>
              <w:rPr>
                <w:sz w:val="20"/>
                <w:szCs w:val="20"/>
              </w:rPr>
              <w:t>OTC:PINK</w:t>
            </w:r>
          </w:p>
        </w:tc>
      </w:tr>
    </w:tbl>
    <w:p w14:paraId="40BC12CF" w14:textId="77777777" w:rsidR="002B5D06" w:rsidRDefault="000B69DD">
      <w:pPr>
        <w:pStyle w:val="NormalWeb"/>
        <w:spacing w:before="0" w:beforeAutospacing="0" w:after="0" w:afterAutospacing="0"/>
        <w:jc w:val="center"/>
        <w:divId w:val="1684360448"/>
        <w:rPr>
          <w:sz w:val="20"/>
          <w:szCs w:val="20"/>
        </w:rPr>
      </w:pPr>
      <w:r>
        <w:rPr>
          <w:sz w:val="20"/>
          <w:szCs w:val="20"/>
        </w:rPr>
        <w:t> </w:t>
      </w:r>
    </w:p>
    <w:p w14:paraId="0A2A6D2A" w14:textId="77777777" w:rsidR="002B5D06" w:rsidRDefault="000B69DD">
      <w:pPr>
        <w:pStyle w:val="NormalWeb"/>
        <w:spacing w:before="0" w:beforeAutospacing="0" w:after="0" w:afterAutospacing="0"/>
        <w:jc w:val="center"/>
        <w:divId w:val="1684360448"/>
        <w:rPr>
          <w:sz w:val="20"/>
          <w:szCs w:val="20"/>
        </w:rPr>
      </w:pPr>
      <w:r>
        <w:rPr>
          <w:sz w:val="20"/>
          <w:szCs w:val="20"/>
        </w:rPr>
        <w:t>Securities registered under Section 12(g) of the Exchange Act: Common Stock, par value $0.01 per share</w:t>
      </w:r>
    </w:p>
    <w:p w14:paraId="18AA8F32" w14:textId="77777777" w:rsidR="002B5D06" w:rsidRDefault="000B69DD">
      <w:pPr>
        <w:pStyle w:val="NormalWeb"/>
        <w:spacing w:before="0" w:beforeAutospacing="0" w:after="0" w:afterAutospacing="0"/>
        <w:jc w:val="center"/>
        <w:divId w:val="1684360448"/>
        <w:rPr>
          <w:sz w:val="20"/>
          <w:szCs w:val="20"/>
        </w:rPr>
      </w:pPr>
      <w:r>
        <w:rPr>
          <w:sz w:val="20"/>
          <w:szCs w:val="20"/>
        </w:rPr>
        <w:t> </w:t>
      </w:r>
    </w:p>
    <w:p w14:paraId="624427B6" w14:textId="77777777" w:rsidR="002B5D06" w:rsidRDefault="000B69DD">
      <w:pPr>
        <w:pStyle w:val="NormalWeb"/>
        <w:spacing w:before="0" w:beforeAutospacing="0" w:after="0" w:afterAutospacing="0"/>
        <w:jc w:val="both"/>
        <w:divId w:val="1684360448"/>
        <w:rPr>
          <w:sz w:val="20"/>
          <w:szCs w:val="20"/>
        </w:rPr>
      </w:pPr>
      <w:r>
        <w:rPr>
          <w:sz w:val="20"/>
          <w:szCs w:val="20"/>
        </w:rPr>
        <w:t xml:space="preserve">Indicate by check mark if the registrant is a well-known seasoned issuer, as define in Rule 405 of the Securities Act. Yes </w:t>
      </w:r>
      <w:r>
        <w:rPr>
          <w:rFonts w:ascii="MS Gothic" w:eastAsia="MS Gothic" w:hAnsi="MS Gothic" w:cs="MS Gothic" w:hint="eastAsia"/>
          <w:sz w:val="20"/>
          <w:szCs w:val="20"/>
        </w:rPr>
        <w:t>☐</w:t>
      </w:r>
      <w:r>
        <w:rPr>
          <w:sz w:val="20"/>
          <w:szCs w:val="20"/>
        </w:rPr>
        <w:t xml:space="preserve">   No </w:t>
      </w:r>
      <w:r>
        <w:rPr>
          <w:rFonts w:ascii="MS Gothic" w:eastAsia="MS Gothic" w:hAnsi="MS Gothic" w:cs="MS Gothic" w:hint="eastAsia"/>
          <w:sz w:val="20"/>
          <w:szCs w:val="20"/>
        </w:rPr>
        <w:t>☒</w:t>
      </w:r>
    </w:p>
    <w:p w14:paraId="6BB453F2"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00055B29" w14:textId="77777777" w:rsidR="002B5D06" w:rsidRDefault="000B69DD">
      <w:pPr>
        <w:pStyle w:val="NormalWeb"/>
        <w:spacing w:before="0" w:beforeAutospacing="0" w:after="0" w:afterAutospacing="0"/>
        <w:jc w:val="both"/>
        <w:divId w:val="1684360448"/>
        <w:rPr>
          <w:sz w:val="20"/>
          <w:szCs w:val="20"/>
        </w:rPr>
      </w:pPr>
      <w:r>
        <w:rPr>
          <w:sz w:val="20"/>
          <w:szCs w:val="20"/>
        </w:rPr>
        <w:t xml:space="preserve">Indicate by check mark if the registrant is not required to file reports pursuant to section 13 or Section 15(d) of the Act. Yes </w:t>
      </w:r>
      <w:r>
        <w:rPr>
          <w:rFonts w:ascii="MS Gothic" w:eastAsia="MS Gothic" w:hAnsi="MS Gothic" w:cs="MS Gothic" w:hint="eastAsia"/>
          <w:sz w:val="20"/>
          <w:szCs w:val="20"/>
        </w:rPr>
        <w:t>☐</w:t>
      </w:r>
      <w:r>
        <w:rPr>
          <w:sz w:val="20"/>
          <w:szCs w:val="20"/>
        </w:rPr>
        <w:t xml:space="preserve">   No </w:t>
      </w:r>
      <w:r>
        <w:rPr>
          <w:rFonts w:ascii="MS Gothic" w:eastAsia="MS Gothic" w:hAnsi="MS Gothic" w:cs="MS Gothic" w:hint="eastAsia"/>
          <w:sz w:val="20"/>
          <w:szCs w:val="20"/>
        </w:rPr>
        <w:t>☒</w:t>
      </w:r>
    </w:p>
    <w:p w14:paraId="6886EB44"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AFC7276" w14:textId="77777777" w:rsidR="002B5D06" w:rsidRDefault="000B69DD">
      <w:pPr>
        <w:pStyle w:val="NormalWeb"/>
        <w:spacing w:before="0" w:beforeAutospacing="0" w:after="0" w:afterAutospacing="0"/>
        <w:jc w:val="both"/>
        <w:divId w:val="1684360448"/>
        <w:rPr>
          <w:sz w:val="20"/>
          <w:szCs w:val="20"/>
        </w:rPr>
      </w:pPr>
      <w:r>
        <w:rPr>
          <w:sz w:val="20"/>
          <w:szCs w:val="20"/>
        </w:rPr>
        <w:t xml:space="preserve">Indicate by check whether the registrant: (1) has filed all reports required to be filed by Section 13 or 15(d) of the Securities Exchange Act of 1934 during the preceding 12 months (or for such shorter period that the registrant was </w:t>
      </w:r>
      <w:r>
        <w:rPr>
          <w:sz w:val="20"/>
          <w:szCs w:val="20"/>
        </w:rPr>
        <w:lastRenderedPageBreak/>
        <w:t xml:space="preserve">required to file such reports), and (2) has been subject to such filing requirements for the past 90 days. Yes </w:t>
      </w:r>
      <w:r>
        <w:rPr>
          <w:rFonts w:ascii="MS Gothic" w:eastAsia="MS Gothic" w:hAnsi="MS Gothic" w:cs="MS Gothic" w:hint="eastAsia"/>
          <w:sz w:val="20"/>
          <w:szCs w:val="20"/>
        </w:rPr>
        <w:t>☒</w:t>
      </w:r>
      <w:r>
        <w:rPr>
          <w:sz w:val="20"/>
          <w:szCs w:val="20"/>
        </w:rPr>
        <w:t xml:space="preserve">   No </w:t>
      </w:r>
      <w:r>
        <w:rPr>
          <w:rFonts w:ascii="MS Gothic" w:eastAsia="MS Gothic" w:hAnsi="MS Gothic" w:cs="MS Gothic" w:hint="eastAsia"/>
          <w:sz w:val="20"/>
          <w:szCs w:val="20"/>
        </w:rPr>
        <w:t>☐</w:t>
      </w:r>
    </w:p>
    <w:p w14:paraId="61BFE9A3"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A730B14" w14:textId="77777777" w:rsidR="002B5D06" w:rsidRDefault="000B69DD">
      <w:pPr>
        <w:pStyle w:val="NormalWeb"/>
        <w:spacing w:before="0" w:beforeAutospacing="0" w:after="0" w:afterAutospacing="0"/>
        <w:jc w:val="both"/>
        <w:divId w:val="1684360448"/>
        <w:rPr>
          <w:sz w:val="20"/>
          <w:szCs w:val="20"/>
        </w:rPr>
      </w:pPr>
      <w:r>
        <w:rPr>
          <w:sz w:val="20"/>
          <w:szCs w:val="20"/>
        </w:rPr>
        <w:t xml:space="preserve">Indicate by check mark whether the registrant has submitted electronically every Interactive Data File required to be submitted pursuant to Rule 405 of Regulation S-T (§ 232.405 of this chapter) during the preceding 12 months (or for such shorter period that the registrant was required to submit such files).Yes </w:t>
      </w:r>
      <w:r>
        <w:rPr>
          <w:rFonts w:ascii="MS Gothic" w:eastAsia="MS Gothic" w:hAnsi="MS Gothic" w:cs="MS Gothic" w:hint="eastAsia"/>
          <w:sz w:val="20"/>
          <w:szCs w:val="20"/>
        </w:rPr>
        <w:t>☒</w:t>
      </w:r>
      <w:r>
        <w:rPr>
          <w:sz w:val="20"/>
          <w:szCs w:val="20"/>
        </w:rPr>
        <w:t xml:space="preserve">   No </w:t>
      </w:r>
      <w:r>
        <w:rPr>
          <w:rFonts w:ascii="MS Gothic" w:eastAsia="MS Gothic" w:hAnsi="MS Gothic" w:cs="MS Gothic" w:hint="eastAsia"/>
          <w:sz w:val="20"/>
          <w:szCs w:val="20"/>
        </w:rPr>
        <w:t>☐</w:t>
      </w:r>
    </w:p>
    <w:p w14:paraId="4A7CB137"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CA7789A" w14:textId="77777777" w:rsidR="002B5D06" w:rsidRDefault="000B69DD">
      <w:pPr>
        <w:pStyle w:val="NormalWeb"/>
        <w:spacing w:before="0" w:beforeAutospacing="0" w:after="0" w:afterAutospacing="0"/>
        <w:jc w:val="both"/>
        <w:divId w:val="1684360448"/>
        <w:rPr>
          <w:sz w:val="20"/>
          <w:szCs w:val="20"/>
        </w:rPr>
      </w:pPr>
      <w:r>
        <w:rPr>
          <w:sz w:val="20"/>
          <w:szCs w:val="20"/>
        </w:rPr>
        <w:t>Indicate by check mark whether the registrant is a large accelerated filer, an accelerated filer, a non-accelerated filer, a smaller reporting company, or emerging growth company. See the definitions of “large accelerated filer”, “an accelerated filer”, “smaller reporting company” and “emerging growth company” in Rule 12b-2 of the Exchange Act.</w:t>
      </w:r>
    </w:p>
    <w:p w14:paraId="2FCA7BD2"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4250" w:type="pct"/>
        <w:jc w:val="center"/>
        <w:tblCellMar>
          <w:left w:w="0" w:type="dxa"/>
          <w:right w:w="0" w:type="dxa"/>
        </w:tblCellMar>
        <w:tblLook w:val="04A0" w:firstRow="1" w:lastRow="0" w:firstColumn="1" w:lastColumn="0" w:noHBand="0" w:noVBand="1"/>
      </w:tblPr>
      <w:tblGrid>
        <w:gridCol w:w="2387"/>
        <w:gridCol w:w="1591"/>
        <w:gridCol w:w="2387"/>
        <w:gridCol w:w="1591"/>
      </w:tblGrid>
      <w:tr w:rsidR="002B5D06" w14:paraId="3096A9AE" w14:textId="77777777">
        <w:trPr>
          <w:divId w:val="1684360448"/>
          <w:trHeight w:val="225"/>
          <w:jc w:val="center"/>
        </w:trPr>
        <w:tc>
          <w:tcPr>
            <w:tcW w:w="1500" w:type="pct"/>
            <w:vAlign w:val="center"/>
            <w:hideMark/>
          </w:tcPr>
          <w:p w14:paraId="05FCF2E5" w14:textId="77777777" w:rsidR="002B5D06" w:rsidRDefault="000B69DD">
            <w:pPr>
              <w:pStyle w:val="NormalWeb"/>
              <w:spacing w:before="0" w:beforeAutospacing="0" w:after="0" w:afterAutospacing="0"/>
              <w:jc w:val="both"/>
              <w:rPr>
                <w:sz w:val="20"/>
                <w:szCs w:val="20"/>
              </w:rPr>
            </w:pPr>
            <w:r>
              <w:rPr>
                <w:sz w:val="20"/>
                <w:szCs w:val="20"/>
              </w:rPr>
              <w:t>Large Accelerated Filer</w:t>
            </w:r>
          </w:p>
        </w:tc>
        <w:tc>
          <w:tcPr>
            <w:tcW w:w="1000" w:type="pct"/>
            <w:vAlign w:val="center"/>
            <w:hideMark/>
          </w:tcPr>
          <w:p w14:paraId="53FEF93B" w14:textId="77777777" w:rsidR="002B5D06" w:rsidRDefault="000B69DD">
            <w:pPr>
              <w:pStyle w:val="NormalWeb"/>
              <w:spacing w:before="0" w:beforeAutospacing="0" w:after="0" w:afterAutospacing="0"/>
              <w:jc w:val="both"/>
              <w:rPr>
                <w:sz w:val="20"/>
                <w:szCs w:val="20"/>
              </w:rPr>
            </w:pPr>
            <w:r>
              <w:rPr>
                <w:rFonts w:ascii="MS Gothic" w:eastAsia="MS Gothic" w:hAnsi="MS Gothic" w:cs="MS Gothic" w:hint="eastAsia"/>
                <w:sz w:val="20"/>
                <w:szCs w:val="20"/>
              </w:rPr>
              <w:t>☐</w:t>
            </w:r>
          </w:p>
        </w:tc>
        <w:tc>
          <w:tcPr>
            <w:tcW w:w="1500" w:type="pct"/>
            <w:vAlign w:val="center"/>
            <w:hideMark/>
          </w:tcPr>
          <w:p w14:paraId="77AC358E" w14:textId="77777777" w:rsidR="002B5D06" w:rsidRDefault="000B69DD">
            <w:pPr>
              <w:pStyle w:val="NormalWeb"/>
              <w:spacing w:before="0" w:beforeAutospacing="0" w:after="0" w:afterAutospacing="0"/>
              <w:jc w:val="both"/>
              <w:rPr>
                <w:sz w:val="20"/>
                <w:szCs w:val="20"/>
              </w:rPr>
            </w:pPr>
            <w:r>
              <w:rPr>
                <w:sz w:val="20"/>
                <w:szCs w:val="20"/>
              </w:rPr>
              <w:t>Accelerated Filer</w:t>
            </w:r>
          </w:p>
        </w:tc>
        <w:tc>
          <w:tcPr>
            <w:tcW w:w="1000" w:type="pct"/>
            <w:vAlign w:val="center"/>
            <w:hideMark/>
          </w:tcPr>
          <w:p w14:paraId="248F82B9" w14:textId="77777777" w:rsidR="002B5D06" w:rsidRDefault="000B69DD">
            <w:pPr>
              <w:pStyle w:val="NormalWeb"/>
              <w:spacing w:before="0" w:beforeAutospacing="0" w:after="0" w:afterAutospacing="0"/>
              <w:jc w:val="both"/>
              <w:rPr>
                <w:sz w:val="20"/>
                <w:szCs w:val="20"/>
              </w:rPr>
            </w:pPr>
            <w:r>
              <w:rPr>
                <w:rFonts w:ascii="MS Gothic" w:eastAsia="MS Gothic" w:hAnsi="MS Gothic" w:cs="MS Gothic" w:hint="eastAsia"/>
                <w:sz w:val="20"/>
                <w:szCs w:val="20"/>
              </w:rPr>
              <w:t>☐</w:t>
            </w:r>
          </w:p>
        </w:tc>
      </w:tr>
      <w:tr w:rsidR="002B5D06" w14:paraId="05293D47" w14:textId="77777777">
        <w:trPr>
          <w:divId w:val="1684360448"/>
          <w:trHeight w:val="225"/>
          <w:jc w:val="center"/>
        </w:trPr>
        <w:tc>
          <w:tcPr>
            <w:tcW w:w="0" w:type="auto"/>
            <w:vAlign w:val="center"/>
            <w:hideMark/>
          </w:tcPr>
          <w:p w14:paraId="1EF85413" w14:textId="77777777" w:rsidR="002B5D06" w:rsidRDefault="000B69DD">
            <w:pPr>
              <w:pStyle w:val="NormalWeb"/>
              <w:spacing w:before="0" w:beforeAutospacing="0" w:after="0" w:afterAutospacing="0"/>
              <w:jc w:val="both"/>
              <w:rPr>
                <w:sz w:val="20"/>
                <w:szCs w:val="20"/>
              </w:rPr>
            </w:pPr>
            <w:r>
              <w:rPr>
                <w:sz w:val="20"/>
                <w:szCs w:val="20"/>
              </w:rPr>
              <w:t>Non-accelerated Filer</w:t>
            </w:r>
          </w:p>
        </w:tc>
        <w:tc>
          <w:tcPr>
            <w:tcW w:w="0" w:type="auto"/>
            <w:vAlign w:val="center"/>
            <w:hideMark/>
          </w:tcPr>
          <w:p w14:paraId="37BE2AE7" w14:textId="77777777" w:rsidR="002B5D06" w:rsidRDefault="000B69DD">
            <w:pPr>
              <w:pStyle w:val="NormalWeb"/>
              <w:spacing w:before="0" w:beforeAutospacing="0" w:after="0" w:afterAutospacing="0"/>
              <w:jc w:val="both"/>
              <w:rPr>
                <w:sz w:val="20"/>
                <w:szCs w:val="20"/>
              </w:rPr>
            </w:pPr>
            <w:r>
              <w:rPr>
                <w:rFonts w:ascii="MS Gothic" w:eastAsia="MS Gothic" w:hAnsi="MS Gothic" w:cs="MS Gothic" w:hint="eastAsia"/>
                <w:sz w:val="20"/>
                <w:szCs w:val="20"/>
              </w:rPr>
              <w:t>☒</w:t>
            </w:r>
          </w:p>
        </w:tc>
        <w:tc>
          <w:tcPr>
            <w:tcW w:w="0" w:type="auto"/>
            <w:vAlign w:val="center"/>
            <w:hideMark/>
          </w:tcPr>
          <w:p w14:paraId="1580BD22" w14:textId="77777777" w:rsidR="002B5D06" w:rsidRDefault="000B69DD">
            <w:pPr>
              <w:pStyle w:val="NormalWeb"/>
              <w:spacing w:before="0" w:beforeAutospacing="0" w:after="0" w:afterAutospacing="0"/>
              <w:jc w:val="both"/>
              <w:rPr>
                <w:sz w:val="20"/>
                <w:szCs w:val="20"/>
              </w:rPr>
            </w:pPr>
            <w:r>
              <w:rPr>
                <w:sz w:val="20"/>
                <w:szCs w:val="20"/>
              </w:rPr>
              <w:t>Smaller Reporting Company</w:t>
            </w:r>
          </w:p>
        </w:tc>
        <w:tc>
          <w:tcPr>
            <w:tcW w:w="0" w:type="auto"/>
            <w:vAlign w:val="center"/>
            <w:hideMark/>
          </w:tcPr>
          <w:p w14:paraId="06E47355" w14:textId="77777777" w:rsidR="002B5D06" w:rsidRDefault="000B69DD">
            <w:pPr>
              <w:pStyle w:val="NormalWeb"/>
              <w:spacing w:before="0" w:beforeAutospacing="0" w:after="0" w:afterAutospacing="0"/>
              <w:jc w:val="both"/>
              <w:rPr>
                <w:sz w:val="20"/>
                <w:szCs w:val="20"/>
              </w:rPr>
            </w:pPr>
            <w:r>
              <w:rPr>
                <w:rFonts w:ascii="MS Gothic" w:eastAsia="MS Gothic" w:hAnsi="MS Gothic" w:cs="MS Gothic" w:hint="eastAsia"/>
                <w:sz w:val="20"/>
                <w:szCs w:val="20"/>
              </w:rPr>
              <w:t>☒</w:t>
            </w:r>
          </w:p>
        </w:tc>
      </w:tr>
      <w:tr w:rsidR="002B5D06" w14:paraId="7B968DBA" w14:textId="77777777">
        <w:trPr>
          <w:divId w:val="1684360448"/>
          <w:trHeight w:val="225"/>
          <w:jc w:val="center"/>
        </w:trPr>
        <w:tc>
          <w:tcPr>
            <w:tcW w:w="0" w:type="auto"/>
            <w:vAlign w:val="center"/>
            <w:hideMark/>
          </w:tcPr>
          <w:p w14:paraId="1A208584" w14:textId="77777777" w:rsidR="002B5D06" w:rsidRDefault="000B69DD">
            <w:pPr>
              <w:pStyle w:val="NormalWeb"/>
              <w:spacing w:before="0" w:beforeAutospacing="0" w:after="0" w:afterAutospacing="0"/>
              <w:jc w:val="both"/>
              <w:rPr>
                <w:sz w:val="20"/>
                <w:szCs w:val="20"/>
              </w:rPr>
            </w:pPr>
            <w:r>
              <w:rPr>
                <w:sz w:val="20"/>
                <w:szCs w:val="20"/>
              </w:rPr>
              <w:t>Emerging Growth Company</w:t>
            </w:r>
          </w:p>
        </w:tc>
        <w:tc>
          <w:tcPr>
            <w:tcW w:w="0" w:type="auto"/>
            <w:vAlign w:val="center"/>
            <w:hideMark/>
          </w:tcPr>
          <w:p w14:paraId="6CAEDFAF" w14:textId="77777777" w:rsidR="002B5D06" w:rsidRDefault="000B69DD">
            <w:pPr>
              <w:pStyle w:val="NormalWeb"/>
              <w:spacing w:before="0" w:beforeAutospacing="0" w:after="0" w:afterAutospacing="0"/>
              <w:jc w:val="both"/>
              <w:rPr>
                <w:sz w:val="20"/>
                <w:szCs w:val="20"/>
              </w:rPr>
            </w:pPr>
            <w:r>
              <w:rPr>
                <w:rFonts w:ascii="MS Gothic" w:eastAsia="MS Gothic" w:hAnsi="MS Gothic" w:cs="MS Gothic" w:hint="eastAsia"/>
                <w:sz w:val="20"/>
                <w:szCs w:val="20"/>
              </w:rPr>
              <w:t>☐</w:t>
            </w:r>
          </w:p>
        </w:tc>
        <w:tc>
          <w:tcPr>
            <w:tcW w:w="0" w:type="auto"/>
            <w:vAlign w:val="center"/>
            <w:hideMark/>
          </w:tcPr>
          <w:p w14:paraId="0BC82866"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18C29338" w14:textId="77777777" w:rsidR="002B5D06" w:rsidRDefault="000B69DD">
            <w:pPr>
              <w:pStyle w:val="NormalWeb"/>
              <w:spacing w:before="0" w:beforeAutospacing="0" w:after="0" w:afterAutospacing="0"/>
              <w:jc w:val="both"/>
              <w:rPr>
                <w:sz w:val="20"/>
                <w:szCs w:val="20"/>
              </w:rPr>
            </w:pPr>
            <w:r>
              <w:rPr>
                <w:sz w:val="20"/>
                <w:szCs w:val="20"/>
              </w:rPr>
              <w:t> </w:t>
            </w:r>
          </w:p>
        </w:tc>
      </w:tr>
    </w:tbl>
    <w:p w14:paraId="59C81639"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C097A12" w14:textId="77777777" w:rsidR="002B5D06" w:rsidRDefault="000B69DD">
      <w:pPr>
        <w:pStyle w:val="NormalWeb"/>
        <w:spacing w:before="0" w:beforeAutospacing="0" w:after="0" w:afterAutospacing="0"/>
        <w:jc w:val="both"/>
        <w:divId w:val="1684360448"/>
        <w:rPr>
          <w:sz w:val="20"/>
          <w:szCs w:val="20"/>
        </w:rPr>
      </w:pPr>
      <w:r>
        <w:rPr>
          <w:sz w:val="20"/>
          <w:szCs w:val="20"/>
        </w:rPr>
        <w:t xml:space="preserve">If an emerging growth company, indicate by check mark if the registrant has elected not to use the extended transition period for complying with any new or revised financial accounting standards provided pursuant to Section 13(a) of the Exchange Act. </w:t>
      </w:r>
      <w:r>
        <w:rPr>
          <w:rFonts w:ascii="MS Gothic" w:eastAsia="MS Gothic" w:hAnsi="MS Gothic" w:cs="MS Gothic" w:hint="eastAsia"/>
          <w:sz w:val="20"/>
          <w:szCs w:val="20"/>
        </w:rPr>
        <w:t>☐</w:t>
      </w:r>
    </w:p>
    <w:p w14:paraId="429CFDEC"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BC62A77" w14:textId="77777777" w:rsidR="002B5D06" w:rsidRDefault="000B69DD">
      <w:pPr>
        <w:pStyle w:val="NormalWeb"/>
        <w:spacing w:before="0" w:beforeAutospacing="0" w:after="0" w:afterAutospacing="0"/>
        <w:divId w:val="1684360448"/>
        <w:rPr>
          <w:sz w:val="20"/>
          <w:szCs w:val="20"/>
        </w:rPr>
      </w:pPr>
      <w:r>
        <w:rPr>
          <w:sz w:val="20"/>
          <w:szCs w:val="20"/>
        </w:rPr>
        <w:t xml:space="preserve">Indicate by check mark whether the registrant has filed a report on and attestation to its management’s assessment of the effectiveness of its internal control over financial reporting under Section 404(b) of the Sarbanes-Oxley Act (15 U.S.C. 7262(b)) by the registered public accounting firm that prepared or issued its audit report. Yes </w:t>
      </w:r>
      <w:r>
        <w:rPr>
          <w:rFonts w:ascii="MS Gothic" w:eastAsia="MS Gothic" w:hAnsi="MS Gothic" w:cs="MS Gothic" w:hint="eastAsia"/>
          <w:sz w:val="20"/>
          <w:szCs w:val="20"/>
        </w:rPr>
        <w:t>☐</w:t>
      </w:r>
      <w:r>
        <w:rPr>
          <w:sz w:val="20"/>
          <w:szCs w:val="20"/>
        </w:rPr>
        <w:t>   No </w:t>
      </w:r>
      <w:r>
        <w:rPr>
          <w:rFonts w:ascii="MS Gothic" w:eastAsia="MS Gothic" w:hAnsi="MS Gothic" w:cs="MS Gothic" w:hint="eastAsia"/>
          <w:sz w:val="20"/>
          <w:szCs w:val="20"/>
        </w:rPr>
        <w:t>☒</w:t>
      </w:r>
    </w:p>
    <w:p w14:paraId="1C57E801" w14:textId="77777777" w:rsidR="002B5D06" w:rsidRDefault="000B69DD">
      <w:pPr>
        <w:pStyle w:val="NormalWeb"/>
        <w:spacing w:before="0" w:beforeAutospacing="0" w:after="0" w:afterAutospacing="0"/>
        <w:divId w:val="1684360448"/>
        <w:rPr>
          <w:sz w:val="20"/>
          <w:szCs w:val="20"/>
        </w:rPr>
      </w:pPr>
      <w:r>
        <w:rPr>
          <w:sz w:val="20"/>
          <w:szCs w:val="20"/>
        </w:rPr>
        <w:t> </w:t>
      </w:r>
    </w:p>
    <w:p w14:paraId="736C40DB" w14:textId="77777777" w:rsidR="002B5D06" w:rsidRDefault="000B69DD">
      <w:pPr>
        <w:pStyle w:val="NormalWeb"/>
        <w:spacing w:before="0" w:beforeAutospacing="0" w:after="0" w:afterAutospacing="0"/>
        <w:divId w:val="1684360448"/>
        <w:rPr>
          <w:sz w:val="20"/>
          <w:szCs w:val="20"/>
        </w:rPr>
      </w:pPr>
      <w:r>
        <w:rPr>
          <w:sz w:val="20"/>
          <w:szCs w:val="20"/>
        </w:rPr>
        <w:t>If securities are registered pursuant to Section 12(b) of the Act, indicate by check mark whether the financial statements of the registrant included in the filing reflect the correction of an error to previously issued financial statements. </w:t>
      </w:r>
      <w:r>
        <w:rPr>
          <w:rFonts w:ascii="MS Gothic" w:eastAsia="MS Gothic" w:hAnsi="MS Gothic" w:cs="MS Gothic" w:hint="eastAsia"/>
          <w:sz w:val="20"/>
          <w:szCs w:val="20"/>
        </w:rPr>
        <w:t>☐</w:t>
      </w:r>
    </w:p>
    <w:p w14:paraId="1B01113D" w14:textId="77777777" w:rsidR="002B5D06" w:rsidRDefault="000B69DD">
      <w:pPr>
        <w:pStyle w:val="NormalWeb"/>
        <w:spacing w:before="0" w:beforeAutospacing="0" w:after="0" w:afterAutospacing="0"/>
        <w:divId w:val="1684360448"/>
        <w:rPr>
          <w:sz w:val="20"/>
          <w:szCs w:val="20"/>
        </w:rPr>
      </w:pPr>
      <w:r>
        <w:rPr>
          <w:sz w:val="20"/>
          <w:szCs w:val="20"/>
        </w:rPr>
        <w:t> </w:t>
      </w:r>
    </w:p>
    <w:p w14:paraId="12FF186C" w14:textId="77777777" w:rsidR="002B5D06" w:rsidRDefault="000B69DD">
      <w:pPr>
        <w:pStyle w:val="NormalWeb"/>
        <w:spacing w:before="0" w:beforeAutospacing="0" w:after="0" w:afterAutospacing="0"/>
        <w:divId w:val="1684360448"/>
        <w:rPr>
          <w:sz w:val="20"/>
          <w:szCs w:val="20"/>
        </w:rPr>
      </w:pPr>
      <w:r>
        <w:rPr>
          <w:sz w:val="20"/>
          <w:szCs w:val="20"/>
        </w:rPr>
        <w:t xml:space="preserve">Indicate by check mark whether any of those error corrections are restatements that required a recovery analysis of incentive-based compensation received by any of the registrant’s executive officers during the relevant recovery period pursuant to §240.10D-1(b). </w:t>
      </w:r>
      <w:r>
        <w:rPr>
          <w:rFonts w:ascii="MS Gothic" w:eastAsia="MS Gothic" w:hAnsi="MS Gothic" w:cs="MS Gothic" w:hint="eastAsia"/>
          <w:sz w:val="20"/>
          <w:szCs w:val="20"/>
        </w:rPr>
        <w:t>☐</w:t>
      </w:r>
    </w:p>
    <w:p w14:paraId="5F5890BE" w14:textId="77777777" w:rsidR="002B5D06" w:rsidRDefault="000B69DD">
      <w:pPr>
        <w:pStyle w:val="NormalWeb"/>
        <w:spacing w:before="0" w:beforeAutospacing="0" w:after="0" w:afterAutospacing="0"/>
        <w:divId w:val="1684360448"/>
        <w:rPr>
          <w:sz w:val="20"/>
          <w:szCs w:val="20"/>
        </w:rPr>
      </w:pPr>
      <w:r>
        <w:rPr>
          <w:sz w:val="20"/>
          <w:szCs w:val="20"/>
        </w:rPr>
        <w:t> </w:t>
      </w:r>
    </w:p>
    <w:p w14:paraId="63B5BAFD" w14:textId="77777777" w:rsidR="002B5D06" w:rsidRDefault="000B69DD">
      <w:pPr>
        <w:pStyle w:val="NormalWeb"/>
        <w:spacing w:before="0" w:beforeAutospacing="0" w:after="0" w:afterAutospacing="0"/>
        <w:jc w:val="both"/>
        <w:divId w:val="1684360448"/>
        <w:rPr>
          <w:sz w:val="20"/>
          <w:szCs w:val="20"/>
        </w:rPr>
      </w:pPr>
      <w:r>
        <w:rPr>
          <w:sz w:val="20"/>
          <w:szCs w:val="20"/>
        </w:rPr>
        <w:t xml:space="preserve">Indicate by check mark whether the registrant is a shell company (as defined in Rule 12b-2 of the Exchange Act. Yes </w:t>
      </w:r>
      <w:r>
        <w:rPr>
          <w:rFonts w:ascii="MS Gothic" w:eastAsia="MS Gothic" w:hAnsi="MS Gothic" w:cs="MS Gothic" w:hint="eastAsia"/>
          <w:sz w:val="20"/>
          <w:szCs w:val="20"/>
        </w:rPr>
        <w:t>☐</w:t>
      </w:r>
      <w:r>
        <w:rPr>
          <w:sz w:val="20"/>
          <w:szCs w:val="20"/>
        </w:rPr>
        <w:t xml:space="preserve">   No </w:t>
      </w:r>
      <w:r>
        <w:rPr>
          <w:rFonts w:ascii="MS Gothic" w:eastAsia="MS Gothic" w:hAnsi="MS Gothic" w:cs="MS Gothic" w:hint="eastAsia"/>
          <w:sz w:val="20"/>
          <w:szCs w:val="20"/>
        </w:rPr>
        <w:t>☒</w:t>
      </w:r>
    </w:p>
    <w:p w14:paraId="4DD36050"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122C630" w14:textId="77777777" w:rsidR="002B5D06" w:rsidRDefault="000B69DD">
      <w:pPr>
        <w:pStyle w:val="NormalWeb"/>
        <w:spacing w:before="0" w:beforeAutospacing="0" w:after="0" w:afterAutospacing="0"/>
        <w:jc w:val="both"/>
        <w:divId w:val="1684360448"/>
        <w:rPr>
          <w:sz w:val="20"/>
          <w:szCs w:val="20"/>
        </w:rPr>
      </w:pPr>
      <w:r>
        <w:rPr>
          <w:sz w:val="20"/>
          <w:szCs w:val="20"/>
        </w:rPr>
        <w:t xml:space="preserve">The aggregate market value of Common Stock at December 31, 2024 held by non-affiliates approximated $88,628 based upon the average bid and asked prices for a share of Common Stock on that date. </w:t>
      </w:r>
    </w:p>
    <w:p w14:paraId="6E19F334"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49414F0" w14:textId="77777777" w:rsidR="002B5D06" w:rsidRDefault="000B69DD">
      <w:pPr>
        <w:pStyle w:val="NormalWeb"/>
        <w:spacing w:before="0" w:beforeAutospacing="0" w:after="0" w:afterAutospacing="0"/>
        <w:jc w:val="both"/>
        <w:divId w:val="1684360448"/>
        <w:rPr>
          <w:sz w:val="20"/>
          <w:szCs w:val="20"/>
        </w:rPr>
      </w:pPr>
      <w:r>
        <w:rPr>
          <w:sz w:val="20"/>
          <w:szCs w:val="20"/>
        </w:rPr>
        <w:t>As of September 11, 2025, there were 3,292,945 issued and outstanding shares of the registrant’s Common Stock, $0.01 par value.</w:t>
      </w:r>
    </w:p>
    <w:p w14:paraId="6FF42F8C"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05D11183" w14:textId="77777777" w:rsidR="002B5D06" w:rsidRDefault="000B69DD">
      <w:pPr>
        <w:pStyle w:val="NormalWeb"/>
        <w:spacing w:before="0" w:beforeAutospacing="0" w:after="0" w:afterAutospacing="0"/>
        <w:jc w:val="both"/>
        <w:divId w:val="1684360448"/>
        <w:rPr>
          <w:sz w:val="20"/>
          <w:szCs w:val="20"/>
        </w:rPr>
      </w:pPr>
      <w:r>
        <w:rPr>
          <w:sz w:val="20"/>
          <w:szCs w:val="20"/>
        </w:rPr>
        <w:t>Documents incorporated by reference: None.</w:t>
      </w:r>
    </w:p>
    <w:p w14:paraId="4099879C" w14:textId="77777777" w:rsidR="002B5D06" w:rsidRDefault="000B69DD">
      <w:pPr>
        <w:pStyle w:val="NormalWeb"/>
        <w:spacing w:before="0" w:beforeAutospacing="0" w:after="0" w:afterAutospacing="0"/>
        <w:divId w:val="1684360448"/>
        <w:rPr>
          <w:sz w:val="20"/>
          <w:szCs w:val="20"/>
        </w:rPr>
      </w:pPr>
      <w:r>
        <w:rPr>
          <w:sz w:val="20"/>
          <w:szCs w:val="20"/>
        </w:rPr>
        <w:t> </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2B5D06" w14:paraId="236BD522" w14:textId="77777777">
        <w:trPr>
          <w:divId w:val="1684360448"/>
          <w:tblCellSpacing w:w="15" w:type="dxa"/>
          <w:jc w:val="center"/>
        </w:trPr>
        <w:tc>
          <w:tcPr>
            <w:tcW w:w="0" w:type="auto"/>
            <w:tcBorders>
              <w:bottom w:val="single" w:sz="12" w:space="0" w:color="auto"/>
            </w:tcBorders>
            <w:vAlign w:val="center"/>
            <w:hideMark/>
          </w:tcPr>
          <w:p w14:paraId="5CF44E47" w14:textId="77777777" w:rsidR="002B5D06" w:rsidRDefault="002B5D06">
            <w:pPr>
              <w:rPr>
                <w:rFonts w:eastAsia="Times New Roman"/>
                <w:sz w:val="2"/>
                <w:szCs w:val="2"/>
              </w:rPr>
            </w:pPr>
          </w:p>
        </w:tc>
      </w:tr>
      <w:tr w:rsidR="002B5D06" w14:paraId="6E1A96E1" w14:textId="77777777">
        <w:trPr>
          <w:divId w:val="1684360448"/>
          <w:tblCellSpacing w:w="15" w:type="dxa"/>
          <w:jc w:val="center"/>
        </w:trPr>
        <w:tc>
          <w:tcPr>
            <w:tcW w:w="0" w:type="auto"/>
            <w:tcBorders>
              <w:bottom w:val="single" w:sz="36" w:space="0" w:color="auto"/>
            </w:tcBorders>
            <w:vAlign w:val="center"/>
            <w:hideMark/>
          </w:tcPr>
          <w:p w14:paraId="7ADC3CEF" w14:textId="77777777" w:rsidR="002B5D06" w:rsidRDefault="002B5D06">
            <w:pPr>
              <w:rPr>
                <w:rFonts w:eastAsia="Times New Roman"/>
                <w:sz w:val="2"/>
                <w:szCs w:val="2"/>
              </w:rPr>
            </w:pPr>
          </w:p>
        </w:tc>
      </w:tr>
    </w:tbl>
    <w:p w14:paraId="0D1B31E6" w14:textId="77777777" w:rsidR="002B5D06" w:rsidRDefault="002B5D06">
      <w:pPr>
        <w:divId w:val="1684360448"/>
        <w:rPr>
          <w:rFonts w:eastAsia="Times New Roman"/>
          <w:vanish/>
        </w:rPr>
      </w:pP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67FC5DDF" w14:textId="77777777">
        <w:trPr>
          <w:divId w:val="1684360448"/>
          <w:trHeight w:val="225"/>
          <w:tblCellSpacing w:w="15" w:type="dxa"/>
          <w:jc w:val="center"/>
        </w:trPr>
        <w:tc>
          <w:tcPr>
            <w:tcW w:w="0" w:type="auto"/>
            <w:vAlign w:val="center"/>
            <w:hideMark/>
          </w:tcPr>
          <w:p w14:paraId="6755F747" w14:textId="77777777" w:rsidR="002B5D06" w:rsidRDefault="000B69DD">
            <w:pPr>
              <w:rPr>
                <w:rFonts w:eastAsia="Times New Roman"/>
                <w:sz w:val="20"/>
                <w:szCs w:val="20"/>
              </w:rPr>
            </w:pPr>
            <w:r>
              <w:rPr>
                <w:rFonts w:eastAsia="Times New Roman"/>
                <w:sz w:val="20"/>
                <w:szCs w:val="20"/>
              </w:rPr>
              <w:t> </w:t>
            </w:r>
          </w:p>
        </w:tc>
      </w:tr>
      <w:tr w:rsidR="002B5D06" w14:paraId="323E31BB" w14:textId="77777777">
        <w:trPr>
          <w:divId w:val="1684360448"/>
          <w:trHeight w:val="225"/>
          <w:tblCellSpacing w:w="15" w:type="dxa"/>
          <w:jc w:val="center"/>
        </w:trPr>
        <w:tc>
          <w:tcPr>
            <w:tcW w:w="0" w:type="auto"/>
            <w:vAlign w:val="center"/>
            <w:hideMark/>
          </w:tcPr>
          <w:p w14:paraId="57AA103F" w14:textId="77777777" w:rsidR="002B5D06" w:rsidRDefault="002B5D06">
            <w:pPr>
              <w:rPr>
                <w:rFonts w:eastAsia="Times New Roman"/>
                <w:sz w:val="20"/>
                <w:szCs w:val="20"/>
              </w:rPr>
            </w:pPr>
          </w:p>
        </w:tc>
      </w:tr>
      <w:tr w:rsidR="002B5D06" w14:paraId="7389D758" w14:textId="77777777">
        <w:trPr>
          <w:divId w:val="1684360448"/>
          <w:trHeight w:val="225"/>
          <w:tblCellSpacing w:w="15" w:type="dxa"/>
          <w:jc w:val="center"/>
        </w:trPr>
        <w:tc>
          <w:tcPr>
            <w:tcW w:w="0" w:type="auto"/>
            <w:vAlign w:val="center"/>
            <w:hideMark/>
          </w:tcPr>
          <w:p w14:paraId="17069B8B" w14:textId="77777777" w:rsidR="002B5D06" w:rsidRDefault="002B5D06">
            <w:pPr>
              <w:rPr>
                <w:rFonts w:eastAsia="Times New Roman"/>
                <w:sz w:val="20"/>
                <w:szCs w:val="20"/>
              </w:rPr>
            </w:pPr>
          </w:p>
        </w:tc>
      </w:tr>
      <w:tr w:rsidR="002B5D06" w14:paraId="38EB3CE8" w14:textId="77777777">
        <w:trPr>
          <w:divId w:val="1684360448"/>
          <w:trHeight w:val="225"/>
          <w:tblCellSpacing w:w="15" w:type="dxa"/>
          <w:jc w:val="center"/>
        </w:trPr>
        <w:tc>
          <w:tcPr>
            <w:tcW w:w="0" w:type="auto"/>
            <w:vAlign w:val="center"/>
            <w:hideMark/>
          </w:tcPr>
          <w:p w14:paraId="0A173F7C" w14:textId="77777777" w:rsidR="002B5D06" w:rsidRDefault="002B5D06">
            <w:pPr>
              <w:rPr>
                <w:rFonts w:eastAsia="Times New Roman"/>
                <w:sz w:val="20"/>
                <w:szCs w:val="20"/>
              </w:rPr>
            </w:pPr>
          </w:p>
        </w:tc>
      </w:tr>
    </w:tbl>
    <w:p w14:paraId="338C6759" w14:textId="77777777" w:rsidR="002B5D06" w:rsidRDefault="000B69DD">
      <w:pPr>
        <w:divId w:val="1684360448"/>
        <w:rPr>
          <w:rFonts w:eastAsia="Times New Roman"/>
        </w:rPr>
      </w:pPr>
      <w:r>
        <w:rPr>
          <w:rFonts w:eastAsia="Times New Roman"/>
        </w:rPr>
        <w:br w:type="page"/>
        <w:t xml:space="preserve">  </w:t>
      </w:r>
    </w:p>
    <w:p w14:paraId="2C659DB8" w14:textId="77777777" w:rsidR="002B5D06" w:rsidRDefault="000B69DD">
      <w:pPr>
        <w:pStyle w:val="NormalWeb"/>
        <w:spacing w:before="0" w:beforeAutospacing="0" w:after="0" w:afterAutospacing="0"/>
        <w:divId w:val="1684360448"/>
        <w:rPr>
          <w:sz w:val="20"/>
          <w:szCs w:val="20"/>
        </w:rPr>
      </w:pPr>
      <w:r>
        <w:rPr>
          <w:sz w:val="20"/>
          <w:szCs w:val="20"/>
        </w:rPr>
        <w:t> </w:t>
      </w:r>
    </w:p>
    <w:p w14:paraId="51607442" w14:textId="77777777" w:rsidR="002B5D06" w:rsidRDefault="000B69DD">
      <w:pPr>
        <w:pStyle w:val="NormalWeb"/>
        <w:spacing w:before="0" w:beforeAutospacing="0" w:after="0" w:afterAutospacing="0"/>
        <w:jc w:val="center"/>
        <w:divId w:val="1684360448"/>
        <w:rPr>
          <w:sz w:val="20"/>
          <w:szCs w:val="20"/>
        </w:rPr>
      </w:pPr>
      <w:r>
        <w:rPr>
          <w:rStyle w:val="atag"/>
          <w:b/>
          <w:bCs/>
          <w:sz w:val="20"/>
          <w:szCs w:val="20"/>
        </w:rPr>
        <w:t>TABLE OF CONTENTS</w:t>
      </w:r>
    </w:p>
    <w:p w14:paraId="7C58EEB3" w14:textId="77777777" w:rsidR="002B5D06" w:rsidRDefault="000B69DD">
      <w:pPr>
        <w:pStyle w:val="NormalWeb"/>
        <w:spacing w:before="0" w:beforeAutospacing="0" w:after="0" w:afterAutospacing="0"/>
        <w:jc w:val="center"/>
        <w:divId w:val="1684360448"/>
        <w:rPr>
          <w:sz w:val="20"/>
          <w:szCs w:val="20"/>
        </w:rPr>
      </w:pPr>
      <w:r>
        <w:rPr>
          <w:rStyle w:val="Strong"/>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871"/>
        <w:gridCol w:w="7374"/>
        <w:gridCol w:w="122"/>
        <w:gridCol w:w="856"/>
        <w:gridCol w:w="137"/>
      </w:tblGrid>
      <w:tr w:rsidR="002B5D06" w14:paraId="681C7DB2" w14:textId="77777777">
        <w:trPr>
          <w:divId w:val="1684360448"/>
          <w:trHeight w:val="225"/>
          <w:tblCellSpacing w:w="15" w:type="dxa"/>
          <w:jc w:val="center"/>
        </w:trPr>
        <w:tc>
          <w:tcPr>
            <w:tcW w:w="0" w:type="auto"/>
            <w:vAlign w:val="center"/>
            <w:hideMark/>
          </w:tcPr>
          <w:p w14:paraId="7ACA4A5A"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3D934C51" w14:textId="77777777" w:rsidR="002B5D06" w:rsidRDefault="000B69DD">
            <w:pPr>
              <w:pStyle w:val="NormalWeb"/>
              <w:spacing w:before="0" w:beforeAutospacing="0" w:after="0" w:afterAutospacing="0"/>
              <w:rPr>
                <w:sz w:val="20"/>
                <w:szCs w:val="20"/>
              </w:rPr>
            </w:pPr>
            <w:r>
              <w:rPr>
                <w:sz w:val="20"/>
                <w:szCs w:val="20"/>
              </w:rPr>
              <w:t> </w:t>
            </w:r>
          </w:p>
        </w:tc>
        <w:tc>
          <w:tcPr>
            <w:tcW w:w="0" w:type="auto"/>
            <w:gridSpan w:val="2"/>
            <w:tcBorders>
              <w:bottom w:val="single" w:sz="6" w:space="0" w:color="auto"/>
            </w:tcBorders>
            <w:vAlign w:val="bottom"/>
            <w:hideMark/>
          </w:tcPr>
          <w:p w14:paraId="56E38F60" w14:textId="77777777" w:rsidR="002B5D06" w:rsidRDefault="000B69DD">
            <w:pPr>
              <w:pStyle w:val="NormalWeb"/>
              <w:spacing w:before="0" w:beforeAutospacing="0" w:after="0" w:afterAutospacing="0"/>
              <w:jc w:val="center"/>
              <w:rPr>
                <w:sz w:val="20"/>
                <w:szCs w:val="20"/>
              </w:rPr>
            </w:pPr>
            <w:r>
              <w:rPr>
                <w:rStyle w:val="Strong"/>
                <w:sz w:val="20"/>
                <w:szCs w:val="20"/>
              </w:rPr>
              <w:t>Page</w:t>
            </w:r>
          </w:p>
        </w:tc>
        <w:tc>
          <w:tcPr>
            <w:tcW w:w="0" w:type="auto"/>
            <w:vAlign w:val="center"/>
            <w:hideMark/>
          </w:tcPr>
          <w:p w14:paraId="73002871" w14:textId="77777777" w:rsidR="002B5D06" w:rsidRDefault="000B69DD">
            <w:pPr>
              <w:pStyle w:val="NormalWeb"/>
              <w:spacing w:before="0" w:beforeAutospacing="0" w:after="0" w:afterAutospacing="0"/>
              <w:rPr>
                <w:sz w:val="20"/>
                <w:szCs w:val="20"/>
              </w:rPr>
            </w:pPr>
            <w:r>
              <w:rPr>
                <w:sz w:val="20"/>
                <w:szCs w:val="20"/>
              </w:rPr>
              <w:t> </w:t>
            </w:r>
          </w:p>
        </w:tc>
      </w:tr>
      <w:tr w:rsidR="002B5D06" w14:paraId="0F7369A8" w14:textId="77777777">
        <w:trPr>
          <w:divId w:val="1684360448"/>
          <w:trHeight w:val="225"/>
          <w:tblCellSpacing w:w="15" w:type="dxa"/>
          <w:jc w:val="center"/>
        </w:trPr>
        <w:tc>
          <w:tcPr>
            <w:tcW w:w="0" w:type="auto"/>
            <w:vAlign w:val="bottom"/>
            <w:hideMark/>
          </w:tcPr>
          <w:p w14:paraId="280EFF3D" w14:textId="77777777" w:rsidR="002B5D06" w:rsidRDefault="000B69DD">
            <w:pPr>
              <w:pStyle w:val="NormalWeb"/>
              <w:spacing w:before="0" w:beforeAutospacing="0" w:after="0" w:afterAutospacing="0"/>
              <w:jc w:val="both"/>
              <w:rPr>
                <w:sz w:val="20"/>
                <w:szCs w:val="20"/>
              </w:rPr>
            </w:pPr>
            <w:hyperlink w:anchor="P1" w:history="1">
              <w:r>
                <w:rPr>
                  <w:rStyle w:val="Hyperlink"/>
                  <w:b/>
                  <w:bCs/>
                  <w:sz w:val="20"/>
                  <w:szCs w:val="20"/>
                </w:rPr>
                <w:t>PART I</w:t>
              </w:r>
            </w:hyperlink>
          </w:p>
        </w:tc>
        <w:tc>
          <w:tcPr>
            <w:tcW w:w="0" w:type="auto"/>
            <w:vAlign w:val="center"/>
            <w:hideMark/>
          </w:tcPr>
          <w:p w14:paraId="62629E60" w14:textId="77777777" w:rsidR="002B5D06" w:rsidRDefault="000B69DD">
            <w:pPr>
              <w:pStyle w:val="NormalWeb"/>
              <w:spacing w:before="0" w:beforeAutospacing="0" w:after="0" w:afterAutospacing="0"/>
              <w:rPr>
                <w:sz w:val="20"/>
                <w:szCs w:val="20"/>
              </w:rPr>
            </w:pPr>
            <w:r>
              <w:rPr>
                <w:sz w:val="20"/>
                <w:szCs w:val="20"/>
              </w:rPr>
              <w:t> </w:t>
            </w:r>
          </w:p>
        </w:tc>
        <w:tc>
          <w:tcPr>
            <w:tcW w:w="0" w:type="auto"/>
            <w:gridSpan w:val="2"/>
            <w:vAlign w:val="center"/>
            <w:hideMark/>
          </w:tcPr>
          <w:p w14:paraId="7C62B332"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71817BB3" w14:textId="77777777" w:rsidR="002B5D06" w:rsidRDefault="000B69DD">
            <w:pPr>
              <w:pStyle w:val="NormalWeb"/>
              <w:spacing w:before="0" w:beforeAutospacing="0" w:after="0" w:afterAutospacing="0"/>
              <w:rPr>
                <w:sz w:val="20"/>
                <w:szCs w:val="20"/>
              </w:rPr>
            </w:pPr>
            <w:r>
              <w:rPr>
                <w:sz w:val="20"/>
                <w:szCs w:val="20"/>
              </w:rPr>
              <w:t> </w:t>
            </w:r>
          </w:p>
        </w:tc>
      </w:tr>
      <w:tr w:rsidR="002B5D06" w14:paraId="4A61C040" w14:textId="77777777">
        <w:trPr>
          <w:divId w:val="1684360448"/>
          <w:trHeight w:val="225"/>
          <w:tblCellSpacing w:w="15" w:type="dxa"/>
          <w:jc w:val="center"/>
        </w:trPr>
        <w:tc>
          <w:tcPr>
            <w:tcW w:w="450" w:type="pct"/>
            <w:shd w:val="clear" w:color="auto" w:fill="CCEEFF"/>
            <w:vAlign w:val="bottom"/>
            <w:hideMark/>
          </w:tcPr>
          <w:p w14:paraId="59A90D99" w14:textId="77777777" w:rsidR="002B5D06" w:rsidRDefault="000B69DD">
            <w:pPr>
              <w:pStyle w:val="NormalWeb"/>
              <w:spacing w:before="0" w:beforeAutospacing="0" w:after="0" w:afterAutospacing="0"/>
              <w:jc w:val="both"/>
              <w:rPr>
                <w:sz w:val="20"/>
                <w:szCs w:val="20"/>
              </w:rPr>
            </w:pPr>
            <w:hyperlink w:anchor="I1" w:history="1">
              <w:r>
                <w:rPr>
                  <w:rStyle w:val="Hyperlink"/>
                  <w:sz w:val="20"/>
                  <w:szCs w:val="20"/>
                </w:rPr>
                <w:t>ITEM 1.</w:t>
              </w:r>
            </w:hyperlink>
          </w:p>
        </w:tc>
        <w:tc>
          <w:tcPr>
            <w:tcW w:w="0" w:type="auto"/>
            <w:shd w:val="clear" w:color="auto" w:fill="CCEEFF"/>
            <w:vAlign w:val="bottom"/>
            <w:hideMark/>
          </w:tcPr>
          <w:p w14:paraId="457B8FEE" w14:textId="77777777" w:rsidR="002B5D06" w:rsidRDefault="000B69DD">
            <w:pPr>
              <w:pStyle w:val="NormalWeb"/>
              <w:spacing w:before="0" w:beforeAutospacing="0" w:after="0" w:afterAutospacing="0"/>
              <w:jc w:val="both"/>
              <w:rPr>
                <w:sz w:val="20"/>
                <w:szCs w:val="20"/>
              </w:rPr>
            </w:pPr>
            <w:hyperlink w:anchor="I1" w:history="1">
              <w:r>
                <w:rPr>
                  <w:rStyle w:val="Hyperlink"/>
                  <w:sz w:val="20"/>
                  <w:szCs w:val="20"/>
                </w:rPr>
                <w:t>Business</w:t>
              </w:r>
            </w:hyperlink>
          </w:p>
        </w:tc>
        <w:tc>
          <w:tcPr>
            <w:tcW w:w="50" w:type="pct"/>
            <w:shd w:val="clear" w:color="auto" w:fill="CCEEFF"/>
            <w:vAlign w:val="center"/>
            <w:hideMark/>
          </w:tcPr>
          <w:p w14:paraId="304D8623"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291FBD0A" w14:textId="77777777" w:rsidR="002B5D06" w:rsidRDefault="000B69DD">
            <w:pPr>
              <w:pStyle w:val="NormalWeb"/>
              <w:spacing w:before="0" w:beforeAutospacing="0" w:after="0" w:afterAutospacing="0"/>
              <w:jc w:val="right"/>
              <w:rPr>
                <w:sz w:val="20"/>
                <w:szCs w:val="20"/>
              </w:rPr>
            </w:pPr>
            <w:r>
              <w:rPr>
                <w:sz w:val="20"/>
                <w:szCs w:val="20"/>
              </w:rPr>
              <w:t>3</w:t>
            </w:r>
          </w:p>
        </w:tc>
        <w:tc>
          <w:tcPr>
            <w:tcW w:w="50" w:type="pct"/>
            <w:shd w:val="clear" w:color="auto" w:fill="CCEEFF"/>
            <w:vAlign w:val="center"/>
            <w:hideMark/>
          </w:tcPr>
          <w:p w14:paraId="41A3F7AF" w14:textId="77777777" w:rsidR="002B5D06" w:rsidRDefault="000B69DD">
            <w:pPr>
              <w:pStyle w:val="NormalWeb"/>
              <w:spacing w:before="0" w:beforeAutospacing="0" w:after="0" w:afterAutospacing="0"/>
              <w:rPr>
                <w:sz w:val="20"/>
                <w:szCs w:val="20"/>
              </w:rPr>
            </w:pPr>
            <w:r>
              <w:rPr>
                <w:sz w:val="20"/>
                <w:szCs w:val="20"/>
              </w:rPr>
              <w:t> </w:t>
            </w:r>
          </w:p>
        </w:tc>
      </w:tr>
      <w:tr w:rsidR="002B5D06" w14:paraId="3DD67368" w14:textId="77777777">
        <w:trPr>
          <w:divId w:val="1684360448"/>
          <w:trHeight w:val="225"/>
          <w:tblCellSpacing w:w="15" w:type="dxa"/>
          <w:jc w:val="center"/>
        </w:trPr>
        <w:tc>
          <w:tcPr>
            <w:tcW w:w="0" w:type="auto"/>
            <w:shd w:val="clear" w:color="auto" w:fill="FFFFFF"/>
            <w:vAlign w:val="bottom"/>
            <w:hideMark/>
          </w:tcPr>
          <w:p w14:paraId="231942A0" w14:textId="77777777" w:rsidR="002B5D06" w:rsidRDefault="000B69DD">
            <w:pPr>
              <w:pStyle w:val="NormalWeb"/>
              <w:spacing w:before="0" w:beforeAutospacing="0" w:after="0" w:afterAutospacing="0"/>
              <w:jc w:val="both"/>
              <w:rPr>
                <w:sz w:val="20"/>
                <w:szCs w:val="20"/>
              </w:rPr>
            </w:pPr>
            <w:hyperlink w:anchor="I1A" w:history="1">
              <w:r>
                <w:rPr>
                  <w:rStyle w:val="Hyperlink"/>
                  <w:sz w:val="20"/>
                  <w:szCs w:val="20"/>
                </w:rPr>
                <w:t>ITEM 1A.</w:t>
              </w:r>
            </w:hyperlink>
          </w:p>
        </w:tc>
        <w:tc>
          <w:tcPr>
            <w:tcW w:w="0" w:type="auto"/>
            <w:shd w:val="clear" w:color="auto" w:fill="FFFFFF"/>
            <w:vAlign w:val="bottom"/>
            <w:hideMark/>
          </w:tcPr>
          <w:p w14:paraId="1B1DB2C5" w14:textId="77777777" w:rsidR="002B5D06" w:rsidRDefault="000B69DD">
            <w:pPr>
              <w:pStyle w:val="NormalWeb"/>
              <w:spacing w:before="0" w:beforeAutospacing="0" w:after="0" w:afterAutospacing="0"/>
              <w:jc w:val="both"/>
              <w:rPr>
                <w:sz w:val="20"/>
                <w:szCs w:val="20"/>
              </w:rPr>
            </w:pPr>
            <w:hyperlink w:anchor="I1A" w:history="1">
              <w:r>
                <w:rPr>
                  <w:rStyle w:val="Hyperlink"/>
                  <w:sz w:val="20"/>
                  <w:szCs w:val="20"/>
                </w:rPr>
                <w:t>Risk Factors</w:t>
              </w:r>
            </w:hyperlink>
          </w:p>
        </w:tc>
        <w:tc>
          <w:tcPr>
            <w:tcW w:w="0" w:type="auto"/>
            <w:shd w:val="clear" w:color="auto" w:fill="FFFFFF"/>
            <w:vAlign w:val="center"/>
            <w:hideMark/>
          </w:tcPr>
          <w:p w14:paraId="5D5FDD59"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bottom"/>
            <w:hideMark/>
          </w:tcPr>
          <w:p w14:paraId="41BB787F" w14:textId="77777777" w:rsidR="002B5D06" w:rsidRDefault="000B69DD">
            <w:pPr>
              <w:pStyle w:val="NormalWeb"/>
              <w:spacing w:before="0" w:beforeAutospacing="0" w:after="0" w:afterAutospacing="0"/>
              <w:jc w:val="right"/>
              <w:rPr>
                <w:sz w:val="20"/>
                <w:szCs w:val="20"/>
              </w:rPr>
            </w:pPr>
            <w:r>
              <w:rPr>
                <w:sz w:val="20"/>
                <w:szCs w:val="20"/>
              </w:rPr>
              <w:t>7</w:t>
            </w:r>
          </w:p>
        </w:tc>
        <w:tc>
          <w:tcPr>
            <w:tcW w:w="0" w:type="auto"/>
            <w:shd w:val="clear" w:color="auto" w:fill="FFFFFF"/>
            <w:vAlign w:val="center"/>
            <w:hideMark/>
          </w:tcPr>
          <w:p w14:paraId="500A7FD2" w14:textId="77777777" w:rsidR="002B5D06" w:rsidRDefault="000B69DD">
            <w:pPr>
              <w:pStyle w:val="NormalWeb"/>
              <w:spacing w:before="0" w:beforeAutospacing="0" w:after="0" w:afterAutospacing="0"/>
              <w:rPr>
                <w:sz w:val="20"/>
                <w:szCs w:val="20"/>
              </w:rPr>
            </w:pPr>
            <w:r>
              <w:rPr>
                <w:sz w:val="20"/>
                <w:szCs w:val="20"/>
              </w:rPr>
              <w:t> </w:t>
            </w:r>
          </w:p>
        </w:tc>
      </w:tr>
      <w:tr w:rsidR="002B5D06" w14:paraId="0C3704EB" w14:textId="77777777">
        <w:trPr>
          <w:divId w:val="1684360448"/>
          <w:trHeight w:val="225"/>
          <w:tblCellSpacing w:w="15" w:type="dxa"/>
          <w:jc w:val="center"/>
        </w:trPr>
        <w:tc>
          <w:tcPr>
            <w:tcW w:w="0" w:type="auto"/>
            <w:shd w:val="clear" w:color="auto" w:fill="CCEEFF"/>
            <w:vAlign w:val="bottom"/>
            <w:hideMark/>
          </w:tcPr>
          <w:p w14:paraId="671627A2" w14:textId="77777777" w:rsidR="002B5D06" w:rsidRDefault="000B69DD">
            <w:pPr>
              <w:pStyle w:val="NormalWeb"/>
              <w:spacing w:before="0" w:beforeAutospacing="0" w:after="0" w:afterAutospacing="0"/>
              <w:jc w:val="both"/>
              <w:rPr>
                <w:sz w:val="20"/>
                <w:szCs w:val="20"/>
              </w:rPr>
            </w:pPr>
            <w:hyperlink w:anchor="I1B" w:history="1">
              <w:r>
                <w:rPr>
                  <w:rStyle w:val="Hyperlink"/>
                  <w:sz w:val="20"/>
                  <w:szCs w:val="20"/>
                </w:rPr>
                <w:t>ITEM 1B.</w:t>
              </w:r>
            </w:hyperlink>
          </w:p>
        </w:tc>
        <w:tc>
          <w:tcPr>
            <w:tcW w:w="0" w:type="auto"/>
            <w:shd w:val="clear" w:color="auto" w:fill="CCEEFF"/>
            <w:vAlign w:val="bottom"/>
            <w:hideMark/>
          </w:tcPr>
          <w:p w14:paraId="57FB5D4C" w14:textId="77777777" w:rsidR="002B5D06" w:rsidRDefault="000B69DD">
            <w:pPr>
              <w:pStyle w:val="NormalWeb"/>
              <w:spacing w:before="0" w:beforeAutospacing="0" w:after="0" w:afterAutospacing="0"/>
              <w:jc w:val="both"/>
              <w:rPr>
                <w:sz w:val="20"/>
                <w:szCs w:val="20"/>
              </w:rPr>
            </w:pPr>
            <w:hyperlink w:anchor="I1B" w:history="1">
              <w:r>
                <w:rPr>
                  <w:rStyle w:val="Hyperlink"/>
                  <w:sz w:val="20"/>
                  <w:szCs w:val="20"/>
                </w:rPr>
                <w:t>Unresolved Staff Comments</w:t>
              </w:r>
            </w:hyperlink>
          </w:p>
        </w:tc>
        <w:tc>
          <w:tcPr>
            <w:tcW w:w="0" w:type="auto"/>
            <w:shd w:val="clear" w:color="auto" w:fill="CCEEFF"/>
            <w:vAlign w:val="center"/>
            <w:hideMark/>
          </w:tcPr>
          <w:p w14:paraId="61371894"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19B6DC28" w14:textId="77777777" w:rsidR="002B5D06" w:rsidRDefault="000B69DD">
            <w:pPr>
              <w:pStyle w:val="NormalWeb"/>
              <w:spacing w:before="0" w:beforeAutospacing="0" w:after="0" w:afterAutospacing="0"/>
              <w:jc w:val="right"/>
              <w:rPr>
                <w:sz w:val="20"/>
                <w:szCs w:val="20"/>
              </w:rPr>
            </w:pPr>
            <w:r>
              <w:rPr>
                <w:sz w:val="20"/>
                <w:szCs w:val="20"/>
              </w:rPr>
              <w:t>10</w:t>
            </w:r>
          </w:p>
        </w:tc>
        <w:tc>
          <w:tcPr>
            <w:tcW w:w="0" w:type="auto"/>
            <w:shd w:val="clear" w:color="auto" w:fill="CCEEFF"/>
            <w:vAlign w:val="center"/>
            <w:hideMark/>
          </w:tcPr>
          <w:p w14:paraId="17289DB6" w14:textId="77777777" w:rsidR="002B5D06" w:rsidRDefault="000B69DD">
            <w:pPr>
              <w:pStyle w:val="NormalWeb"/>
              <w:spacing w:before="0" w:beforeAutospacing="0" w:after="0" w:afterAutospacing="0"/>
              <w:rPr>
                <w:sz w:val="20"/>
                <w:szCs w:val="20"/>
              </w:rPr>
            </w:pPr>
            <w:r>
              <w:rPr>
                <w:sz w:val="20"/>
                <w:szCs w:val="20"/>
              </w:rPr>
              <w:t> </w:t>
            </w:r>
          </w:p>
        </w:tc>
      </w:tr>
      <w:tr w:rsidR="002B5D06" w14:paraId="6FC90DE0" w14:textId="77777777">
        <w:trPr>
          <w:divId w:val="1684360448"/>
          <w:trHeight w:val="225"/>
          <w:tblCellSpacing w:w="15" w:type="dxa"/>
          <w:jc w:val="center"/>
        </w:trPr>
        <w:tc>
          <w:tcPr>
            <w:tcW w:w="0" w:type="auto"/>
            <w:shd w:val="clear" w:color="auto" w:fill="FFFFFF"/>
            <w:vAlign w:val="bottom"/>
            <w:hideMark/>
          </w:tcPr>
          <w:p w14:paraId="35C46EE2" w14:textId="77777777" w:rsidR="002B5D06" w:rsidRDefault="000B69DD">
            <w:pPr>
              <w:pStyle w:val="NormalWeb"/>
              <w:spacing w:before="0" w:beforeAutospacing="0" w:after="0" w:afterAutospacing="0"/>
              <w:jc w:val="both"/>
              <w:rPr>
                <w:sz w:val="20"/>
                <w:szCs w:val="20"/>
              </w:rPr>
            </w:pPr>
            <w:hyperlink w:anchor="I1C" w:history="1">
              <w:r>
                <w:rPr>
                  <w:rStyle w:val="Hyperlink"/>
                  <w:sz w:val="20"/>
                  <w:szCs w:val="20"/>
                </w:rPr>
                <w:t>ITEM 1C.</w:t>
              </w:r>
            </w:hyperlink>
          </w:p>
        </w:tc>
        <w:tc>
          <w:tcPr>
            <w:tcW w:w="0" w:type="auto"/>
            <w:shd w:val="clear" w:color="auto" w:fill="FFFFFF"/>
            <w:vAlign w:val="bottom"/>
            <w:hideMark/>
          </w:tcPr>
          <w:p w14:paraId="4BDEA0D4" w14:textId="77777777" w:rsidR="002B5D06" w:rsidRDefault="000B69DD">
            <w:pPr>
              <w:pStyle w:val="NormalWeb"/>
              <w:spacing w:before="0" w:beforeAutospacing="0" w:after="0" w:afterAutospacing="0"/>
              <w:jc w:val="both"/>
              <w:rPr>
                <w:sz w:val="20"/>
                <w:szCs w:val="20"/>
              </w:rPr>
            </w:pPr>
            <w:hyperlink w:anchor="I1C" w:history="1">
              <w:r>
                <w:rPr>
                  <w:rStyle w:val="Hyperlink"/>
                  <w:sz w:val="20"/>
                  <w:szCs w:val="20"/>
                </w:rPr>
                <w:t>Cyber Security</w:t>
              </w:r>
            </w:hyperlink>
          </w:p>
        </w:tc>
        <w:tc>
          <w:tcPr>
            <w:tcW w:w="0" w:type="auto"/>
            <w:shd w:val="clear" w:color="auto" w:fill="FFFFFF"/>
            <w:vAlign w:val="center"/>
            <w:hideMark/>
          </w:tcPr>
          <w:p w14:paraId="36CCBEDB" w14:textId="77777777" w:rsidR="002B5D06" w:rsidRDefault="002B5D06">
            <w:pPr>
              <w:rPr>
                <w:rFonts w:eastAsia="Times New Roman"/>
                <w:sz w:val="20"/>
                <w:szCs w:val="20"/>
              </w:rPr>
            </w:pPr>
          </w:p>
        </w:tc>
        <w:tc>
          <w:tcPr>
            <w:tcW w:w="0" w:type="auto"/>
            <w:shd w:val="clear" w:color="auto" w:fill="FFFFFF"/>
            <w:vAlign w:val="center"/>
            <w:hideMark/>
          </w:tcPr>
          <w:p w14:paraId="67C2A93A" w14:textId="77777777" w:rsidR="002B5D06" w:rsidRDefault="000B69DD">
            <w:pPr>
              <w:pStyle w:val="NormalWeb"/>
              <w:spacing w:before="0" w:beforeAutospacing="0" w:after="0" w:afterAutospacing="0"/>
              <w:jc w:val="right"/>
              <w:rPr>
                <w:sz w:val="20"/>
                <w:szCs w:val="20"/>
              </w:rPr>
            </w:pPr>
            <w:r>
              <w:rPr>
                <w:sz w:val="20"/>
                <w:szCs w:val="20"/>
              </w:rPr>
              <w:t>10</w:t>
            </w:r>
          </w:p>
        </w:tc>
        <w:tc>
          <w:tcPr>
            <w:tcW w:w="0" w:type="auto"/>
            <w:shd w:val="clear" w:color="auto" w:fill="FFFFFF"/>
            <w:vAlign w:val="center"/>
            <w:hideMark/>
          </w:tcPr>
          <w:p w14:paraId="31E315D3" w14:textId="77777777" w:rsidR="002B5D06" w:rsidRDefault="002B5D06">
            <w:pPr>
              <w:rPr>
                <w:rFonts w:eastAsia="Times New Roman"/>
                <w:sz w:val="20"/>
                <w:szCs w:val="20"/>
              </w:rPr>
            </w:pPr>
          </w:p>
        </w:tc>
      </w:tr>
      <w:tr w:rsidR="002B5D06" w14:paraId="22B364FB" w14:textId="77777777">
        <w:trPr>
          <w:divId w:val="1684360448"/>
          <w:trHeight w:val="225"/>
          <w:tblCellSpacing w:w="15" w:type="dxa"/>
          <w:jc w:val="center"/>
        </w:trPr>
        <w:tc>
          <w:tcPr>
            <w:tcW w:w="0" w:type="auto"/>
            <w:shd w:val="clear" w:color="auto" w:fill="CCEEFF"/>
            <w:vAlign w:val="bottom"/>
            <w:hideMark/>
          </w:tcPr>
          <w:p w14:paraId="0F263C7E" w14:textId="77777777" w:rsidR="002B5D06" w:rsidRDefault="000B69DD">
            <w:pPr>
              <w:pStyle w:val="NormalWeb"/>
              <w:spacing w:before="0" w:beforeAutospacing="0" w:after="0" w:afterAutospacing="0"/>
              <w:jc w:val="both"/>
              <w:rPr>
                <w:sz w:val="20"/>
                <w:szCs w:val="20"/>
              </w:rPr>
            </w:pPr>
            <w:hyperlink w:anchor="I2" w:history="1">
              <w:r>
                <w:rPr>
                  <w:rStyle w:val="Hyperlink"/>
                  <w:sz w:val="20"/>
                  <w:szCs w:val="20"/>
                </w:rPr>
                <w:t>ITEM 2.</w:t>
              </w:r>
            </w:hyperlink>
          </w:p>
        </w:tc>
        <w:tc>
          <w:tcPr>
            <w:tcW w:w="0" w:type="auto"/>
            <w:shd w:val="clear" w:color="auto" w:fill="CCEEFF"/>
            <w:vAlign w:val="bottom"/>
            <w:hideMark/>
          </w:tcPr>
          <w:p w14:paraId="48EB79D3" w14:textId="77777777" w:rsidR="002B5D06" w:rsidRDefault="000B69DD">
            <w:pPr>
              <w:pStyle w:val="NormalWeb"/>
              <w:spacing w:before="0" w:beforeAutospacing="0" w:after="0" w:afterAutospacing="0"/>
              <w:jc w:val="both"/>
              <w:rPr>
                <w:sz w:val="20"/>
                <w:szCs w:val="20"/>
              </w:rPr>
            </w:pPr>
            <w:hyperlink w:anchor="I2" w:history="1">
              <w:r>
                <w:rPr>
                  <w:rStyle w:val="Hyperlink"/>
                  <w:sz w:val="20"/>
                  <w:szCs w:val="20"/>
                </w:rPr>
                <w:t>Properties</w:t>
              </w:r>
            </w:hyperlink>
          </w:p>
        </w:tc>
        <w:tc>
          <w:tcPr>
            <w:tcW w:w="0" w:type="auto"/>
            <w:shd w:val="clear" w:color="auto" w:fill="CCEEFF"/>
            <w:vAlign w:val="center"/>
            <w:hideMark/>
          </w:tcPr>
          <w:p w14:paraId="0CAD7B82"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7667D442" w14:textId="77777777" w:rsidR="002B5D06" w:rsidRDefault="000B69DD">
            <w:pPr>
              <w:pStyle w:val="NormalWeb"/>
              <w:spacing w:before="0" w:beforeAutospacing="0" w:after="0" w:afterAutospacing="0"/>
              <w:jc w:val="right"/>
              <w:rPr>
                <w:sz w:val="20"/>
                <w:szCs w:val="20"/>
              </w:rPr>
            </w:pPr>
            <w:r>
              <w:rPr>
                <w:sz w:val="20"/>
                <w:szCs w:val="20"/>
              </w:rPr>
              <w:t>10</w:t>
            </w:r>
          </w:p>
        </w:tc>
        <w:tc>
          <w:tcPr>
            <w:tcW w:w="0" w:type="auto"/>
            <w:shd w:val="clear" w:color="auto" w:fill="CCEEFF"/>
            <w:vAlign w:val="center"/>
            <w:hideMark/>
          </w:tcPr>
          <w:p w14:paraId="0846E45C" w14:textId="77777777" w:rsidR="002B5D06" w:rsidRDefault="000B69DD">
            <w:pPr>
              <w:pStyle w:val="NormalWeb"/>
              <w:spacing w:before="0" w:beforeAutospacing="0" w:after="0" w:afterAutospacing="0"/>
              <w:rPr>
                <w:sz w:val="20"/>
                <w:szCs w:val="20"/>
              </w:rPr>
            </w:pPr>
            <w:r>
              <w:rPr>
                <w:sz w:val="20"/>
                <w:szCs w:val="20"/>
              </w:rPr>
              <w:t> </w:t>
            </w:r>
          </w:p>
        </w:tc>
      </w:tr>
      <w:tr w:rsidR="002B5D06" w14:paraId="6A47F819" w14:textId="77777777">
        <w:trPr>
          <w:divId w:val="1684360448"/>
          <w:trHeight w:val="225"/>
          <w:tblCellSpacing w:w="15" w:type="dxa"/>
          <w:jc w:val="center"/>
        </w:trPr>
        <w:tc>
          <w:tcPr>
            <w:tcW w:w="0" w:type="auto"/>
            <w:shd w:val="clear" w:color="auto" w:fill="FFFFFF"/>
            <w:vAlign w:val="bottom"/>
            <w:hideMark/>
          </w:tcPr>
          <w:p w14:paraId="5735B691" w14:textId="77777777" w:rsidR="002B5D06" w:rsidRDefault="000B69DD">
            <w:pPr>
              <w:pStyle w:val="NormalWeb"/>
              <w:spacing w:before="0" w:beforeAutospacing="0" w:after="0" w:afterAutospacing="0"/>
              <w:jc w:val="both"/>
              <w:rPr>
                <w:sz w:val="20"/>
                <w:szCs w:val="20"/>
              </w:rPr>
            </w:pPr>
            <w:hyperlink w:anchor="I3" w:history="1">
              <w:r>
                <w:rPr>
                  <w:rStyle w:val="Hyperlink"/>
                  <w:sz w:val="20"/>
                  <w:szCs w:val="20"/>
                </w:rPr>
                <w:t>ITEM 3.</w:t>
              </w:r>
            </w:hyperlink>
          </w:p>
        </w:tc>
        <w:tc>
          <w:tcPr>
            <w:tcW w:w="0" w:type="auto"/>
            <w:shd w:val="clear" w:color="auto" w:fill="FFFFFF"/>
            <w:vAlign w:val="bottom"/>
            <w:hideMark/>
          </w:tcPr>
          <w:p w14:paraId="42A9BA28" w14:textId="77777777" w:rsidR="002B5D06" w:rsidRDefault="000B69DD">
            <w:pPr>
              <w:pStyle w:val="NormalWeb"/>
              <w:spacing w:before="0" w:beforeAutospacing="0" w:after="0" w:afterAutospacing="0"/>
              <w:jc w:val="both"/>
              <w:rPr>
                <w:sz w:val="20"/>
                <w:szCs w:val="20"/>
              </w:rPr>
            </w:pPr>
            <w:hyperlink w:anchor="I3" w:history="1">
              <w:r>
                <w:rPr>
                  <w:rStyle w:val="Hyperlink"/>
                  <w:sz w:val="20"/>
                  <w:szCs w:val="20"/>
                </w:rPr>
                <w:t>Legal Proceedings</w:t>
              </w:r>
            </w:hyperlink>
          </w:p>
        </w:tc>
        <w:tc>
          <w:tcPr>
            <w:tcW w:w="0" w:type="auto"/>
            <w:shd w:val="clear" w:color="auto" w:fill="FFFFFF"/>
            <w:vAlign w:val="center"/>
            <w:hideMark/>
          </w:tcPr>
          <w:p w14:paraId="04577670"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bottom"/>
            <w:hideMark/>
          </w:tcPr>
          <w:p w14:paraId="2A675B5D" w14:textId="77777777" w:rsidR="002B5D06" w:rsidRDefault="000B69DD">
            <w:pPr>
              <w:pStyle w:val="NormalWeb"/>
              <w:spacing w:before="0" w:beforeAutospacing="0" w:after="0" w:afterAutospacing="0"/>
              <w:jc w:val="right"/>
              <w:rPr>
                <w:sz w:val="20"/>
                <w:szCs w:val="20"/>
              </w:rPr>
            </w:pPr>
            <w:r>
              <w:rPr>
                <w:sz w:val="20"/>
                <w:szCs w:val="20"/>
              </w:rPr>
              <w:t>10</w:t>
            </w:r>
          </w:p>
        </w:tc>
        <w:tc>
          <w:tcPr>
            <w:tcW w:w="0" w:type="auto"/>
            <w:shd w:val="clear" w:color="auto" w:fill="FFFFFF"/>
            <w:vAlign w:val="center"/>
            <w:hideMark/>
          </w:tcPr>
          <w:p w14:paraId="5A28CCDC" w14:textId="77777777" w:rsidR="002B5D06" w:rsidRDefault="000B69DD">
            <w:pPr>
              <w:pStyle w:val="NormalWeb"/>
              <w:spacing w:before="0" w:beforeAutospacing="0" w:after="0" w:afterAutospacing="0"/>
              <w:rPr>
                <w:sz w:val="20"/>
                <w:szCs w:val="20"/>
              </w:rPr>
            </w:pPr>
            <w:r>
              <w:rPr>
                <w:sz w:val="20"/>
                <w:szCs w:val="20"/>
              </w:rPr>
              <w:t> </w:t>
            </w:r>
          </w:p>
        </w:tc>
      </w:tr>
      <w:tr w:rsidR="002B5D06" w14:paraId="41892579" w14:textId="77777777">
        <w:trPr>
          <w:divId w:val="1684360448"/>
          <w:trHeight w:val="225"/>
          <w:tblCellSpacing w:w="15" w:type="dxa"/>
          <w:jc w:val="center"/>
        </w:trPr>
        <w:tc>
          <w:tcPr>
            <w:tcW w:w="0" w:type="auto"/>
            <w:shd w:val="clear" w:color="auto" w:fill="CCEEFF"/>
            <w:vAlign w:val="bottom"/>
            <w:hideMark/>
          </w:tcPr>
          <w:p w14:paraId="6605D1AA" w14:textId="77777777" w:rsidR="002B5D06" w:rsidRDefault="000B69DD">
            <w:pPr>
              <w:pStyle w:val="NormalWeb"/>
              <w:spacing w:before="0" w:beforeAutospacing="0" w:after="0" w:afterAutospacing="0"/>
              <w:rPr>
                <w:sz w:val="20"/>
                <w:szCs w:val="20"/>
              </w:rPr>
            </w:pPr>
            <w:hyperlink w:anchor="I4" w:history="1">
              <w:r>
                <w:rPr>
                  <w:rStyle w:val="Hyperlink"/>
                  <w:sz w:val="20"/>
                  <w:szCs w:val="20"/>
                </w:rPr>
                <w:t>ITEM 4.</w:t>
              </w:r>
            </w:hyperlink>
          </w:p>
        </w:tc>
        <w:tc>
          <w:tcPr>
            <w:tcW w:w="0" w:type="auto"/>
            <w:shd w:val="clear" w:color="auto" w:fill="CCEEFF"/>
            <w:vAlign w:val="bottom"/>
            <w:hideMark/>
          </w:tcPr>
          <w:p w14:paraId="084946E5" w14:textId="77777777" w:rsidR="002B5D06" w:rsidRDefault="000B69DD">
            <w:pPr>
              <w:pStyle w:val="NormalWeb"/>
              <w:spacing w:before="0" w:beforeAutospacing="0" w:after="0" w:afterAutospacing="0"/>
              <w:rPr>
                <w:sz w:val="20"/>
                <w:szCs w:val="20"/>
              </w:rPr>
            </w:pPr>
            <w:hyperlink w:anchor="I4" w:history="1">
              <w:r>
                <w:rPr>
                  <w:rStyle w:val="Hyperlink"/>
                  <w:sz w:val="20"/>
                  <w:szCs w:val="20"/>
                </w:rPr>
                <w:t>Mine Safety Disclosures</w:t>
              </w:r>
            </w:hyperlink>
          </w:p>
        </w:tc>
        <w:tc>
          <w:tcPr>
            <w:tcW w:w="0" w:type="auto"/>
            <w:shd w:val="clear" w:color="auto" w:fill="CCEEFF"/>
            <w:vAlign w:val="center"/>
            <w:hideMark/>
          </w:tcPr>
          <w:p w14:paraId="7E317463"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4A4AF8D1" w14:textId="77777777" w:rsidR="002B5D06" w:rsidRDefault="000B69DD">
            <w:pPr>
              <w:pStyle w:val="NormalWeb"/>
              <w:spacing w:before="0" w:beforeAutospacing="0" w:after="0" w:afterAutospacing="0"/>
              <w:jc w:val="right"/>
              <w:rPr>
                <w:sz w:val="20"/>
                <w:szCs w:val="20"/>
              </w:rPr>
            </w:pPr>
            <w:r>
              <w:rPr>
                <w:sz w:val="20"/>
                <w:szCs w:val="20"/>
              </w:rPr>
              <w:t>10</w:t>
            </w:r>
          </w:p>
        </w:tc>
        <w:tc>
          <w:tcPr>
            <w:tcW w:w="0" w:type="auto"/>
            <w:shd w:val="clear" w:color="auto" w:fill="CCEEFF"/>
            <w:vAlign w:val="center"/>
            <w:hideMark/>
          </w:tcPr>
          <w:p w14:paraId="393857B2" w14:textId="77777777" w:rsidR="002B5D06" w:rsidRDefault="000B69DD">
            <w:pPr>
              <w:pStyle w:val="NormalWeb"/>
              <w:spacing w:before="0" w:beforeAutospacing="0" w:after="0" w:afterAutospacing="0"/>
              <w:rPr>
                <w:sz w:val="20"/>
                <w:szCs w:val="20"/>
              </w:rPr>
            </w:pPr>
            <w:r>
              <w:rPr>
                <w:sz w:val="20"/>
                <w:szCs w:val="20"/>
              </w:rPr>
              <w:t> </w:t>
            </w:r>
          </w:p>
        </w:tc>
      </w:tr>
      <w:tr w:rsidR="002B5D06" w14:paraId="2CC0E608" w14:textId="77777777">
        <w:trPr>
          <w:divId w:val="1684360448"/>
          <w:trHeight w:val="225"/>
          <w:tblCellSpacing w:w="15" w:type="dxa"/>
          <w:jc w:val="center"/>
        </w:trPr>
        <w:tc>
          <w:tcPr>
            <w:tcW w:w="0" w:type="auto"/>
            <w:shd w:val="clear" w:color="auto" w:fill="FFFFFF"/>
            <w:vAlign w:val="bottom"/>
            <w:hideMark/>
          </w:tcPr>
          <w:p w14:paraId="456F7CAE" w14:textId="77777777" w:rsidR="002B5D06" w:rsidRDefault="000B69DD">
            <w:pPr>
              <w:pStyle w:val="NormalWeb"/>
              <w:spacing w:before="0" w:beforeAutospacing="0" w:after="0" w:afterAutospacing="0"/>
              <w:jc w:val="both"/>
              <w:rPr>
                <w:sz w:val="20"/>
                <w:szCs w:val="20"/>
              </w:rPr>
            </w:pPr>
            <w:hyperlink w:anchor="P2" w:history="1">
              <w:r>
                <w:rPr>
                  <w:rStyle w:val="Hyperlink"/>
                  <w:b/>
                  <w:bCs/>
                  <w:sz w:val="20"/>
                  <w:szCs w:val="20"/>
                </w:rPr>
                <w:t>PART II</w:t>
              </w:r>
            </w:hyperlink>
          </w:p>
        </w:tc>
        <w:tc>
          <w:tcPr>
            <w:tcW w:w="0" w:type="auto"/>
            <w:shd w:val="clear" w:color="auto" w:fill="FFFFFF"/>
            <w:vAlign w:val="center"/>
            <w:hideMark/>
          </w:tcPr>
          <w:p w14:paraId="610F045D"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182745DE"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35B02692"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41C48F79" w14:textId="77777777" w:rsidR="002B5D06" w:rsidRDefault="000B69DD">
            <w:pPr>
              <w:pStyle w:val="NormalWeb"/>
              <w:spacing w:before="0" w:beforeAutospacing="0" w:after="0" w:afterAutospacing="0"/>
              <w:rPr>
                <w:sz w:val="20"/>
                <w:szCs w:val="20"/>
              </w:rPr>
            </w:pPr>
            <w:r>
              <w:rPr>
                <w:sz w:val="20"/>
                <w:szCs w:val="20"/>
              </w:rPr>
              <w:t> </w:t>
            </w:r>
          </w:p>
        </w:tc>
      </w:tr>
      <w:tr w:rsidR="002B5D06" w14:paraId="2C304819" w14:textId="77777777">
        <w:trPr>
          <w:divId w:val="1684360448"/>
          <w:trHeight w:val="225"/>
          <w:tblCellSpacing w:w="15" w:type="dxa"/>
          <w:jc w:val="center"/>
        </w:trPr>
        <w:tc>
          <w:tcPr>
            <w:tcW w:w="0" w:type="auto"/>
            <w:shd w:val="clear" w:color="auto" w:fill="CCEEFF"/>
            <w:hideMark/>
          </w:tcPr>
          <w:p w14:paraId="7F4588E9" w14:textId="77777777" w:rsidR="002B5D06" w:rsidRDefault="000B69DD">
            <w:pPr>
              <w:pStyle w:val="NormalWeb"/>
              <w:spacing w:before="0" w:beforeAutospacing="0" w:after="0" w:afterAutospacing="0"/>
              <w:rPr>
                <w:sz w:val="20"/>
                <w:szCs w:val="20"/>
              </w:rPr>
            </w:pPr>
            <w:hyperlink w:anchor="I5" w:history="1">
              <w:r>
                <w:rPr>
                  <w:rStyle w:val="Hyperlink"/>
                  <w:sz w:val="20"/>
                  <w:szCs w:val="20"/>
                </w:rPr>
                <w:t>ITEM 5.</w:t>
              </w:r>
            </w:hyperlink>
          </w:p>
        </w:tc>
        <w:tc>
          <w:tcPr>
            <w:tcW w:w="0" w:type="auto"/>
            <w:shd w:val="clear" w:color="auto" w:fill="CCEEFF"/>
            <w:vAlign w:val="bottom"/>
            <w:hideMark/>
          </w:tcPr>
          <w:p w14:paraId="29A241D7" w14:textId="77777777" w:rsidR="002B5D06" w:rsidRDefault="000B69DD">
            <w:pPr>
              <w:pStyle w:val="NormalWeb"/>
              <w:spacing w:before="0" w:beforeAutospacing="0" w:after="0" w:afterAutospacing="0"/>
              <w:jc w:val="both"/>
              <w:rPr>
                <w:sz w:val="20"/>
                <w:szCs w:val="20"/>
              </w:rPr>
            </w:pPr>
            <w:hyperlink w:anchor="I5" w:history="1">
              <w:r>
                <w:rPr>
                  <w:rStyle w:val="Hyperlink"/>
                  <w:sz w:val="20"/>
                  <w:szCs w:val="20"/>
                </w:rPr>
                <w:t>Market for Registrant’s Common Equity, Related Stockholder Matters and Issuer Purchases of Equity Securities</w:t>
              </w:r>
            </w:hyperlink>
          </w:p>
        </w:tc>
        <w:tc>
          <w:tcPr>
            <w:tcW w:w="0" w:type="auto"/>
            <w:shd w:val="clear" w:color="auto" w:fill="CCEEFF"/>
            <w:vAlign w:val="center"/>
            <w:hideMark/>
          </w:tcPr>
          <w:p w14:paraId="50C49DDC"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21E8E913" w14:textId="77777777" w:rsidR="002B5D06" w:rsidRDefault="000B69DD">
            <w:pPr>
              <w:pStyle w:val="NormalWeb"/>
              <w:spacing w:before="0" w:beforeAutospacing="0" w:after="0" w:afterAutospacing="0"/>
              <w:jc w:val="right"/>
              <w:rPr>
                <w:sz w:val="20"/>
                <w:szCs w:val="20"/>
              </w:rPr>
            </w:pPr>
            <w:r>
              <w:rPr>
                <w:sz w:val="20"/>
                <w:szCs w:val="20"/>
              </w:rPr>
              <w:t>11</w:t>
            </w:r>
          </w:p>
        </w:tc>
        <w:tc>
          <w:tcPr>
            <w:tcW w:w="0" w:type="auto"/>
            <w:shd w:val="clear" w:color="auto" w:fill="CCEEFF"/>
            <w:vAlign w:val="center"/>
            <w:hideMark/>
          </w:tcPr>
          <w:p w14:paraId="7F4243CF" w14:textId="77777777" w:rsidR="002B5D06" w:rsidRDefault="000B69DD">
            <w:pPr>
              <w:pStyle w:val="NormalWeb"/>
              <w:spacing w:before="0" w:beforeAutospacing="0" w:after="0" w:afterAutospacing="0"/>
              <w:rPr>
                <w:sz w:val="20"/>
                <w:szCs w:val="20"/>
              </w:rPr>
            </w:pPr>
            <w:r>
              <w:rPr>
                <w:sz w:val="20"/>
                <w:szCs w:val="20"/>
              </w:rPr>
              <w:t> </w:t>
            </w:r>
          </w:p>
        </w:tc>
      </w:tr>
      <w:tr w:rsidR="002B5D06" w14:paraId="00749E36" w14:textId="77777777">
        <w:trPr>
          <w:divId w:val="1684360448"/>
          <w:trHeight w:val="225"/>
          <w:tblCellSpacing w:w="15" w:type="dxa"/>
          <w:jc w:val="center"/>
        </w:trPr>
        <w:tc>
          <w:tcPr>
            <w:tcW w:w="0" w:type="auto"/>
            <w:shd w:val="clear" w:color="auto" w:fill="FFFFFF"/>
            <w:vAlign w:val="bottom"/>
            <w:hideMark/>
          </w:tcPr>
          <w:p w14:paraId="534AB023" w14:textId="77777777" w:rsidR="002B5D06" w:rsidRDefault="000B69DD">
            <w:pPr>
              <w:pStyle w:val="NormalWeb"/>
              <w:spacing w:before="0" w:beforeAutospacing="0" w:after="0" w:afterAutospacing="0"/>
              <w:jc w:val="both"/>
              <w:rPr>
                <w:sz w:val="20"/>
                <w:szCs w:val="20"/>
              </w:rPr>
            </w:pPr>
            <w:hyperlink w:anchor="I6" w:history="1">
              <w:r>
                <w:rPr>
                  <w:rStyle w:val="Hyperlink"/>
                  <w:sz w:val="20"/>
                  <w:szCs w:val="20"/>
                </w:rPr>
                <w:t>ITEM 6.</w:t>
              </w:r>
            </w:hyperlink>
          </w:p>
        </w:tc>
        <w:tc>
          <w:tcPr>
            <w:tcW w:w="0" w:type="auto"/>
            <w:shd w:val="clear" w:color="auto" w:fill="FFFFFF"/>
            <w:vAlign w:val="bottom"/>
            <w:hideMark/>
          </w:tcPr>
          <w:p w14:paraId="73540C5F" w14:textId="77777777" w:rsidR="002B5D06" w:rsidRDefault="000B69DD">
            <w:pPr>
              <w:pStyle w:val="NormalWeb"/>
              <w:spacing w:before="0" w:beforeAutospacing="0" w:after="0" w:afterAutospacing="0"/>
              <w:jc w:val="both"/>
              <w:rPr>
                <w:sz w:val="20"/>
                <w:szCs w:val="20"/>
              </w:rPr>
            </w:pPr>
            <w:hyperlink w:anchor="I6" w:history="1">
              <w:r>
                <w:rPr>
                  <w:rStyle w:val="Hyperlink"/>
                  <w:sz w:val="20"/>
                  <w:szCs w:val="20"/>
                </w:rPr>
                <w:t>Selected Financial Data</w:t>
              </w:r>
            </w:hyperlink>
          </w:p>
        </w:tc>
        <w:tc>
          <w:tcPr>
            <w:tcW w:w="0" w:type="auto"/>
            <w:shd w:val="clear" w:color="auto" w:fill="FFFFFF"/>
            <w:vAlign w:val="center"/>
            <w:hideMark/>
          </w:tcPr>
          <w:p w14:paraId="7A6B9AA9"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bottom"/>
            <w:hideMark/>
          </w:tcPr>
          <w:p w14:paraId="0D1932DE" w14:textId="77777777" w:rsidR="002B5D06" w:rsidRDefault="000B69DD">
            <w:pPr>
              <w:pStyle w:val="NormalWeb"/>
              <w:spacing w:before="0" w:beforeAutospacing="0" w:after="0" w:afterAutospacing="0"/>
              <w:jc w:val="right"/>
              <w:rPr>
                <w:sz w:val="20"/>
                <w:szCs w:val="20"/>
              </w:rPr>
            </w:pPr>
            <w:r>
              <w:rPr>
                <w:sz w:val="20"/>
                <w:szCs w:val="20"/>
              </w:rPr>
              <w:t>11</w:t>
            </w:r>
          </w:p>
        </w:tc>
        <w:tc>
          <w:tcPr>
            <w:tcW w:w="0" w:type="auto"/>
            <w:shd w:val="clear" w:color="auto" w:fill="FFFFFF"/>
            <w:vAlign w:val="center"/>
            <w:hideMark/>
          </w:tcPr>
          <w:p w14:paraId="1AC130AA" w14:textId="77777777" w:rsidR="002B5D06" w:rsidRDefault="000B69DD">
            <w:pPr>
              <w:pStyle w:val="NormalWeb"/>
              <w:spacing w:before="0" w:beforeAutospacing="0" w:after="0" w:afterAutospacing="0"/>
              <w:rPr>
                <w:sz w:val="20"/>
                <w:szCs w:val="20"/>
              </w:rPr>
            </w:pPr>
            <w:r>
              <w:rPr>
                <w:sz w:val="20"/>
                <w:szCs w:val="20"/>
              </w:rPr>
              <w:t> </w:t>
            </w:r>
          </w:p>
        </w:tc>
      </w:tr>
      <w:tr w:rsidR="002B5D06" w14:paraId="2896312F" w14:textId="77777777">
        <w:trPr>
          <w:divId w:val="1684360448"/>
          <w:trHeight w:val="225"/>
          <w:tblCellSpacing w:w="15" w:type="dxa"/>
          <w:jc w:val="center"/>
        </w:trPr>
        <w:tc>
          <w:tcPr>
            <w:tcW w:w="0" w:type="auto"/>
            <w:shd w:val="clear" w:color="auto" w:fill="CCEEFF"/>
            <w:vAlign w:val="bottom"/>
            <w:hideMark/>
          </w:tcPr>
          <w:p w14:paraId="14E636CA" w14:textId="77777777" w:rsidR="002B5D06" w:rsidRDefault="000B69DD">
            <w:pPr>
              <w:pStyle w:val="NormalWeb"/>
              <w:spacing w:before="0" w:beforeAutospacing="0" w:after="0" w:afterAutospacing="0"/>
              <w:jc w:val="both"/>
              <w:rPr>
                <w:sz w:val="20"/>
                <w:szCs w:val="20"/>
              </w:rPr>
            </w:pPr>
            <w:hyperlink w:anchor="I7" w:history="1">
              <w:r>
                <w:rPr>
                  <w:rStyle w:val="Hyperlink"/>
                  <w:sz w:val="20"/>
                  <w:szCs w:val="20"/>
                </w:rPr>
                <w:t>ITEM 7.</w:t>
              </w:r>
            </w:hyperlink>
          </w:p>
        </w:tc>
        <w:tc>
          <w:tcPr>
            <w:tcW w:w="0" w:type="auto"/>
            <w:shd w:val="clear" w:color="auto" w:fill="CCEEFF"/>
            <w:vAlign w:val="bottom"/>
            <w:hideMark/>
          </w:tcPr>
          <w:p w14:paraId="5ED0AD90" w14:textId="77777777" w:rsidR="002B5D06" w:rsidRDefault="000B69DD">
            <w:pPr>
              <w:pStyle w:val="NormalWeb"/>
              <w:spacing w:before="0" w:beforeAutospacing="0" w:after="0" w:afterAutospacing="0"/>
              <w:jc w:val="both"/>
              <w:rPr>
                <w:sz w:val="20"/>
                <w:szCs w:val="20"/>
              </w:rPr>
            </w:pPr>
            <w:hyperlink w:anchor="I7" w:history="1">
              <w:r>
                <w:rPr>
                  <w:rStyle w:val="Hyperlink"/>
                  <w:sz w:val="20"/>
                  <w:szCs w:val="20"/>
                </w:rPr>
                <w:t>Management’s Discussion and Analysis of Financial Condition and Results of Operations</w:t>
              </w:r>
            </w:hyperlink>
          </w:p>
        </w:tc>
        <w:tc>
          <w:tcPr>
            <w:tcW w:w="0" w:type="auto"/>
            <w:shd w:val="clear" w:color="auto" w:fill="CCEEFF"/>
            <w:vAlign w:val="center"/>
            <w:hideMark/>
          </w:tcPr>
          <w:p w14:paraId="069F4BEA"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282FFCAB" w14:textId="77777777" w:rsidR="002B5D06" w:rsidRDefault="000B69DD">
            <w:pPr>
              <w:pStyle w:val="NormalWeb"/>
              <w:spacing w:before="0" w:beforeAutospacing="0" w:after="0" w:afterAutospacing="0"/>
              <w:jc w:val="right"/>
              <w:rPr>
                <w:sz w:val="20"/>
                <w:szCs w:val="20"/>
              </w:rPr>
            </w:pPr>
            <w:r>
              <w:rPr>
                <w:sz w:val="20"/>
                <w:szCs w:val="20"/>
              </w:rPr>
              <w:t>11</w:t>
            </w:r>
          </w:p>
        </w:tc>
        <w:tc>
          <w:tcPr>
            <w:tcW w:w="0" w:type="auto"/>
            <w:shd w:val="clear" w:color="auto" w:fill="CCEEFF"/>
            <w:vAlign w:val="center"/>
            <w:hideMark/>
          </w:tcPr>
          <w:p w14:paraId="53FCE97D" w14:textId="77777777" w:rsidR="002B5D06" w:rsidRDefault="000B69DD">
            <w:pPr>
              <w:pStyle w:val="NormalWeb"/>
              <w:spacing w:before="0" w:beforeAutospacing="0" w:after="0" w:afterAutospacing="0"/>
              <w:rPr>
                <w:sz w:val="20"/>
                <w:szCs w:val="20"/>
              </w:rPr>
            </w:pPr>
            <w:r>
              <w:rPr>
                <w:sz w:val="20"/>
                <w:szCs w:val="20"/>
              </w:rPr>
              <w:t> </w:t>
            </w:r>
          </w:p>
        </w:tc>
      </w:tr>
      <w:tr w:rsidR="002B5D06" w14:paraId="4849A59F" w14:textId="77777777">
        <w:trPr>
          <w:divId w:val="1684360448"/>
          <w:trHeight w:val="225"/>
          <w:tblCellSpacing w:w="15" w:type="dxa"/>
          <w:jc w:val="center"/>
        </w:trPr>
        <w:tc>
          <w:tcPr>
            <w:tcW w:w="0" w:type="auto"/>
            <w:shd w:val="clear" w:color="auto" w:fill="FFFFFF"/>
            <w:vAlign w:val="bottom"/>
            <w:hideMark/>
          </w:tcPr>
          <w:p w14:paraId="24E9AA92" w14:textId="77777777" w:rsidR="002B5D06" w:rsidRDefault="000B69DD">
            <w:pPr>
              <w:pStyle w:val="NormalWeb"/>
              <w:spacing w:before="0" w:beforeAutospacing="0" w:after="0" w:afterAutospacing="0"/>
              <w:jc w:val="both"/>
              <w:rPr>
                <w:sz w:val="20"/>
                <w:szCs w:val="20"/>
              </w:rPr>
            </w:pPr>
            <w:hyperlink w:anchor="I7a" w:history="1">
              <w:r>
                <w:rPr>
                  <w:rStyle w:val="Hyperlink"/>
                  <w:sz w:val="20"/>
                  <w:szCs w:val="20"/>
                </w:rPr>
                <w:t>ITEM 7A.</w:t>
              </w:r>
            </w:hyperlink>
          </w:p>
        </w:tc>
        <w:tc>
          <w:tcPr>
            <w:tcW w:w="0" w:type="auto"/>
            <w:shd w:val="clear" w:color="auto" w:fill="FFFFFF"/>
            <w:vAlign w:val="bottom"/>
            <w:hideMark/>
          </w:tcPr>
          <w:p w14:paraId="33417C5B" w14:textId="77777777" w:rsidR="002B5D06" w:rsidRDefault="000B69DD">
            <w:pPr>
              <w:pStyle w:val="NormalWeb"/>
              <w:spacing w:before="0" w:beforeAutospacing="0" w:after="0" w:afterAutospacing="0"/>
              <w:jc w:val="both"/>
              <w:rPr>
                <w:sz w:val="20"/>
                <w:szCs w:val="20"/>
              </w:rPr>
            </w:pPr>
            <w:hyperlink w:anchor="I7a" w:history="1">
              <w:r>
                <w:rPr>
                  <w:rStyle w:val="Hyperlink"/>
                  <w:sz w:val="20"/>
                  <w:szCs w:val="20"/>
                </w:rPr>
                <w:t>Quantitative and Qualitative Disclosures About Market Risk</w:t>
              </w:r>
            </w:hyperlink>
          </w:p>
        </w:tc>
        <w:tc>
          <w:tcPr>
            <w:tcW w:w="0" w:type="auto"/>
            <w:shd w:val="clear" w:color="auto" w:fill="FFFFFF"/>
            <w:vAlign w:val="center"/>
            <w:hideMark/>
          </w:tcPr>
          <w:p w14:paraId="724C7650"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bottom"/>
            <w:hideMark/>
          </w:tcPr>
          <w:p w14:paraId="7A63D14C" w14:textId="77777777" w:rsidR="002B5D06" w:rsidRDefault="000B69DD">
            <w:pPr>
              <w:pStyle w:val="NormalWeb"/>
              <w:spacing w:before="0" w:beforeAutospacing="0" w:after="0" w:afterAutospacing="0"/>
              <w:jc w:val="right"/>
              <w:rPr>
                <w:sz w:val="20"/>
                <w:szCs w:val="20"/>
              </w:rPr>
            </w:pPr>
            <w:r>
              <w:rPr>
                <w:sz w:val="20"/>
                <w:szCs w:val="20"/>
              </w:rPr>
              <w:t>16</w:t>
            </w:r>
          </w:p>
        </w:tc>
        <w:tc>
          <w:tcPr>
            <w:tcW w:w="0" w:type="auto"/>
            <w:shd w:val="clear" w:color="auto" w:fill="FFFFFF"/>
            <w:vAlign w:val="center"/>
            <w:hideMark/>
          </w:tcPr>
          <w:p w14:paraId="626142B9" w14:textId="77777777" w:rsidR="002B5D06" w:rsidRDefault="000B69DD">
            <w:pPr>
              <w:pStyle w:val="NormalWeb"/>
              <w:spacing w:before="0" w:beforeAutospacing="0" w:after="0" w:afterAutospacing="0"/>
              <w:rPr>
                <w:sz w:val="20"/>
                <w:szCs w:val="20"/>
              </w:rPr>
            </w:pPr>
            <w:r>
              <w:rPr>
                <w:sz w:val="20"/>
                <w:szCs w:val="20"/>
              </w:rPr>
              <w:t> </w:t>
            </w:r>
          </w:p>
        </w:tc>
      </w:tr>
      <w:tr w:rsidR="002B5D06" w14:paraId="076DC116" w14:textId="77777777">
        <w:trPr>
          <w:divId w:val="1684360448"/>
          <w:trHeight w:val="225"/>
          <w:tblCellSpacing w:w="15" w:type="dxa"/>
          <w:jc w:val="center"/>
        </w:trPr>
        <w:tc>
          <w:tcPr>
            <w:tcW w:w="0" w:type="auto"/>
            <w:shd w:val="clear" w:color="auto" w:fill="CCEEFF"/>
            <w:vAlign w:val="bottom"/>
            <w:hideMark/>
          </w:tcPr>
          <w:p w14:paraId="4C63AC9D" w14:textId="77777777" w:rsidR="002B5D06" w:rsidRDefault="000B69DD">
            <w:pPr>
              <w:pStyle w:val="NormalWeb"/>
              <w:spacing w:before="0" w:beforeAutospacing="0" w:after="0" w:afterAutospacing="0"/>
              <w:jc w:val="both"/>
              <w:rPr>
                <w:sz w:val="20"/>
                <w:szCs w:val="20"/>
              </w:rPr>
            </w:pPr>
            <w:hyperlink w:anchor="I8" w:history="1">
              <w:r>
                <w:rPr>
                  <w:rStyle w:val="Hyperlink"/>
                  <w:sz w:val="20"/>
                  <w:szCs w:val="20"/>
                </w:rPr>
                <w:t>ITEM 8.</w:t>
              </w:r>
            </w:hyperlink>
          </w:p>
        </w:tc>
        <w:tc>
          <w:tcPr>
            <w:tcW w:w="0" w:type="auto"/>
            <w:shd w:val="clear" w:color="auto" w:fill="CCEEFF"/>
            <w:vAlign w:val="bottom"/>
            <w:hideMark/>
          </w:tcPr>
          <w:p w14:paraId="26E1D36F" w14:textId="77777777" w:rsidR="002B5D06" w:rsidRDefault="000B69DD">
            <w:pPr>
              <w:pStyle w:val="NormalWeb"/>
              <w:spacing w:before="0" w:beforeAutospacing="0" w:after="0" w:afterAutospacing="0"/>
              <w:jc w:val="both"/>
              <w:rPr>
                <w:sz w:val="20"/>
                <w:szCs w:val="20"/>
              </w:rPr>
            </w:pPr>
            <w:hyperlink w:anchor="I8" w:history="1">
              <w:r>
                <w:rPr>
                  <w:rStyle w:val="Hyperlink"/>
                  <w:sz w:val="20"/>
                  <w:szCs w:val="20"/>
                </w:rPr>
                <w:t>Consolidated Financial Statements and Supplementary Data</w:t>
              </w:r>
            </w:hyperlink>
          </w:p>
        </w:tc>
        <w:tc>
          <w:tcPr>
            <w:tcW w:w="0" w:type="auto"/>
            <w:shd w:val="clear" w:color="auto" w:fill="CCEEFF"/>
            <w:vAlign w:val="center"/>
            <w:hideMark/>
          </w:tcPr>
          <w:p w14:paraId="40791F58"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01B43A88" w14:textId="77777777" w:rsidR="002B5D06" w:rsidRDefault="000B69DD">
            <w:pPr>
              <w:pStyle w:val="NormalWeb"/>
              <w:spacing w:before="0" w:beforeAutospacing="0" w:after="0" w:afterAutospacing="0"/>
              <w:jc w:val="right"/>
              <w:rPr>
                <w:sz w:val="20"/>
                <w:szCs w:val="20"/>
              </w:rPr>
            </w:pPr>
            <w:r>
              <w:rPr>
                <w:sz w:val="20"/>
                <w:szCs w:val="20"/>
              </w:rPr>
              <w:t>16</w:t>
            </w:r>
          </w:p>
        </w:tc>
        <w:tc>
          <w:tcPr>
            <w:tcW w:w="0" w:type="auto"/>
            <w:shd w:val="clear" w:color="auto" w:fill="CCEEFF"/>
            <w:vAlign w:val="center"/>
            <w:hideMark/>
          </w:tcPr>
          <w:p w14:paraId="7A36126C" w14:textId="77777777" w:rsidR="002B5D06" w:rsidRDefault="000B69DD">
            <w:pPr>
              <w:pStyle w:val="NormalWeb"/>
              <w:spacing w:before="0" w:beforeAutospacing="0" w:after="0" w:afterAutospacing="0"/>
              <w:rPr>
                <w:sz w:val="20"/>
                <w:szCs w:val="20"/>
              </w:rPr>
            </w:pPr>
            <w:r>
              <w:rPr>
                <w:sz w:val="20"/>
                <w:szCs w:val="20"/>
              </w:rPr>
              <w:t> </w:t>
            </w:r>
          </w:p>
        </w:tc>
      </w:tr>
      <w:tr w:rsidR="002B5D06" w14:paraId="004BF038" w14:textId="77777777">
        <w:trPr>
          <w:divId w:val="1684360448"/>
          <w:trHeight w:val="225"/>
          <w:tblCellSpacing w:w="15" w:type="dxa"/>
          <w:jc w:val="center"/>
        </w:trPr>
        <w:tc>
          <w:tcPr>
            <w:tcW w:w="0" w:type="auto"/>
            <w:shd w:val="clear" w:color="auto" w:fill="FFFFFF"/>
            <w:vAlign w:val="bottom"/>
            <w:hideMark/>
          </w:tcPr>
          <w:p w14:paraId="1895192C" w14:textId="77777777" w:rsidR="002B5D06" w:rsidRDefault="000B69DD">
            <w:pPr>
              <w:pStyle w:val="NormalWeb"/>
              <w:spacing w:before="0" w:beforeAutospacing="0" w:after="0" w:afterAutospacing="0"/>
              <w:jc w:val="both"/>
              <w:rPr>
                <w:sz w:val="20"/>
                <w:szCs w:val="20"/>
              </w:rPr>
            </w:pPr>
            <w:hyperlink w:anchor="I9" w:history="1">
              <w:r>
                <w:rPr>
                  <w:rStyle w:val="Hyperlink"/>
                  <w:sz w:val="20"/>
                  <w:szCs w:val="20"/>
                </w:rPr>
                <w:t>ITEM 9.</w:t>
              </w:r>
            </w:hyperlink>
          </w:p>
        </w:tc>
        <w:tc>
          <w:tcPr>
            <w:tcW w:w="0" w:type="auto"/>
            <w:shd w:val="clear" w:color="auto" w:fill="FFFFFF"/>
            <w:vAlign w:val="bottom"/>
            <w:hideMark/>
          </w:tcPr>
          <w:p w14:paraId="2AF37EF5" w14:textId="77777777" w:rsidR="002B5D06" w:rsidRDefault="000B69DD">
            <w:pPr>
              <w:pStyle w:val="NormalWeb"/>
              <w:spacing w:before="0" w:beforeAutospacing="0" w:after="0" w:afterAutospacing="0"/>
              <w:jc w:val="both"/>
              <w:rPr>
                <w:sz w:val="20"/>
                <w:szCs w:val="20"/>
              </w:rPr>
            </w:pPr>
            <w:hyperlink w:anchor="I9" w:history="1">
              <w:r>
                <w:rPr>
                  <w:rStyle w:val="Hyperlink"/>
                  <w:sz w:val="20"/>
                  <w:szCs w:val="20"/>
                </w:rPr>
                <w:t>Changes In and Disagreements With Accountants on Accounting and Financial Disclosure</w:t>
              </w:r>
            </w:hyperlink>
          </w:p>
        </w:tc>
        <w:tc>
          <w:tcPr>
            <w:tcW w:w="0" w:type="auto"/>
            <w:shd w:val="clear" w:color="auto" w:fill="FFFFFF"/>
            <w:vAlign w:val="center"/>
            <w:hideMark/>
          </w:tcPr>
          <w:p w14:paraId="5A5A4BE7"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bottom"/>
            <w:hideMark/>
          </w:tcPr>
          <w:p w14:paraId="551EC105" w14:textId="77777777" w:rsidR="002B5D06" w:rsidRDefault="000B69DD">
            <w:pPr>
              <w:pStyle w:val="NormalWeb"/>
              <w:spacing w:before="0" w:beforeAutospacing="0" w:after="0" w:afterAutospacing="0"/>
              <w:jc w:val="right"/>
              <w:rPr>
                <w:sz w:val="20"/>
                <w:szCs w:val="20"/>
              </w:rPr>
            </w:pPr>
            <w:r>
              <w:rPr>
                <w:sz w:val="20"/>
                <w:szCs w:val="20"/>
              </w:rPr>
              <w:t>16</w:t>
            </w:r>
          </w:p>
        </w:tc>
        <w:tc>
          <w:tcPr>
            <w:tcW w:w="0" w:type="auto"/>
            <w:shd w:val="clear" w:color="auto" w:fill="FFFFFF"/>
            <w:vAlign w:val="center"/>
            <w:hideMark/>
          </w:tcPr>
          <w:p w14:paraId="17DFD06F" w14:textId="77777777" w:rsidR="002B5D06" w:rsidRDefault="000B69DD">
            <w:pPr>
              <w:pStyle w:val="NormalWeb"/>
              <w:spacing w:before="0" w:beforeAutospacing="0" w:after="0" w:afterAutospacing="0"/>
              <w:rPr>
                <w:sz w:val="20"/>
                <w:szCs w:val="20"/>
              </w:rPr>
            </w:pPr>
            <w:r>
              <w:rPr>
                <w:sz w:val="20"/>
                <w:szCs w:val="20"/>
              </w:rPr>
              <w:t> </w:t>
            </w:r>
          </w:p>
        </w:tc>
      </w:tr>
      <w:tr w:rsidR="002B5D06" w14:paraId="593DCF6D" w14:textId="77777777">
        <w:trPr>
          <w:divId w:val="1684360448"/>
          <w:trHeight w:val="225"/>
          <w:tblCellSpacing w:w="15" w:type="dxa"/>
          <w:jc w:val="center"/>
        </w:trPr>
        <w:tc>
          <w:tcPr>
            <w:tcW w:w="0" w:type="auto"/>
            <w:shd w:val="clear" w:color="auto" w:fill="CCEEFF"/>
            <w:vAlign w:val="bottom"/>
            <w:hideMark/>
          </w:tcPr>
          <w:p w14:paraId="7C4B492A" w14:textId="77777777" w:rsidR="002B5D06" w:rsidRDefault="000B69DD">
            <w:pPr>
              <w:pStyle w:val="NormalWeb"/>
              <w:spacing w:before="0" w:beforeAutospacing="0" w:after="0" w:afterAutospacing="0"/>
              <w:jc w:val="both"/>
              <w:rPr>
                <w:sz w:val="20"/>
                <w:szCs w:val="20"/>
              </w:rPr>
            </w:pPr>
            <w:hyperlink w:anchor="I9A" w:history="1">
              <w:r>
                <w:rPr>
                  <w:rStyle w:val="Hyperlink"/>
                  <w:sz w:val="20"/>
                  <w:szCs w:val="20"/>
                </w:rPr>
                <w:t>ITEM 9A.</w:t>
              </w:r>
            </w:hyperlink>
          </w:p>
        </w:tc>
        <w:tc>
          <w:tcPr>
            <w:tcW w:w="0" w:type="auto"/>
            <w:shd w:val="clear" w:color="auto" w:fill="CCEEFF"/>
            <w:vAlign w:val="bottom"/>
            <w:hideMark/>
          </w:tcPr>
          <w:p w14:paraId="6F42D2A2" w14:textId="77777777" w:rsidR="002B5D06" w:rsidRDefault="000B69DD">
            <w:pPr>
              <w:pStyle w:val="NormalWeb"/>
              <w:spacing w:before="0" w:beforeAutospacing="0" w:after="0" w:afterAutospacing="0"/>
              <w:jc w:val="both"/>
              <w:rPr>
                <w:sz w:val="20"/>
                <w:szCs w:val="20"/>
              </w:rPr>
            </w:pPr>
            <w:hyperlink w:anchor="I9A" w:history="1">
              <w:r>
                <w:rPr>
                  <w:rStyle w:val="Hyperlink"/>
                  <w:sz w:val="20"/>
                  <w:szCs w:val="20"/>
                </w:rPr>
                <w:t>Controls and Procedures</w:t>
              </w:r>
            </w:hyperlink>
          </w:p>
        </w:tc>
        <w:tc>
          <w:tcPr>
            <w:tcW w:w="0" w:type="auto"/>
            <w:shd w:val="clear" w:color="auto" w:fill="CCEEFF"/>
            <w:vAlign w:val="center"/>
            <w:hideMark/>
          </w:tcPr>
          <w:p w14:paraId="71977B2C"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5B5D3D98" w14:textId="77777777" w:rsidR="002B5D06" w:rsidRDefault="000B69DD">
            <w:pPr>
              <w:pStyle w:val="NormalWeb"/>
              <w:spacing w:before="0" w:beforeAutospacing="0" w:after="0" w:afterAutospacing="0"/>
              <w:jc w:val="right"/>
              <w:rPr>
                <w:sz w:val="20"/>
                <w:szCs w:val="20"/>
              </w:rPr>
            </w:pPr>
            <w:r>
              <w:rPr>
                <w:sz w:val="20"/>
                <w:szCs w:val="20"/>
              </w:rPr>
              <w:t>16</w:t>
            </w:r>
          </w:p>
        </w:tc>
        <w:tc>
          <w:tcPr>
            <w:tcW w:w="0" w:type="auto"/>
            <w:shd w:val="clear" w:color="auto" w:fill="CCEEFF"/>
            <w:vAlign w:val="center"/>
            <w:hideMark/>
          </w:tcPr>
          <w:p w14:paraId="2310DEBD" w14:textId="77777777" w:rsidR="002B5D06" w:rsidRDefault="000B69DD">
            <w:pPr>
              <w:pStyle w:val="NormalWeb"/>
              <w:spacing w:before="0" w:beforeAutospacing="0" w:after="0" w:afterAutospacing="0"/>
              <w:rPr>
                <w:sz w:val="20"/>
                <w:szCs w:val="20"/>
              </w:rPr>
            </w:pPr>
            <w:r>
              <w:rPr>
                <w:sz w:val="20"/>
                <w:szCs w:val="20"/>
              </w:rPr>
              <w:t> </w:t>
            </w:r>
          </w:p>
        </w:tc>
      </w:tr>
      <w:tr w:rsidR="002B5D06" w14:paraId="32583A4E" w14:textId="77777777">
        <w:trPr>
          <w:divId w:val="1684360448"/>
          <w:trHeight w:val="225"/>
          <w:tblCellSpacing w:w="15" w:type="dxa"/>
          <w:jc w:val="center"/>
        </w:trPr>
        <w:tc>
          <w:tcPr>
            <w:tcW w:w="0" w:type="auto"/>
            <w:shd w:val="clear" w:color="auto" w:fill="FFFFFF"/>
            <w:vAlign w:val="bottom"/>
            <w:hideMark/>
          </w:tcPr>
          <w:p w14:paraId="334B6F7A" w14:textId="77777777" w:rsidR="002B5D06" w:rsidRDefault="000B69DD">
            <w:pPr>
              <w:pStyle w:val="NormalWeb"/>
              <w:spacing w:before="0" w:beforeAutospacing="0" w:after="0" w:afterAutospacing="0"/>
              <w:jc w:val="both"/>
              <w:rPr>
                <w:sz w:val="20"/>
                <w:szCs w:val="20"/>
              </w:rPr>
            </w:pPr>
            <w:hyperlink w:anchor="I9B" w:history="1">
              <w:r>
                <w:rPr>
                  <w:rStyle w:val="Hyperlink"/>
                  <w:sz w:val="20"/>
                  <w:szCs w:val="20"/>
                </w:rPr>
                <w:t>ITEM 9B.</w:t>
              </w:r>
            </w:hyperlink>
          </w:p>
        </w:tc>
        <w:tc>
          <w:tcPr>
            <w:tcW w:w="0" w:type="auto"/>
            <w:shd w:val="clear" w:color="auto" w:fill="FFFFFF"/>
            <w:vAlign w:val="bottom"/>
            <w:hideMark/>
          </w:tcPr>
          <w:p w14:paraId="70005DDB" w14:textId="77777777" w:rsidR="002B5D06" w:rsidRDefault="000B69DD">
            <w:pPr>
              <w:pStyle w:val="NormalWeb"/>
              <w:spacing w:before="0" w:beforeAutospacing="0" w:after="0" w:afterAutospacing="0"/>
              <w:jc w:val="both"/>
              <w:rPr>
                <w:sz w:val="20"/>
                <w:szCs w:val="20"/>
              </w:rPr>
            </w:pPr>
            <w:hyperlink w:anchor="I9B" w:history="1">
              <w:r>
                <w:rPr>
                  <w:rStyle w:val="Hyperlink"/>
                  <w:sz w:val="20"/>
                  <w:szCs w:val="20"/>
                </w:rPr>
                <w:t>Other Information</w:t>
              </w:r>
            </w:hyperlink>
          </w:p>
        </w:tc>
        <w:tc>
          <w:tcPr>
            <w:tcW w:w="0" w:type="auto"/>
            <w:shd w:val="clear" w:color="auto" w:fill="FFFFFF"/>
            <w:vAlign w:val="center"/>
            <w:hideMark/>
          </w:tcPr>
          <w:p w14:paraId="591D7FC9"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bottom"/>
            <w:hideMark/>
          </w:tcPr>
          <w:p w14:paraId="5BBC2B24" w14:textId="77777777" w:rsidR="002B5D06" w:rsidRDefault="000B69DD">
            <w:pPr>
              <w:pStyle w:val="NormalWeb"/>
              <w:spacing w:before="0" w:beforeAutospacing="0" w:after="0" w:afterAutospacing="0"/>
              <w:jc w:val="right"/>
              <w:rPr>
                <w:sz w:val="20"/>
                <w:szCs w:val="20"/>
              </w:rPr>
            </w:pPr>
            <w:r>
              <w:rPr>
                <w:sz w:val="20"/>
                <w:szCs w:val="20"/>
              </w:rPr>
              <w:t>17</w:t>
            </w:r>
          </w:p>
        </w:tc>
        <w:tc>
          <w:tcPr>
            <w:tcW w:w="0" w:type="auto"/>
            <w:shd w:val="clear" w:color="auto" w:fill="FFFFFF"/>
            <w:vAlign w:val="center"/>
            <w:hideMark/>
          </w:tcPr>
          <w:p w14:paraId="5CCFFE36" w14:textId="77777777" w:rsidR="002B5D06" w:rsidRDefault="000B69DD">
            <w:pPr>
              <w:pStyle w:val="NormalWeb"/>
              <w:spacing w:before="0" w:beforeAutospacing="0" w:after="0" w:afterAutospacing="0"/>
              <w:rPr>
                <w:sz w:val="20"/>
                <w:szCs w:val="20"/>
              </w:rPr>
            </w:pPr>
            <w:r>
              <w:rPr>
                <w:sz w:val="20"/>
                <w:szCs w:val="20"/>
              </w:rPr>
              <w:t> </w:t>
            </w:r>
          </w:p>
        </w:tc>
      </w:tr>
      <w:tr w:rsidR="002B5D06" w14:paraId="17AF187D" w14:textId="77777777">
        <w:trPr>
          <w:divId w:val="1684360448"/>
          <w:trHeight w:val="225"/>
          <w:tblCellSpacing w:w="15" w:type="dxa"/>
          <w:jc w:val="center"/>
        </w:trPr>
        <w:tc>
          <w:tcPr>
            <w:tcW w:w="0" w:type="auto"/>
            <w:shd w:val="clear" w:color="auto" w:fill="FFFFFF"/>
            <w:vAlign w:val="bottom"/>
            <w:hideMark/>
          </w:tcPr>
          <w:p w14:paraId="7DC19042" w14:textId="77777777" w:rsidR="002B5D06" w:rsidRDefault="000B69DD">
            <w:pPr>
              <w:pStyle w:val="NormalWeb"/>
              <w:spacing w:before="0" w:beforeAutospacing="0" w:after="0" w:afterAutospacing="0"/>
              <w:jc w:val="both"/>
              <w:rPr>
                <w:sz w:val="20"/>
                <w:szCs w:val="20"/>
              </w:rPr>
            </w:pPr>
            <w:hyperlink w:anchor="P3" w:history="1">
              <w:r>
                <w:rPr>
                  <w:rStyle w:val="Hyperlink"/>
                  <w:b/>
                  <w:bCs/>
                  <w:sz w:val="20"/>
                  <w:szCs w:val="20"/>
                </w:rPr>
                <w:t>PART III</w:t>
              </w:r>
            </w:hyperlink>
          </w:p>
        </w:tc>
        <w:tc>
          <w:tcPr>
            <w:tcW w:w="0" w:type="auto"/>
            <w:shd w:val="clear" w:color="auto" w:fill="FFFFFF"/>
            <w:vAlign w:val="center"/>
            <w:hideMark/>
          </w:tcPr>
          <w:p w14:paraId="05C83096"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6BFCA0AA"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55AC801C"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55BB90CE" w14:textId="77777777" w:rsidR="002B5D06" w:rsidRDefault="000B69DD">
            <w:pPr>
              <w:pStyle w:val="NormalWeb"/>
              <w:spacing w:before="0" w:beforeAutospacing="0" w:after="0" w:afterAutospacing="0"/>
              <w:rPr>
                <w:sz w:val="20"/>
                <w:szCs w:val="20"/>
              </w:rPr>
            </w:pPr>
            <w:r>
              <w:rPr>
                <w:sz w:val="20"/>
                <w:szCs w:val="20"/>
              </w:rPr>
              <w:t> </w:t>
            </w:r>
          </w:p>
        </w:tc>
      </w:tr>
      <w:tr w:rsidR="002B5D06" w14:paraId="02F2D1CF" w14:textId="77777777">
        <w:trPr>
          <w:divId w:val="1684360448"/>
          <w:trHeight w:val="225"/>
          <w:tblCellSpacing w:w="15" w:type="dxa"/>
          <w:jc w:val="center"/>
        </w:trPr>
        <w:tc>
          <w:tcPr>
            <w:tcW w:w="0" w:type="auto"/>
            <w:shd w:val="clear" w:color="auto" w:fill="CCEEFF"/>
            <w:vAlign w:val="bottom"/>
            <w:hideMark/>
          </w:tcPr>
          <w:p w14:paraId="334B2B3C" w14:textId="77777777" w:rsidR="002B5D06" w:rsidRDefault="000B69DD">
            <w:pPr>
              <w:pStyle w:val="NormalWeb"/>
              <w:spacing w:before="0" w:beforeAutospacing="0" w:after="0" w:afterAutospacing="0"/>
              <w:jc w:val="both"/>
              <w:rPr>
                <w:sz w:val="20"/>
                <w:szCs w:val="20"/>
              </w:rPr>
            </w:pPr>
            <w:hyperlink w:anchor="I10" w:history="1">
              <w:r>
                <w:rPr>
                  <w:rStyle w:val="Hyperlink"/>
                  <w:sz w:val="20"/>
                  <w:szCs w:val="20"/>
                </w:rPr>
                <w:t>ITEM 10.</w:t>
              </w:r>
            </w:hyperlink>
          </w:p>
        </w:tc>
        <w:tc>
          <w:tcPr>
            <w:tcW w:w="0" w:type="auto"/>
            <w:shd w:val="clear" w:color="auto" w:fill="CCEEFF"/>
            <w:vAlign w:val="bottom"/>
            <w:hideMark/>
          </w:tcPr>
          <w:p w14:paraId="65C65CA2" w14:textId="77777777" w:rsidR="002B5D06" w:rsidRDefault="000B69DD">
            <w:pPr>
              <w:pStyle w:val="NormalWeb"/>
              <w:spacing w:before="0" w:beforeAutospacing="0" w:after="0" w:afterAutospacing="0"/>
              <w:jc w:val="both"/>
              <w:rPr>
                <w:sz w:val="20"/>
                <w:szCs w:val="20"/>
              </w:rPr>
            </w:pPr>
            <w:hyperlink w:anchor="I10" w:history="1">
              <w:r>
                <w:rPr>
                  <w:rStyle w:val="Hyperlink"/>
                  <w:sz w:val="20"/>
                  <w:szCs w:val="20"/>
                </w:rPr>
                <w:t>Directors, Executive Officers and Corporate Governance</w:t>
              </w:r>
            </w:hyperlink>
          </w:p>
        </w:tc>
        <w:tc>
          <w:tcPr>
            <w:tcW w:w="0" w:type="auto"/>
            <w:shd w:val="clear" w:color="auto" w:fill="CCEEFF"/>
            <w:vAlign w:val="center"/>
            <w:hideMark/>
          </w:tcPr>
          <w:p w14:paraId="05DCA9C4"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7D6981CA" w14:textId="77777777" w:rsidR="002B5D06" w:rsidRDefault="000B69DD">
            <w:pPr>
              <w:pStyle w:val="NormalWeb"/>
              <w:spacing w:before="0" w:beforeAutospacing="0" w:after="0" w:afterAutospacing="0"/>
              <w:jc w:val="right"/>
              <w:rPr>
                <w:sz w:val="20"/>
                <w:szCs w:val="20"/>
              </w:rPr>
            </w:pPr>
            <w:r>
              <w:rPr>
                <w:sz w:val="20"/>
                <w:szCs w:val="20"/>
              </w:rPr>
              <w:t>18</w:t>
            </w:r>
          </w:p>
        </w:tc>
        <w:tc>
          <w:tcPr>
            <w:tcW w:w="0" w:type="auto"/>
            <w:shd w:val="clear" w:color="auto" w:fill="CCEEFF"/>
            <w:vAlign w:val="center"/>
            <w:hideMark/>
          </w:tcPr>
          <w:p w14:paraId="53A52E6C" w14:textId="77777777" w:rsidR="002B5D06" w:rsidRDefault="000B69DD">
            <w:pPr>
              <w:pStyle w:val="NormalWeb"/>
              <w:spacing w:before="0" w:beforeAutospacing="0" w:after="0" w:afterAutospacing="0"/>
              <w:rPr>
                <w:sz w:val="20"/>
                <w:szCs w:val="20"/>
              </w:rPr>
            </w:pPr>
            <w:r>
              <w:rPr>
                <w:sz w:val="20"/>
                <w:szCs w:val="20"/>
              </w:rPr>
              <w:t> </w:t>
            </w:r>
          </w:p>
        </w:tc>
      </w:tr>
      <w:tr w:rsidR="002B5D06" w14:paraId="2EB45FDB" w14:textId="77777777">
        <w:trPr>
          <w:divId w:val="1684360448"/>
          <w:trHeight w:val="225"/>
          <w:tblCellSpacing w:w="15" w:type="dxa"/>
          <w:jc w:val="center"/>
        </w:trPr>
        <w:tc>
          <w:tcPr>
            <w:tcW w:w="0" w:type="auto"/>
            <w:shd w:val="clear" w:color="auto" w:fill="FFFFFF"/>
            <w:vAlign w:val="bottom"/>
            <w:hideMark/>
          </w:tcPr>
          <w:p w14:paraId="3867AD3E" w14:textId="77777777" w:rsidR="002B5D06" w:rsidRDefault="000B69DD">
            <w:pPr>
              <w:pStyle w:val="NormalWeb"/>
              <w:spacing w:before="0" w:beforeAutospacing="0" w:after="0" w:afterAutospacing="0"/>
              <w:jc w:val="both"/>
              <w:rPr>
                <w:sz w:val="20"/>
                <w:szCs w:val="20"/>
              </w:rPr>
            </w:pPr>
            <w:hyperlink w:anchor="I11" w:history="1">
              <w:r>
                <w:rPr>
                  <w:rStyle w:val="Hyperlink"/>
                  <w:sz w:val="20"/>
                  <w:szCs w:val="20"/>
                </w:rPr>
                <w:t>ITEM 11.</w:t>
              </w:r>
            </w:hyperlink>
          </w:p>
        </w:tc>
        <w:tc>
          <w:tcPr>
            <w:tcW w:w="0" w:type="auto"/>
            <w:shd w:val="clear" w:color="auto" w:fill="FFFFFF"/>
            <w:vAlign w:val="bottom"/>
            <w:hideMark/>
          </w:tcPr>
          <w:p w14:paraId="7C6E0275" w14:textId="77777777" w:rsidR="002B5D06" w:rsidRDefault="000B69DD">
            <w:pPr>
              <w:pStyle w:val="NormalWeb"/>
              <w:spacing w:before="0" w:beforeAutospacing="0" w:after="0" w:afterAutospacing="0"/>
              <w:jc w:val="both"/>
              <w:rPr>
                <w:sz w:val="20"/>
                <w:szCs w:val="20"/>
              </w:rPr>
            </w:pPr>
            <w:hyperlink w:anchor="I11" w:history="1">
              <w:r>
                <w:rPr>
                  <w:rStyle w:val="Hyperlink"/>
                  <w:sz w:val="20"/>
                  <w:szCs w:val="20"/>
                </w:rPr>
                <w:t>Executive Compensation</w:t>
              </w:r>
            </w:hyperlink>
          </w:p>
        </w:tc>
        <w:tc>
          <w:tcPr>
            <w:tcW w:w="0" w:type="auto"/>
            <w:shd w:val="clear" w:color="auto" w:fill="FFFFFF"/>
            <w:vAlign w:val="center"/>
            <w:hideMark/>
          </w:tcPr>
          <w:p w14:paraId="236138AB"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bottom"/>
            <w:hideMark/>
          </w:tcPr>
          <w:p w14:paraId="63C7BCD4" w14:textId="77777777" w:rsidR="002B5D06" w:rsidRDefault="000B69DD">
            <w:pPr>
              <w:pStyle w:val="NormalWeb"/>
              <w:spacing w:before="0" w:beforeAutospacing="0" w:after="0" w:afterAutospacing="0"/>
              <w:jc w:val="right"/>
              <w:rPr>
                <w:sz w:val="20"/>
                <w:szCs w:val="20"/>
              </w:rPr>
            </w:pPr>
            <w:r>
              <w:rPr>
                <w:sz w:val="20"/>
                <w:szCs w:val="20"/>
              </w:rPr>
              <w:t>19</w:t>
            </w:r>
          </w:p>
        </w:tc>
        <w:tc>
          <w:tcPr>
            <w:tcW w:w="0" w:type="auto"/>
            <w:shd w:val="clear" w:color="auto" w:fill="FFFFFF"/>
            <w:vAlign w:val="center"/>
            <w:hideMark/>
          </w:tcPr>
          <w:p w14:paraId="00A40083" w14:textId="77777777" w:rsidR="002B5D06" w:rsidRDefault="000B69DD">
            <w:pPr>
              <w:pStyle w:val="NormalWeb"/>
              <w:spacing w:before="0" w:beforeAutospacing="0" w:after="0" w:afterAutospacing="0"/>
              <w:rPr>
                <w:sz w:val="20"/>
                <w:szCs w:val="20"/>
              </w:rPr>
            </w:pPr>
            <w:r>
              <w:rPr>
                <w:sz w:val="20"/>
                <w:szCs w:val="20"/>
              </w:rPr>
              <w:t> </w:t>
            </w:r>
          </w:p>
        </w:tc>
      </w:tr>
      <w:tr w:rsidR="002B5D06" w14:paraId="75258889" w14:textId="77777777">
        <w:trPr>
          <w:divId w:val="1684360448"/>
          <w:trHeight w:val="225"/>
          <w:tblCellSpacing w:w="15" w:type="dxa"/>
          <w:jc w:val="center"/>
        </w:trPr>
        <w:tc>
          <w:tcPr>
            <w:tcW w:w="0" w:type="auto"/>
            <w:shd w:val="clear" w:color="auto" w:fill="CCEEFF"/>
            <w:hideMark/>
          </w:tcPr>
          <w:p w14:paraId="58CE2C3A" w14:textId="77777777" w:rsidR="002B5D06" w:rsidRDefault="000B69DD">
            <w:pPr>
              <w:pStyle w:val="NormalWeb"/>
              <w:spacing w:before="0" w:beforeAutospacing="0" w:after="0" w:afterAutospacing="0"/>
              <w:rPr>
                <w:sz w:val="20"/>
                <w:szCs w:val="20"/>
              </w:rPr>
            </w:pPr>
            <w:hyperlink w:anchor="I12" w:history="1">
              <w:r>
                <w:rPr>
                  <w:rStyle w:val="Hyperlink"/>
                  <w:sz w:val="20"/>
                  <w:szCs w:val="20"/>
                </w:rPr>
                <w:t>ITEM 12.</w:t>
              </w:r>
            </w:hyperlink>
          </w:p>
        </w:tc>
        <w:tc>
          <w:tcPr>
            <w:tcW w:w="0" w:type="auto"/>
            <w:shd w:val="clear" w:color="auto" w:fill="CCEEFF"/>
            <w:vAlign w:val="bottom"/>
            <w:hideMark/>
          </w:tcPr>
          <w:p w14:paraId="78837FFA" w14:textId="77777777" w:rsidR="002B5D06" w:rsidRDefault="000B69DD">
            <w:pPr>
              <w:pStyle w:val="NormalWeb"/>
              <w:spacing w:before="0" w:beforeAutospacing="0" w:after="0" w:afterAutospacing="0"/>
              <w:jc w:val="both"/>
              <w:rPr>
                <w:sz w:val="20"/>
                <w:szCs w:val="20"/>
              </w:rPr>
            </w:pPr>
            <w:hyperlink w:anchor="I12" w:history="1">
              <w:r>
                <w:rPr>
                  <w:rStyle w:val="Hyperlink"/>
                  <w:sz w:val="20"/>
                  <w:szCs w:val="20"/>
                </w:rPr>
                <w:t>Security Ownership of Certain Beneficial Owners and Management and Related Stockholder Matters</w:t>
              </w:r>
            </w:hyperlink>
          </w:p>
        </w:tc>
        <w:tc>
          <w:tcPr>
            <w:tcW w:w="0" w:type="auto"/>
            <w:shd w:val="clear" w:color="auto" w:fill="CCEEFF"/>
            <w:vAlign w:val="center"/>
            <w:hideMark/>
          </w:tcPr>
          <w:p w14:paraId="67D18650"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6C1AABDD" w14:textId="77777777" w:rsidR="002B5D06" w:rsidRDefault="000B69DD">
            <w:pPr>
              <w:pStyle w:val="NormalWeb"/>
              <w:spacing w:before="0" w:beforeAutospacing="0" w:after="0" w:afterAutospacing="0"/>
              <w:jc w:val="right"/>
              <w:rPr>
                <w:sz w:val="20"/>
                <w:szCs w:val="20"/>
              </w:rPr>
            </w:pPr>
            <w:r>
              <w:rPr>
                <w:sz w:val="20"/>
                <w:szCs w:val="20"/>
              </w:rPr>
              <w:t>21</w:t>
            </w:r>
          </w:p>
        </w:tc>
        <w:tc>
          <w:tcPr>
            <w:tcW w:w="0" w:type="auto"/>
            <w:shd w:val="clear" w:color="auto" w:fill="CCEEFF"/>
            <w:vAlign w:val="center"/>
            <w:hideMark/>
          </w:tcPr>
          <w:p w14:paraId="56402057" w14:textId="77777777" w:rsidR="002B5D06" w:rsidRDefault="000B69DD">
            <w:pPr>
              <w:pStyle w:val="NormalWeb"/>
              <w:spacing w:before="0" w:beforeAutospacing="0" w:after="0" w:afterAutospacing="0"/>
              <w:rPr>
                <w:sz w:val="20"/>
                <w:szCs w:val="20"/>
              </w:rPr>
            </w:pPr>
            <w:r>
              <w:rPr>
                <w:sz w:val="20"/>
                <w:szCs w:val="20"/>
              </w:rPr>
              <w:t> </w:t>
            </w:r>
          </w:p>
        </w:tc>
      </w:tr>
      <w:tr w:rsidR="002B5D06" w14:paraId="784B177D" w14:textId="77777777">
        <w:trPr>
          <w:divId w:val="1684360448"/>
          <w:trHeight w:val="225"/>
          <w:tblCellSpacing w:w="15" w:type="dxa"/>
          <w:jc w:val="center"/>
        </w:trPr>
        <w:tc>
          <w:tcPr>
            <w:tcW w:w="0" w:type="auto"/>
            <w:shd w:val="clear" w:color="auto" w:fill="FFFFFF"/>
            <w:vAlign w:val="bottom"/>
            <w:hideMark/>
          </w:tcPr>
          <w:p w14:paraId="3BF3F54B" w14:textId="77777777" w:rsidR="002B5D06" w:rsidRDefault="000B69DD">
            <w:pPr>
              <w:pStyle w:val="NormalWeb"/>
              <w:spacing w:before="0" w:beforeAutospacing="0" w:after="0" w:afterAutospacing="0"/>
              <w:jc w:val="both"/>
              <w:rPr>
                <w:sz w:val="20"/>
                <w:szCs w:val="20"/>
              </w:rPr>
            </w:pPr>
            <w:hyperlink w:anchor="I13" w:history="1">
              <w:r>
                <w:rPr>
                  <w:rStyle w:val="Hyperlink"/>
                  <w:sz w:val="20"/>
                  <w:szCs w:val="20"/>
                </w:rPr>
                <w:t>ITEM 13.</w:t>
              </w:r>
            </w:hyperlink>
          </w:p>
        </w:tc>
        <w:tc>
          <w:tcPr>
            <w:tcW w:w="0" w:type="auto"/>
            <w:shd w:val="clear" w:color="auto" w:fill="FFFFFF"/>
            <w:vAlign w:val="bottom"/>
            <w:hideMark/>
          </w:tcPr>
          <w:p w14:paraId="19160C19" w14:textId="77777777" w:rsidR="002B5D06" w:rsidRDefault="000B69DD">
            <w:pPr>
              <w:pStyle w:val="NormalWeb"/>
              <w:spacing w:before="0" w:beforeAutospacing="0" w:after="0" w:afterAutospacing="0"/>
              <w:jc w:val="both"/>
              <w:rPr>
                <w:sz w:val="20"/>
                <w:szCs w:val="20"/>
              </w:rPr>
            </w:pPr>
            <w:hyperlink w:anchor="I13" w:history="1">
              <w:r>
                <w:rPr>
                  <w:rStyle w:val="Hyperlink"/>
                  <w:sz w:val="20"/>
                  <w:szCs w:val="20"/>
                </w:rPr>
                <w:t>Certain Relationships and Related Transactions, and Director Independence</w:t>
              </w:r>
            </w:hyperlink>
          </w:p>
        </w:tc>
        <w:tc>
          <w:tcPr>
            <w:tcW w:w="0" w:type="auto"/>
            <w:shd w:val="clear" w:color="auto" w:fill="FFFFFF"/>
            <w:vAlign w:val="center"/>
            <w:hideMark/>
          </w:tcPr>
          <w:p w14:paraId="7DDAEA5A"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bottom"/>
            <w:hideMark/>
          </w:tcPr>
          <w:p w14:paraId="525D85A4" w14:textId="77777777" w:rsidR="002B5D06" w:rsidRDefault="000B69DD">
            <w:pPr>
              <w:pStyle w:val="NormalWeb"/>
              <w:spacing w:before="0" w:beforeAutospacing="0" w:after="0" w:afterAutospacing="0"/>
              <w:jc w:val="right"/>
              <w:rPr>
                <w:sz w:val="20"/>
                <w:szCs w:val="20"/>
              </w:rPr>
            </w:pPr>
            <w:r>
              <w:rPr>
                <w:sz w:val="20"/>
                <w:szCs w:val="20"/>
              </w:rPr>
              <w:t>22</w:t>
            </w:r>
          </w:p>
        </w:tc>
        <w:tc>
          <w:tcPr>
            <w:tcW w:w="0" w:type="auto"/>
            <w:shd w:val="clear" w:color="auto" w:fill="FFFFFF"/>
            <w:vAlign w:val="center"/>
            <w:hideMark/>
          </w:tcPr>
          <w:p w14:paraId="68DCC3A9" w14:textId="77777777" w:rsidR="002B5D06" w:rsidRDefault="000B69DD">
            <w:pPr>
              <w:pStyle w:val="NormalWeb"/>
              <w:spacing w:before="0" w:beforeAutospacing="0" w:after="0" w:afterAutospacing="0"/>
              <w:rPr>
                <w:sz w:val="20"/>
                <w:szCs w:val="20"/>
              </w:rPr>
            </w:pPr>
            <w:r>
              <w:rPr>
                <w:sz w:val="20"/>
                <w:szCs w:val="20"/>
              </w:rPr>
              <w:t> </w:t>
            </w:r>
          </w:p>
        </w:tc>
      </w:tr>
      <w:tr w:rsidR="002B5D06" w14:paraId="7B85415E" w14:textId="77777777">
        <w:trPr>
          <w:divId w:val="1684360448"/>
          <w:trHeight w:val="225"/>
          <w:tblCellSpacing w:w="15" w:type="dxa"/>
          <w:jc w:val="center"/>
        </w:trPr>
        <w:tc>
          <w:tcPr>
            <w:tcW w:w="0" w:type="auto"/>
            <w:shd w:val="clear" w:color="auto" w:fill="CCEEFF"/>
            <w:vAlign w:val="bottom"/>
            <w:hideMark/>
          </w:tcPr>
          <w:p w14:paraId="73D1023B" w14:textId="77777777" w:rsidR="002B5D06" w:rsidRDefault="000B69DD">
            <w:pPr>
              <w:pStyle w:val="NormalWeb"/>
              <w:spacing w:before="0" w:beforeAutospacing="0" w:after="0" w:afterAutospacing="0"/>
              <w:jc w:val="both"/>
              <w:rPr>
                <w:sz w:val="20"/>
                <w:szCs w:val="20"/>
              </w:rPr>
            </w:pPr>
            <w:hyperlink w:anchor="I14" w:history="1">
              <w:r>
                <w:rPr>
                  <w:rStyle w:val="Hyperlink"/>
                  <w:sz w:val="20"/>
                  <w:szCs w:val="20"/>
                </w:rPr>
                <w:t>ITEM 14.</w:t>
              </w:r>
            </w:hyperlink>
          </w:p>
        </w:tc>
        <w:tc>
          <w:tcPr>
            <w:tcW w:w="0" w:type="auto"/>
            <w:shd w:val="clear" w:color="auto" w:fill="CCEEFF"/>
            <w:vAlign w:val="bottom"/>
            <w:hideMark/>
          </w:tcPr>
          <w:p w14:paraId="344F79F6" w14:textId="77777777" w:rsidR="002B5D06" w:rsidRDefault="000B69DD">
            <w:pPr>
              <w:pStyle w:val="NormalWeb"/>
              <w:spacing w:before="0" w:beforeAutospacing="0" w:after="0" w:afterAutospacing="0"/>
              <w:jc w:val="both"/>
              <w:rPr>
                <w:sz w:val="20"/>
                <w:szCs w:val="20"/>
              </w:rPr>
            </w:pPr>
            <w:hyperlink w:anchor="I14" w:history="1">
              <w:r>
                <w:rPr>
                  <w:rStyle w:val="Hyperlink"/>
                  <w:sz w:val="20"/>
                  <w:szCs w:val="20"/>
                </w:rPr>
                <w:t>Principal Accountant Fees and Services</w:t>
              </w:r>
            </w:hyperlink>
          </w:p>
        </w:tc>
        <w:tc>
          <w:tcPr>
            <w:tcW w:w="0" w:type="auto"/>
            <w:shd w:val="clear" w:color="auto" w:fill="CCEEFF"/>
            <w:vAlign w:val="center"/>
            <w:hideMark/>
          </w:tcPr>
          <w:p w14:paraId="680694D4"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5F886746" w14:textId="77777777" w:rsidR="002B5D06" w:rsidRDefault="000B69DD">
            <w:pPr>
              <w:pStyle w:val="NormalWeb"/>
              <w:spacing w:before="0" w:beforeAutospacing="0" w:after="0" w:afterAutospacing="0"/>
              <w:jc w:val="right"/>
              <w:rPr>
                <w:sz w:val="20"/>
                <w:szCs w:val="20"/>
              </w:rPr>
            </w:pPr>
            <w:r>
              <w:rPr>
                <w:sz w:val="20"/>
                <w:szCs w:val="20"/>
              </w:rPr>
              <w:t>23</w:t>
            </w:r>
          </w:p>
        </w:tc>
        <w:tc>
          <w:tcPr>
            <w:tcW w:w="0" w:type="auto"/>
            <w:shd w:val="clear" w:color="auto" w:fill="CCEEFF"/>
            <w:vAlign w:val="center"/>
            <w:hideMark/>
          </w:tcPr>
          <w:p w14:paraId="0EEED59B" w14:textId="77777777" w:rsidR="002B5D06" w:rsidRDefault="000B69DD">
            <w:pPr>
              <w:pStyle w:val="NormalWeb"/>
              <w:spacing w:before="0" w:beforeAutospacing="0" w:after="0" w:afterAutospacing="0"/>
              <w:rPr>
                <w:sz w:val="20"/>
                <w:szCs w:val="20"/>
              </w:rPr>
            </w:pPr>
            <w:r>
              <w:rPr>
                <w:sz w:val="20"/>
                <w:szCs w:val="20"/>
              </w:rPr>
              <w:t> </w:t>
            </w:r>
          </w:p>
        </w:tc>
      </w:tr>
      <w:tr w:rsidR="002B5D06" w14:paraId="1D69658B" w14:textId="77777777">
        <w:trPr>
          <w:divId w:val="1684360448"/>
          <w:trHeight w:val="225"/>
          <w:tblCellSpacing w:w="15" w:type="dxa"/>
          <w:jc w:val="center"/>
        </w:trPr>
        <w:tc>
          <w:tcPr>
            <w:tcW w:w="0" w:type="auto"/>
            <w:shd w:val="clear" w:color="auto" w:fill="FFFFFF"/>
            <w:vAlign w:val="bottom"/>
            <w:hideMark/>
          </w:tcPr>
          <w:p w14:paraId="4229BDD7" w14:textId="77777777" w:rsidR="002B5D06" w:rsidRDefault="000B69DD">
            <w:pPr>
              <w:pStyle w:val="NormalWeb"/>
              <w:spacing w:before="0" w:beforeAutospacing="0" w:after="0" w:afterAutospacing="0"/>
              <w:jc w:val="both"/>
              <w:rPr>
                <w:sz w:val="20"/>
                <w:szCs w:val="20"/>
              </w:rPr>
            </w:pPr>
            <w:hyperlink w:anchor="P4" w:history="1">
              <w:r>
                <w:rPr>
                  <w:rStyle w:val="Hyperlink"/>
                  <w:b/>
                  <w:bCs/>
                  <w:sz w:val="20"/>
                  <w:szCs w:val="20"/>
                </w:rPr>
                <w:t>PART IV</w:t>
              </w:r>
            </w:hyperlink>
          </w:p>
        </w:tc>
        <w:tc>
          <w:tcPr>
            <w:tcW w:w="0" w:type="auto"/>
            <w:shd w:val="clear" w:color="auto" w:fill="FFFFFF"/>
            <w:vAlign w:val="center"/>
            <w:hideMark/>
          </w:tcPr>
          <w:p w14:paraId="5664C356"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72A69919"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7C4C52A2"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170B091D" w14:textId="77777777" w:rsidR="002B5D06" w:rsidRDefault="000B69DD">
            <w:pPr>
              <w:pStyle w:val="NormalWeb"/>
              <w:spacing w:before="0" w:beforeAutospacing="0" w:after="0" w:afterAutospacing="0"/>
              <w:rPr>
                <w:sz w:val="20"/>
                <w:szCs w:val="20"/>
              </w:rPr>
            </w:pPr>
            <w:r>
              <w:rPr>
                <w:sz w:val="20"/>
                <w:szCs w:val="20"/>
              </w:rPr>
              <w:t> </w:t>
            </w:r>
          </w:p>
        </w:tc>
      </w:tr>
      <w:tr w:rsidR="002B5D06" w14:paraId="56FF5C10" w14:textId="77777777">
        <w:trPr>
          <w:divId w:val="1684360448"/>
          <w:trHeight w:val="225"/>
          <w:tblCellSpacing w:w="15" w:type="dxa"/>
          <w:jc w:val="center"/>
        </w:trPr>
        <w:tc>
          <w:tcPr>
            <w:tcW w:w="0" w:type="auto"/>
            <w:shd w:val="clear" w:color="auto" w:fill="CCEEFF"/>
            <w:vAlign w:val="bottom"/>
            <w:hideMark/>
          </w:tcPr>
          <w:p w14:paraId="6F694E53" w14:textId="77777777" w:rsidR="002B5D06" w:rsidRDefault="000B69DD">
            <w:pPr>
              <w:pStyle w:val="NormalWeb"/>
              <w:spacing w:before="0" w:beforeAutospacing="0" w:after="0" w:afterAutospacing="0"/>
              <w:jc w:val="both"/>
              <w:rPr>
                <w:sz w:val="20"/>
                <w:szCs w:val="20"/>
              </w:rPr>
            </w:pPr>
            <w:hyperlink w:anchor="IT15" w:history="1">
              <w:r>
                <w:rPr>
                  <w:rStyle w:val="Hyperlink"/>
                  <w:sz w:val="20"/>
                  <w:szCs w:val="20"/>
                </w:rPr>
                <w:t>ITEM 15.</w:t>
              </w:r>
            </w:hyperlink>
          </w:p>
        </w:tc>
        <w:tc>
          <w:tcPr>
            <w:tcW w:w="0" w:type="auto"/>
            <w:shd w:val="clear" w:color="auto" w:fill="CCEEFF"/>
            <w:vAlign w:val="bottom"/>
            <w:hideMark/>
          </w:tcPr>
          <w:p w14:paraId="35EEB546" w14:textId="77777777" w:rsidR="002B5D06" w:rsidRDefault="000B69DD">
            <w:pPr>
              <w:pStyle w:val="NormalWeb"/>
              <w:spacing w:before="0" w:beforeAutospacing="0" w:after="0" w:afterAutospacing="0"/>
              <w:jc w:val="both"/>
              <w:rPr>
                <w:sz w:val="20"/>
                <w:szCs w:val="20"/>
              </w:rPr>
            </w:pPr>
            <w:hyperlink w:anchor="IT15" w:history="1">
              <w:r>
                <w:rPr>
                  <w:rStyle w:val="Hyperlink"/>
                  <w:sz w:val="20"/>
                  <w:szCs w:val="20"/>
                </w:rPr>
                <w:t>Exhibits and Financial Statement Schedules</w:t>
              </w:r>
            </w:hyperlink>
          </w:p>
        </w:tc>
        <w:tc>
          <w:tcPr>
            <w:tcW w:w="0" w:type="auto"/>
            <w:shd w:val="clear" w:color="auto" w:fill="CCEEFF"/>
            <w:vAlign w:val="center"/>
            <w:hideMark/>
          </w:tcPr>
          <w:p w14:paraId="21AD004B"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04F10A20" w14:textId="77777777" w:rsidR="002B5D06" w:rsidRDefault="000B69DD">
            <w:pPr>
              <w:pStyle w:val="NormalWeb"/>
              <w:spacing w:before="0" w:beforeAutospacing="0" w:after="0" w:afterAutospacing="0"/>
              <w:jc w:val="right"/>
              <w:rPr>
                <w:sz w:val="20"/>
                <w:szCs w:val="20"/>
              </w:rPr>
            </w:pPr>
            <w:r>
              <w:rPr>
                <w:sz w:val="20"/>
                <w:szCs w:val="20"/>
              </w:rPr>
              <w:t>24</w:t>
            </w:r>
          </w:p>
        </w:tc>
        <w:tc>
          <w:tcPr>
            <w:tcW w:w="0" w:type="auto"/>
            <w:shd w:val="clear" w:color="auto" w:fill="CCEEFF"/>
            <w:vAlign w:val="center"/>
            <w:hideMark/>
          </w:tcPr>
          <w:p w14:paraId="2E1E2F0A" w14:textId="77777777" w:rsidR="002B5D06" w:rsidRDefault="000B69DD">
            <w:pPr>
              <w:pStyle w:val="NormalWeb"/>
              <w:spacing w:before="0" w:beforeAutospacing="0" w:after="0" w:afterAutospacing="0"/>
              <w:rPr>
                <w:sz w:val="20"/>
                <w:szCs w:val="20"/>
              </w:rPr>
            </w:pPr>
            <w:r>
              <w:rPr>
                <w:sz w:val="20"/>
                <w:szCs w:val="20"/>
              </w:rPr>
              <w:t> </w:t>
            </w:r>
          </w:p>
        </w:tc>
      </w:tr>
      <w:tr w:rsidR="002B5D06" w14:paraId="2F038E3D" w14:textId="77777777">
        <w:trPr>
          <w:divId w:val="1684360448"/>
          <w:trHeight w:val="225"/>
          <w:tblCellSpacing w:w="15" w:type="dxa"/>
          <w:jc w:val="center"/>
        </w:trPr>
        <w:tc>
          <w:tcPr>
            <w:tcW w:w="0" w:type="auto"/>
            <w:shd w:val="clear" w:color="auto" w:fill="FFFFFF"/>
            <w:vAlign w:val="center"/>
            <w:hideMark/>
          </w:tcPr>
          <w:p w14:paraId="1D7BABF4"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shd w:val="clear" w:color="auto" w:fill="FFFFFF"/>
            <w:vAlign w:val="center"/>
            <w:hideMark/>
          </w:tcPr>
          <w:p w14:paraId="2C8076D3" w14:textId="77777777" w:rsidR="002B5D06" w:rsidRDefault="000B69DD">
            <w:pPr>
              <w:pStyle w:val="NormalWeb"/>
              <w:spacing w:before="0" w:beforeAutospacing="0" w:after="0" w:afterAutospacing="0"/>
              <w:jc w:val="both"/>
              <w:rPr>
                <w:sz w:val="20"/>
                <w:szCs w:val="20"/>
              </w:rPr>
            </w:pPr>
            <w:hyperlink w:anchor="SIG" w:history="1">
              <w:r>
                <w:rPr>
                  <w:rStyle w:val="Hyperlink"/>
                  <w:sz w:val="20"/>
                  <w:szCs w:val="20"/>
                </w:rPr>
                <w:t>Signatures</w:t>
              </w:r>
            </w:hyperlink>
          </w:p>
        </w:tc>
        <w:tc>
          <w:tcPr>
            <w:tcW w:w="0" w:type="auto"/>
            <w:shd w:val="clear" w:color="auto" w:fill="FFFFFF"/>
            <w:vAlign w:val="center"/>
            <w:hideMark/>
          </w:tcPr>
          <w:p w14:paraId="575B458E"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shd w:val="clear" w:color="auto" w:fill="FFFFFF"/>
            <w:vAlign w:val="center"/>
            <w:hideMark/>
          </w:tcPr>
          <w:p w14:paraId="63884EAC" w14:textId="77777777" w:rsidR="002B5D06" w:rsidRDefault="000B69DD">
            <w:pPr>
              <w:pStyle w:val="NormalWeb"/>
              <w:spacing w:before="0" w:beforeAutospacing="0" w:after="0" w:afterAutospacing="0"/>
              <w:jc w:val="right"/>
              <w:rPr>
                <w:sz w:val="20"/>
                <w:szCs w:val="20"/>
              </w:rPr>
            </w:pPr>
            <w:r>
              <w:rPr>
                <w:sz w:val="20"/>
                <w:szCs w:val="20"/>
              </w:rPr>
              <w:t>25</w:t>
            </w:r>
          </w:p>
        </w:tc>
        <w:tc>
          <w:tcPr>
            <w:tcW w:w="0" w:type="auto"/>
            <w:shd w:val="clear" w:color="auto" w:fill="FFFFFF"/>
            <w:vAlign w:val="center"/>
            <w:hideMark/>
          </w:tcPr>
          <w:p w14:paraId="7F3F0083"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1DBE6292" w14:textId="77777777">
        <w:trPr>
          <w:divId w:val="1684360448"/>
          <w:trHeight w:val="225"/>
          <w:tblCellSpacing w:w="15" w:type="dxa"/>
          <w:jc w:val="center"/>
        </w:trPr>
        <w:tc>
          <w:tcPr>
            <w:tcW w:w="0" w:type="auto"/>
            <w:shd w:val="clear" w:color="auto" w:fill="CCEEFF"/>
            <w:vAlign w:val="center"/>
            <w:hideMark/>
          </w:tcPr>
          <w:p w14:paraId="36747C53"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2DD23E8A" w14:textId="77777777" w:rsidR="002B5D06" w:rsidRDefault="000B69DD">
            <w:pPr>
              <w:pStyle w:val="NormalWeb"/>
              <w:spacing w:before="0" w:beforeAutospacing="0" w:after="0" w:afterAutospacing="0"/>
              <w:jc w:val="both"/>
              <w:rPr>
                <w:sz w:val="20"/>
                <w:szCs w:val="20"/>
              </w:rPr>
            </w:pPr>
            <w:hyperlink w:anchor="EXHIBITF" w:history="1">
              <w:r>
                <w:rPr>
                  <w:rStyle w:val="Hyperlink"/>
                  <w:sz w:val="20"/>
                  <w:szCs w:val="20"/>
                </w:rPr>
                <w:t>Exhibit F: Consolidated Financial Statements and Schedules</w:t>
              </w:r>
            </w:hyperlink>
          </w:p>
        </w:tc>
        <w:tc>
          <w:tcPr>
            <w:tcW w:w="0" w:type="auto"/>
            <w:shd w:val="clear" w:color="auto" w:fill="CCEEFF"/>
            <w:vAlign w:val="center"/>
            <w:hideMark/>
          </w:tcPr>
          <w:p w14:paraId="75B60B6C"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63E11F86" w14:textId="77777777" w:rsidR="002B5D06" w:rsidRDefault="000B69DD">
            <w:pPr>
              <w:pStyle w:val="NormalWeb"/>
              <w:spacing w:before="0" w:beforeAutospacing="0" w:after="0" w:afterAutospacing="0"/>
              <w:jc w:val="right"/>
              <w:rPr>
                <w:sz w:val="20"/>
                <w:szCs w:val="20"/>
              </w:rPr>
            </w:pPr>
            <w:r>
              <w:rPr>
                <w:sz w:val="20"/>
                <w:szCs w:val="20"/>
              </w:rPr>
              <w:t>F-1</w:t>
            </w:r>
          </w:p>
        </w:tc>
        <w:tc>
          <w:tcPr>
            <w:tcW w:w="0" w:type="auto"/>
            <w:shd w:val="clear" w:color="auto" w:fill="CCEEFF"/>
            <w:vAlign w:val="center"/>
            <w:hideMark/>
          </w:tcPr>
          <w:p w14:paraId="4E834A18" w14:textId="77777777" w:rsidR="002B5D06" w:rsidRDefault="000B69DD">
            <w:pPr>
              <w:pStyle w:val="NormalWeb"/>
              <w:spacing w:before="0" w:beforeAutospacing="0" w:after="0" w:afterAutospacing="0"/>
              <w:rPr>
                <w:sz w:val="20"/>
                <w:szCs w:val="20"/>
              </w:rPr>
            </w:pPr>
            <w:r>
              <w:rPr>
                <w:sz w:val="20"/>
                <w:szCs w:val="20"/>
              </w:rPr>
              <w:t> </w:t>
            </w:r>
          </w:p>
        </w:tc>
      </w:tr>
    </w:tbl>
    <w:p w14:paraId="2BD84B70"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6B90304F" w14:textId="77777777">
        <w:trPr>
          <w:divId w:val="1684360448"/>
          <w:trHeight w:val="225"/>
          <w:tblCellSpacing w:w="15" w:type="dxa"/>
          <w:jc w:val="center"/>
        </w:trPr>
        <w:tc>
          <w:tcPr>
            <w:tcW w:w="0" w:type="auto"/>
            <w:vAlign w:val="center"/>
            <w:hideMark/>
          </w:tcPr>
          <w:p w14:paraId="23D2DDB5" w14:textId="77777777" w:rsidR="002B5D06" w:rsidRDefault="000B69DD">
            <w:pPr>
              <w:rPr>
                <w:rFonts w:eastAsia="Times New Roman"/>
                <w:sz w:val="20"/>
                <w:szCs w:val="20"/>
              </w:rPr>
            </w:pPr>
            <w:r>
              <w:rPr>
                <w:rFonts w:eastAsia="Times New Roman"/>
                <w:sz w:val="20"/>
                <w:szCs w:val="20"/>
              </w:rPr>
              <w:t> </w:t>
            </w:r>
          </w:p>
        </w:tc>
      </w:tr>
      <w:tr w:rsidR="002B5D06" w14:paraId="578E210B" w14:textId="77777777">
        <w:trPr>
          <w:divId w:val="1684360448"/>
          <w:trHeight w:val="225"/>
          <w:tblCellSpacing w:w="15" w:type="dxa"/>
          <w:jc w:val="center"/>
        </w:trPr>
        <w:tc>
          <w:tcPr>
            <w:tcW w:w="0" w:type="auto"/>
            <w:tcBorders>
              <w:bottom w:val="single" w:sz="6" w:space="0" w:color="000000"/>
            </w:tcBorders>
            <w:vAlign w:val="center"/>
            <w:hideMark/>
          </w:tcPr>
          <w:p w14:paraId="159A3273" w14:textId="77777777" w:rsidR="002B5D06" w:rsidRDefault="000B69DD">
            <w:pPr>
              <w:jc w:val="center"/>
              <w:rPr>
                <w:rFonts w:eastAsia="Times New Roman"/>
                <w:sz w:val="20"/>
                <w:szCs w:val="20"/>
              </w:rPr>
            </w:pPr>
            <w:r>
              <w:rPr>
                <w:rFonts w:eastAsia="Times New Roman"/>
                <w:sz w:val="20"/>
                <w:szCs w:val="20"/>
              </w:rPr>
              <w:t>1</w:t>
            </w:r>
          </w:p>
        </w:tc>
      </w:tr>
      <w:tr w:rsidR="002B5D06" w14:paraId="66256289" w14:textId="77777777">
        <w:trPr>
          <w:divId w:val="1684360448"/>
          <w:trHeight w:val="225"/>
          <w:tblCellSpacing w:w="15" w:type="dxa"/>
          <w:jc w:val="center"/>
        </w:trPr>
        <w:tc>
          <w:tcPr>
            <w:tcW w:w="0" w:type="auto"/>
            <w:vAlign w:val="center"/>
            <w:hideMark/>
          </w:tcPr>
          <w:p w14:paraId="029696D7" w14:textId="77777777" w:rsidR="002B5D06" w:rsidRDefault="002B5D06">
            <w:pPr>
              <w:rPr>
                <w:rFonts w:eastAsia="Times New Roman"/>
                <w:sz w:val="20"/>
                <w:szCs w:val="20"/>
              </w:rPr>
            </w:pPr>
          </w:p>
        </w:tc>
      </w:tr>
      <w:tr w:rsidR="002B5D06" w14:paraId="5977A924" w14:textId="77777777">
        <w:trPr>
          <w:divId w:val="1684360448"/>
          <w:trHeight w:val="225"/>
          <w:tblCellSpacing w:w="15" w:type="dxa"/>
          <w:jc w:val="center"/>
        </w:trPr>
        <w:tc>
          <w:tcPr>
            <w:tcW w:w="0" w:type="auto"/>
            <w:vAlign w:val="center"/>
            <w:hideMark/>
          </w:tcPr>
          <w:p w14:paraId="434216F6" w14:textId="77777777" w:rsidR="002B5D06" w:rsidRDefault="002B5D06">
            <w:pPr>
              <w:rPr>
                <w:rFonts w:eastAsia="Times New Roman"/>
                <w:sz w:val="20"/>
                <w:szCs w:val="20"/>
              </w:rPr>
            </w:pPr>
          </w:p>
        </w:tc>
      </w:tr>
    </w:tbl>
    <w:p w14:paraId="5EA0B8BF"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56DC5C17" w14:textId="77777777" w:rsidR="002B5D06" w:rsidRDefault="000B69DD">
      <w:pPr>
        <w:pStyle w:val="NormalWeb"/>
        <w:spacing w:before="0" w:beforeAutospacing="0" w:after="0" w:afterAutospacing="0"/>
        <w:divId w:val="1684360448"/>
        <w:rPr>
          <w:sz w:val="20"/>
          <w:szCs w:val="20"/>
        </w:rPr>
      </w:pPr>
      <w:r>
        <w:rPr>
          <w:sz w:val="20"/>
          <w:szCs w:val="20"/>
        </w:rPr>
        <w:t> </w:t>
      </w:r>
    </w:p>
    <w:p w14:paraId="5EC5BCFD" w14:textId="77777777" w:rsidR="002B5D06" w:rsidRDefault="000B69DD">
      <w:pPr>
        <w:pStyle w:val="NormalWeb"/>
        <w:spacing w:before="0" w:beforeAutospacing="0" w:after="0" w:afterAutospacing="0"/>
        <w:jc w:val="center"/>
        <w:divId w:val="1684360448"/>
        <w:rPr>
          <w:sz w:val="20"/>
          <w:szCs w:val="20"/>
        </w:rPr>
      </w:pPr>
      <w:r>
        <w:rPr>
          <w:rStyle w:val="Strong"/>
          <w:sz w:val="20"/>
          <w:szCs w:val="20"/>
        </w:rPr>
        <w:t>Cautionary Language Regarding Forward-Looking Statements and Industry Data</w:t>
      </w:r>
    </w:p>
    <w:p w14:paraId="62F01F8F" w14:textId="77777777" w:rsidR="002B5D06" w:rsidRDefault="000B69DD">
      <w:pPr>
        <w:pStyle w:val="NormalWeb"/>
        <w:spacing w:before="0" w:beforeAutospacing="0" w:after="0" w:afterAutospacing="0"/>
        <w:jc w:val="center"/>
        <w:divId w:val="1684360448"/>
        <w:rPr>
          <w:sz w:val="20"/>
          <w:szCs w:val="20"/>
        </w:rPr>
      </w:pPr>
      <w:r>
        <w:rPr>
          <w:sz w:val="20"/>
          <w:szCs w:val="20"/>
        </w:rPr>
        <w:t> </w:t>
      </w:r>
    </w:p>
    <w:p w14:paraId="30F78F23" w14:textId="77777777" w:rsidR="002B5D06" w:rsidRDefault="000B69DD">
      <w:pPr>
        <w:pStyle w:val="NormalWeb"/>
        <w:spacing w:before="0" w:beforeAutospacing="0" w:after="0" w:afterAutospacing="0"/>
        <w:jc w:val="both"/>
        <w:divId w:val="1684360448"/>
        <w:rPr>
          <w:sz w:val="20"/>
          <w:szCs w:val="20"/>
        </w:rPr>
      </w:pPr>
      <w:r>
        <w:rPr>
          <w:sz w:val="20"/>
          <w:szCs w:val="20"/>
        </w:rPr>
        <w:t>This Annual Report on Form 10-K contains “forward-looking statements”. Forward-looking statements are based upon our current assumptions, expectations and beliefs concerning future developments and their potential effect on our business. In some cases, you can identify forward-looking statements by the following words: “may,” “could,” “would,” “should,” “expect,” “intend,” “plan,” “anticipate,” “believe,” “approximately,” “estimate,” “predict,” “project,” “potential” or the negative of these terms or other comparable terminology, although the absence of these words does not necessarily mean that a statement is not forward-looking. This information may involve known and unknown risks, uncertainties and other factors which may cause our actual results, performance or achievements to be materially different from the future results, performance or achievements expressed or implied by any forward-looking statements.</w:t>
      </w:r>
    </w:p>
    <w:p w14:paraId="243AF18E"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0451A523" w14:textId="77777777" w:rsidR="002B5D06" w:rsidRDefault="000B69DD">
      <w:pPr>
        <w:pStyle w:val="NormalWeb"/>
        <w:spacing w:before="0" w:beforeAutospacing="0" w:after="0" w:afterAutospacing="0"/>
        <w:jc w:val="both"/>
        <w:divId w:val="1684360448"/>
        <w:rPr>
          <w:sz w:val="20"/>
          <w:szCs w:val="20"/>
        </w:rPr>
      </w:pPr>
      <w:r>
        <w:rPr>
          <w:sz w:val="20"/>
          <w:szCs w:val="20"/>
        </w:rPr>
        <w:t>Factors that may cause or contribute actual results to differ from these forward-looking statements include, but are not limited to, the following:</w:t>
      </w:r>
    </w:p>
    <w:p w14:paraId="4B38ED4E"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2B5D06" w14:paraId="02A01386" w14:textId="77777777">
        <w:trPr>
          <w:divId w:val="1684360448"/>
          <w:trHeight w:val="225"/>
          <w:tblCellSpacing w:w="15" w:type="dxa"/>
          <w:jc w:val="center"/>
        </w:trPr>
        <w:tc>
          <w:tcPr>
            <w:tcW w:w="200" w:type="pct"/>
            <w:vAlign w:val="center"/>
            <w:hideMark/>
          </w:tcPr>
          <w:p w14:paraId="61F4AF03" w14:textId="77777777" w:rsidR="002B5D06" w:rsidRDefault="000B69DD">
            <w:pPr>
              <w:pStyle w:val="NormalWeb"/>
              <w:spacing w:before="0" w:beforeAutospacing="0" w:after="0" w:afterAutospacing="0"/>
              <w:rPr>
                <w:sz w:val="20"/>
                <w:szCs w:val="20"/>
              </w:rPr>
            </w:pPr>
            <w:r>
              <w:rPr>
                <w:sz w:val="20"/>
                <w:szCs w:val="20"/>
              </w:rPr>
              <w:t> </w:t>
            </w:r>
          </w:p>
        </w:tc>
        <w:tc>
          <w:tcPr>
            <w:tcW w:w="200" w:type="pct"/>
            <w:hideMark/>
          </w:tcPr>
          <w:p w14:paraId="02EAF297" w14:textId="77777777" w:rsidR="002B5D06" w:rsidRDefault="000B69DD">
            <w:pPr>
              <w:pStyle w:val="NormalWeb"/>
              <w:spacing w:before="0" w:beforeAutospacing="0" w:after="0" w:afterAutospacing="0"/>
              <w:jc w:val="both"/>
              <w:rPr>
                <w:sz w:val="20"/>
                <w:szCs w:val="20"/>
              </w:rPr>
            </w:pPr>
            <w:r>
              <w:rPr>
                <w:sz w:val="20"/>
                <w:szCs w:val="20"/>
              </w:rPr>
              <w:t>●</w:t>
            </w:r>
          </w:p>
        </w:tc>
        <w:tc>
          <w:tcPr>
            <w:tcW w:w="0" w:type="auto"/>
            <w:hideMark/>
          </w:tcPr>
          <w:p w14:paraId="0A693EEF" w14:textId="77777777" w:rsidR="002B5D06" w:rsidRDefault="000B69DD">
            <w:pPr>
              <w:pStyle w:val="NormalWeb"/>
              <w:spacing w:before="0" w:beforeAutospacing="0" w:after="0" w:afterAutospacing="0"/>
              <w:jc w:val="both"/>
              <w:rPr>
                <w:sz w:val="20"/>
                <w:szCs w:val="20"/>
              </w:rPr>
            </w:pPr>
            <w:r>
              <w:rPr>
                <w:sz w:val="20"/>
                <w:szCs w:val="20"/>
              </w:rPr>
              <w:t>all the risks inherent in the owning, buying, leasing, selling, or developing real estate or the real estate business;</w:t>
            </w:r>
          </w:p>
        </w:tc>
      </w:tr>
      <w:tr w:rsidR="002B5D06" w14:paraId="2816A574" w14:textId="77777777">
        <w:trPr>
          <w:divId w:val="1684360448"/>
          <w:trHeight w:val="225"/>
          <w:tblCellSpacing w:w="15" w:type="dxa"/>
          <w:jc w:val="center"/>
        </w:trPr>
        <w:tc>
          <w:tcPr>
            <w:tcW w:w="0" w:type="auto"/>
            <w:vAlign w:val="center"/>
            <w:hideMark/>
          </w:tcPr>
          <w:p w14:paraId="5219A4BB"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3CD17933"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4B236641"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3FE30E67" w14:textId="77777777">
        <w:trPr>
          <w:divId w:val="1684360448"/>
          <w:trHeight w:val="225"/>
          <w:tblCellSpacing w:w="15" w:type="dxa"/>
          <w:jc w:val="center"/>
        </w:trPr>
        <w:tc>
          <w:tcPr>
            <w:tcW w:w="0" w:type="auto"/>
            <w:vAlign w:val="center"/>
            <w:hideMark/>
          </w:tcPr>
          <w:p w14:paraId="07D624D1"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hideMark/>
          </w:tcPr>
          <w:p w14:paraId="3D4F18F4" w14:textId="77777777" w:rsidR="002B5D06" w:rsidRDefault="000B69DD">
            <w:pPr>
              <w:pStyle w:val="NormalWeb"/>
              <w:spacing w:before="0" w:beforeAutospacing="0" w:after="0" w:afterAutospacing="0"/>
              <w:jc w:val="both"/>
              <w:rPr>
                <w:sz w:val="20"/>
                <w:szCs w:val="20"/>
              </w:rPr>
            </w:pPr>
            <w:r>
              <w:rPr>
                <w:sz w:val="20"/>
                <w:szCs w:val="20"/>
              </w:rPr>
              <w:t>●</w:t>
            </w:r>
          </w:p>
        </w:tc>
        <w:tc>
          <w:tcPr>
            <w:tcW w:w="0" w:type="auto"/>
            <w:hideMark/>
          </w:tcPr>
          <w:p w14:paraId="1E7D16DE" w14:textId="77777777" w:rsidR="002B5D06" w:rsidRDefault="000B69DD">
            <w:pPr>
              <w:pStyle w:val="NormalWeb"/>
              <w:spacing w:before="0" w:beforeAutospacing="0" w:after="0" w:afterAutospacing="0"/>
              <w:jc w:val="both"/>
              <w:rPr>
                <w:sz w:val="20"/>
                <w:szCs w:val="20"/>
              </w:rPr>
            </w:pPr>
            <w:r>
              <w:rPr>
                <w:sz w:val="20"/>
                <w:szCs w:val="20"/>
              </w:rPr>
              <w:t>the Company’s absence of significant sales or sales revenues, which make it difficult to predict future performance;</w:t>
            </w:r>
          </w:p>
        </w:tc>
      </w:tr>
      <w:tr w:rsidR="002B5D06" w14:paraId="5136B260" w14:textId="77777777">
        <w:trPr>
          <w:divId w:val="1684360448"/>
          <w:trHeight w:val="225"/>
          <w:tblCellSpacing w:w="15" w:type="dxa"/>
          <w:jc w:val="center"/>
        </w:trPr>
        <w:tc>
          <w:tcPr>
            <w:tcW w:w="0" w:type="auto"/>
            <w:vAlign w:val="center"/>
            <w:hideMark/>
          </w:tcPr>
          <w:p w14:paraId="04AC5166"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61BB7092"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6EDA8BEB"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6571B552" w14:textId="77777777">
        <w:trPr>
          <w:divId w:val="1684360448"/>
          <w:trHeight w:val="225"/>
          <w:tblCellSpacing w:w="15" w:type="dxa"/>
          <w:jc w:val="center"/>
        </w:trPr>
        <w:tc>
          <w:tcPr>
            <w:tcW w:w="0" w:type="auto"/>
            <w:vAlign w:val="center"/>
            <w:hideMark/>
          </w:tcPr>
          <w:p w14:paraId="3A65FE64"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hideMark/>
          </w:tcPr>
          <w:p w14:paraId="75DD2348" w14:textId="77777777" w:rsidR="002B5D06" w:rsidRDefault="000B69DD">
            <w:pPr>
              <w:pStyle w:val="NormalWeb"/>
              <w:spacing w:before="0" w:beforeAutospacing="0" w:after="0" w:afterAutospacing="0"/>
              <w:jc w:val="both"/>
              <w:rPr>
                <w:sz w:val="20"/>
                <w:szCs w:val="20"/>
              </w:rPr>
            </w:pPr>
            <w:r>
              <w:rPr>
                <w:sz w:val="20"/>
                <w:szCs w:val="20"/>
              </w:rPr>
              <w:t>●</w:t>
            </w:r>
          </w:p>
        </w:tc>
        <w:tc>
          <w:tcPr>
            <w:tcW w:w="0" w:type="auto"/>
            <w:hideMark/>
          </w:tcPr>
          <w:p w14:paraId="3F9F8302" w14:textId="77777777" w:rsidR="002B5D06" w:rsidRDefault="000B69DD">
            <w:pPr>
              <w:pStyle w:val="NormalWeb"/>
              <w:spacing w:before="0" w:beforeAutospacing="0" w:after="0" w:afterAutospacing="0"/>
              <w:jc w:val="both"/>
              <w:rPr>
                <w:sz w:val="20"/>
                <w:szCs w:val="20"/>
              </w:rPr>
            </w:pPr>
            <w:r>
              <w:rPr>
                <w:sz w:val="20"/>
                <w:szCs w:val="20"/>
              </w:rPr>
              <w:t>the need to make multiple assumptions in preparing forecasts and projections of any kind, and significant difficulties in predicting and forecasting accurately the expenses likely to be incurred and the revenues likely to be generated in the Company’s future operations;</w:t>
            </w:r>
          </w:p>
        </w:tc>
      </w:tr>
      <w:tr w:rsidR="002B5D06" w14:paraId="6EF8DE7C" w14:textId="77777777">
        <w:trPr>
          <w:divId w:val="1684360448"/>
          <w:trHeight w:val="225"/>
          <w:tblCellSpacing w:w="15" w:type="dxa"/>
          <w:jc w:val="center"/>
        </w:trPr>
        <w:tc>
          <w:tcPr>
            <w:tcW w:w="0" w:type="auto"/>
            <w:vAlign w:val="center"/>
            <w:hideMark/>
          </w:tcPr>
          <w:p w14:paraId="56460393"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5703F0BF"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4D37C121"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310396DB" w14:textId="77777777">
        <w:trPr>
          <w:divId w:val="1684360448"/>
          <w:trHeight w:val="225"/>
          <w:tblCellSpacing w:w="15" w:type="dxa"/>
          <w:jc w:val="center"/>
        </w:trPr>
        <w:tc>
          <w:tcPr>
            <w:tcW w:w="0" w:type="auto"/>
            <w:vAlign w:val="center"/>
            <w:hideMark/>
          </w:tcPr>
          <w:p w14:paraId="5C7C3088"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hideMark/>
          </w:tcPr>
          <w:p w14:paraId="235ECA6B" w14:textId="77777777" w:rsidR="002B5D06" w:rsidRDefault="000B69DD">
            <w:pPr>
              <w:pStyle w:val="NormalWeb"/>
              <w:spacing w:before="0" w:beforeAutospacing="0" w:after="0" w:afterAutospacing="0"/>
              <w:jc w:val="both"/>
              <w:rPr>
                <w:sz w:val="20"/>
                <w:szCs w:val="20"/>
              </w:rPr>
            </w:pPr>
            <w:r>
              <w:rPr>
                <w:sz w:val="20"/>
                <w:szCs w:val="20"/>
              </w:rPr>
              <w:t>●</w:t>
            </w:r>
          </w:p>
        </w:tc>
        <w:tc>
          <w:tcPr>
            <w:tcW w:w="0" w:type="auto"/>
            <w:hideMark/>
          </w:tcPr>
          <w:p w14:paraId="06882BC3" w14:textId="77777777" w:rsidR="002B5D06" w:rsidRDefault="000B69DD">
            <w:pPr>
              <w:pStyle w:val="NormalWeb"/>
              <w:spacing w:before="0" w:beforeAutospacing="0" w:after="0" w:afterAutospacing="0"/>
              <w:jc w:val="both"/>
              <w:rPr>
                <w:sz w:val="20"/>
                <w:szCs w:val="20"/>
              </w:rPr>
            </w:pPr>
            <w:r>
              <w:rPr>
                <w:sz w:val="20"/>
                <w:szCs w:val="20"/>
              </w:rPr>
              <w:t>significant competition in the real estate leasing and development business;</w:t>
            </w:r>
          </w:p>
        </w:tc>
      </w:tr>
      <w:tr w:rsidR="002B5D06" w14:paraId="38AB1186" w14:textId="77777777">
        <w:trPr>
          <w:divId w:val="1684360448"/>
          <w:trHeight w:val="225"/>
          <w:tblCellSpacing w:w="15" w:type="dxa"/>
          <w:jc w:val="center"/>
        </w:trPr>
        <w:tc>
          <w:tcPr>
            <w:tcW w:w="0" w:type="auto"/>
            <w:vAlign w:val="center"/>
            <w:hideMark/>
          </w:tcPr>
          <w:p w14:paraId="71BF202E"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4C426FA2"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2BC17B7C"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6D433A23" w14:textId="77777777">
        <w:trPr>
          <w:divId w:val="1684360448"/>
          <w:trHeight w:val="225"/>
          <w:tblCellSpacing w:w="15" w:type="dxa"/>
          <w:jc w:val="center"/>
        </w:trPr>
        <w:tc>
          <w:tcPr>
            <w:tcW w:w="0" w:type="auto"/>
            <w:vAlign w:val="center"/>
            <w:hideMark/>
          </w:tcPr>
          <w:p w14:paraId="15CC147A"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hideMark/>
          </w:tcPr>
          <w:p w14:paraId="513A5B25" w14:textId="77777777" w:rsidR="002B5D06" w:rsidRDefault="000B69DD">
            <w:pPr>
              <w:pStyle w:val="NormalWeb"/>
              <w:spacing w:before="0" w:beforeAutospacing="0" w:after="0" w:afterAutospacing="0"/>
              <w:jc w:val="both"/>
              <w:rPr>
                <w:sz w:val="20"/>
                <w:szCs w:val="20"/>
              </w:rPr>
            </w:pPr>
            <w:r>
              <w:rPr>
                <w:sz w:val="20"/>
                <w:szCs w:val="20"/>
              </w:rPr>
              <w:t>●</w:t>
            </w:r>
          </w:p>
        </w:tc>
        <w:tc>
          <w:tcPr>
            <w:tcW w:w="0" w:type="auto"/>
            <w:hideMark/>
          </w:tcPr>
          <w:p w14:paraId="46C77794" w14:textId="77777777" w:rsidR="002B5D06" w:rsidRDefault="000B69DD">
            <w:pPr>
              <w:pStyle w:val="NormalWeb"/>
              <w:spacing w:before="0" w:beforeAutospacing="0" w:after="0" w:afterAutospacing="0"/>
              <w:jc w:val="both"/>
              <w:rPr>
                <w:sz w:val="20"/>
                <w:szCs w:val="20"/>
              </w:rPr>
            </w:pPr>
            <w:r>
              <w:rPr>
                <w:sz w:val="20"/>
                <w:szCs w:val="20"/>
              </w:rPr>
              <w:t>the risk that the Company will have difficulties executing its intended business plan;</w:t>
            </w:r>
          </w:p>
        </w:tc>
      </w:tr>
      <w:tr w:rsidR="002B5D06" w14:paraId="0E316570" w14:textId="77777777">
        <w:trPr>
          <w:divId w:val="1684360448"/>
          <w:trHeight w:val="225"/>
          <w:tblCellSpacing w:w="15" w:type="dxa"/>
          <w:jc w:val="center"/>
        </w:trPr>
        <w:tc>
          <w:tcPr>
            <w:tcW w:w="0" w:type="auto"/>
            <w:vAlign w:val="center"/>
            <w:hideMark/>
          </w:tcPr>
          <w:p w14:paraId="471A3498"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53608A01"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399B1996"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0C80C0E8" w14:textId="77777777">
        <w:trPr>
          <w:divId w:val="1684360448"/>
          <w:trHeight w:val="225"/>
          <w:tblCellSpacing w:w="15" w:type="dxa"/>
          <w:jc w:val="center"/>
        </w:trPr>
        <w:tc>
          <w:tcPr>
            <w:tcW w:w="0" w:type="auto"/>
            <w:vAlign w:val="center"/>
            <w:hideMark/>
          </w:tcPr>
          <w:p w14:paraId="180D3A47"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hideMark/>
          </w:tcPr>
          <w:p w14:paraId="4E817F4C" w14:textId="77777777" w:rsidR="002B5D06" w:rsidRDefault="000B69DD">
            <w:pPr>
              <w:pStyle w:val="NormalWeb"/>
              <w:spacing w:before="0" w:beforeAutospacing="0" w:after="0" w:afterAutospacing="0"/>
              <w:jc w:val="both"/>
              <w:rPr>
                <w:sz w:val="20"/>
                <w:szCs w:val="20"/>
              </w:rPr>
            </w:pPr>
            <w:r>
              <w:rPr>
                <w:sz w:val="20"/>
                <w:szCs w:val="20"/>
              </w:rPr>
              <w:t>●</w:t>
            </w:r>
          </w:p>
        </w:tc>
        <w:tc>
          <w:tcPr>
            <w:tcW w:w="0" w:type="auto"/>
            <w:hideMark/>
          </w:tcPr>
          <w:p w14:paraId="58FD67B7" w14:textId="77777777" w:rsidR="002B5D06" w:rsidRDefault="000B69DD">
            <w:pPr>
              <w:pStyle w:val="NormalWeb"/>
              <w:spacing w:before="0" w:beforeAutospacing="0" w:after="0" w:afterAutospacing="0"/>
              <w:jc w:val="both"/>
              <w:rPr>
                <w:sz w:val="20"/>
                <w:szCs w:val="20"/>
              </w:rPr>
            </w:pPr>
            <w:r>
              <w:rPr>
                <w:sz w:val="20"/>
                <w:szCs w:val="20"/>
              </w:rPr>
              <w:t xml:space="preserve">the risk that the Company’s sole source of revenues may discontinue leasing, become insolvent, or not renew its relationship with the Company; </w:t>
            </w:r>
          </w:p>
        </w:tc>
      </w:tr>
      <w:tr w:rsidR="002B5D06" w14:paraId="02AC0D66" w14:textId="77777777">
        <w:trPr>
          <w:divId w:val="1684360448"/>
          <w:trHeight w:val="225"/>
          <w:tblCellSpacing w:w="15" w:type="dxa"/>
          <w:jc w:val="center"/>
        </w:trPr>
        <w:tc>
          <w:tcPr>
            <w:tcW w:w="0" w:type="auto"/>
            <w:vAlign w:val="center"/>
            <w:hideMark/>
          </w:tcPr>
          <w:p w14:paraId="42754D90"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292D5984"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4BCFEC60"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4306A751" w14:textId="77777777">
        <w:trPr>
          <w:divId w:val="1684360448"/>
          <w:trHeight w:val="225"/>
          <w:tblCellSpacing w:w="15" w:type="dxa"/>
          <w:jc w:val="center"/>
        </w:trPr>
        <w:tc>
          <w:tcPr>
            <w:tcW w:w="0" w:type="auto"/>
            <w:vAlign w:val="center"/>
            <w:hideMark/>
          </w:tcPr>
          <w:p w14:paraId="1D8AB276"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hideMark/>
          </w:tcPr>
          <w:p w14:paraId="6CED1961" w14:textId="77777777" w:rsidR="002B5D06" w:rsidRDefault="000B69DD">
            <w:pPr>
              <w:pStyle w:val="NormalWeb"/>
              <w:spacing w:before="0" w:beforeAutospacing="0" w:after="0" w:afterAutospacing="0"/>
              <w:jc w:val="both"/>
              <w:rPr>
                <w:sz w:val="20"/>
                <w:szCs w:val="20"/>
              </w:rPr>
            </w:pPr>
            <w:r>
              <w:rPr>
                <w:sz w:val="20"/>
                <w:szCs w:val="20"/>
              </w:rPr>
              <w:t>●</w:t>
            </w:r>
          </w:p>
        </w:tc>
        <w:tc>
          <w:tcPr>
            <w:tcW w:w="0" w:type="auto"/>
            <w:hideMark/>
          </w:tcPr>
          <w:p w14:paraId="5EF39E24" w14:textId="77777777" w:rsidR="002B5D06" w:rsidRDefault="000B69DD">
            <w:pPr>
              <w:pStyle w:val="NormalWeb"/>
              <w:spacing w:before="0" w:beforeAutospacing="0" w:after="0" w:afterAutospacing="0"/>
              <w:jc w:val="both"/>
              <w:rPr>
                <w:sz w:val="20"/>
                <w:szCs w:val="20"/>
              </w:rPr>
            </w:pPr>
            <w:r>
              <w:rPr>
                <w:sz w:val="20"/>
                <w:szCs w:val="20"/>
              </w:rPr>
              <w:t>potential barriers, risks, uncertainties and obstacles to the Company’s business plans;</w:t>
            </w:r>
          </w:p>
        </w:tc>
      </w:tr>
      <w:tr w:rsidR="002B5D06" w14:paraId="74194B3B" w14:textId="77777777">
        <w:trPr>
          <w:divId w:val="1684360448"/>
          <w:trHeight w:val="225"/>
          <w:tblCellSpacing w:w="15" w:type="dxa"/>
          <w:jc w:val="center"/>
        </w:trPr>
        <w:tc>
          <w:tcPr>
            <w:tcW w:w="0" w:type="auto"/>
            <w:vAlign w:val="center"/>
            <w:hideMark/>
          </w:tcPr>
          <w:p w14:paraId="714D98E7"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48EFC4E3"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316112C1"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3D5B2AB2" w14:textId="77777777">
        <w:trPr>
          <w:divId w:val="1684360448"/>
          <w:trHeight w:val="225"/>
          <w:tblCellSpacing w:w="15" w:type="dxa"/>
          <w:jc w:val="center"/>
        </w:trPr>
        <w:tc>
          <w:tcPr>
            <w:tcW w:w="0" w:type="auto"/>
            <w:vAlign w:val="center"/>
            <w:hideMark/>
          </w:tcPr>
          <w:p w14:paraId="0967FD77"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hideMark/>
          </w:tcPr>
          <w:p w14:paraId="7573686A" w14:textId="77777777" w:rsidR="002B5D06" w:rsidRDefault="000B69DD">
            <w:pPr>
              <w:pStyle w:val="NormalWeb"/>
              <w:spacing w:before="0" w:beforeAutospacing="0" w:after="0" w:afterAutospacing="0"/>
              <w:jc w:val="both"/>
              <w:rPr>
                <w:sz w:val="20"/>
                <w:szCs w:val="20"/>
              </w:rPr>
            </w:pPr>
            <w:r>
              <w:rPr>
                <w:sz w:val="20"/>
                <w:szCs w:val="20"/>
              </w:rPr>
              <w:t>●</w:t>
            </w:r>
          </w:p>
        </w:tc>
        <w:tc>
          <w:tcPr>
            <w:tcW w:w="0" w:type="auto"/>
            <w:hideMark/>
          </w:tcPr>
          <w:p w14:paraId="67798E76" w14:textId="77777777" w:rsidR="002B5D06" w:rsidRDefault="000B69DD">
            <w:pPr>
              <w:pStyle w:val="NormalWeb"/>
              <w:spacing w:before="0" w:beforeAutospacing="0" w:after="0" w:afterAutospacing="0"/>
              <w:jc w:val="both"/>
              <w:rPr>
                <w:sz w:val="20"/>
                <w:szCs w:val="20"/>
              </w:rPr>
            </w:pPr>
            <w:r>
              <w:rPr>
                <w:sz w:val="20"/>
                <w:szCs w:val="20"/>
              </w:rPr>
              <w:t>risks associated with the tightening or other adverse changes in the overall capital and credit markets and decreased availability of investment capital and/or credit, bank financing or other debt financing as and when needed or at favorable terms including fixed and/or low interest rates; and</w:t>
            </w:r>
          </w:p>
        </w:tc>
      </w:tr>
      <w:tr w:rsidR="002B5D06" w14:paraId="2EBCAE61" w14:textId="77777777">
        <w:trPr>
          <w:divId w:val="1684360448"/>
          <w:trHeight w:val="225"/>
          <w:tblCellSpacing w:w="15" w:type="dxa"/>
          <w:jc w:val="center"/>
        </w:trPr>
        <w:tc>
          <w:tcPr>
            <w:tcW w:w="0" w:type="auto"/>
            <w:vAlign w:val="center"/>
            <w:hideMark/>
          </w:tcPr>
          <w:p w14:paraId="6D81C2BB"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2618787F"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13D35DA8"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00A4AED2" w14:textId="77777777">
        <w:trPr>
          <w:divId w:val="1684360448"/>
          <w:trHeight w:val="225"/>
          <w:tblCellSpacing w:w="15" w:type="dxa"/>
          <w:jc w:val="center"/>
        </w:trPr>
        <w:tc>
          <w:tcPr>
            <w:tcW w:w="0" w:type="auto"/>
            <w:vAlign w:val="center"/>
            <w:hideMark/>
          </w:tcPr>
          <w:p w14:paraId="177A897F"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hideMark/>
          </w:tcPr>
          <w:p w14:paraId="52F980D6" w14:textId="77777777" w:rsidR="002B5D06" w:rsidRDefault="000B69DD">
            <w:pPr>
              <w:pStyle w:val="NormalWeb"/>
              <w:spacing w:before="0" w:beforeAutospacing="0" w:after="0" w:afterAutospacing="0"/>
              <w:jc w:val="both"/>
              <w:rPr>
                <w:sz w:val="20"/>
                <w:szCs w:val="20"/>
              </w:rPr>
            </w:pPr>
            <w:r>
              <w:rPr>
                <w:sz w:val="20"/>
                <w:szCs w:val="20"/>
              </w:rPr>
              <w:t>●</w:t>
            </w:r>
          </w:p>
        </w:tc>
        <w:tc>
          <w:tcPr>
            <w:tcW w:w="0" w:type="auto"/>
            <w:hideMark/>
          </w:tcPr>
          <w:p w14:paraId="48D07852" w14:textId="77777777" w:rsidR="002B5D06" w:rsidRDefault="000B69DD">
            <w:pPr>
              <w:pStyle w:val="NormalWeb"/>
              <w:spacing w:before="0" w:beforeAutospacing="0" w:after="0" w:afterAutospacing="0"/>
              <w:jc w:val="both"/>
              <w:rPr>
                <w:sz w:val="20"/>
                <w:szCs w:val="20"/>
              </w:rPr>
            </w:pPr>
            <w:r>
              <w:rPr>
                <w:sz w:val="20"/>
                <w:szCs w:val="20"/>
              </w:rPr>
              <w:t>other risks over which we have no control.</w:t>
            </w:r>
          </w:p>
        </w:tc>
      </w:tr>
    </w:tbl>
    <w:p w14:paraId="48D35746"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EC7FFFB" w14:textId="77777777" w:rsidR="002B5D06" w:rsidRDefault="000B69DD">
      <w:pPr>
        <w:pStyle w:val="NormalWeb"/>
        <w:spacing w:before="0" w:beforeAutospacing="0" w:after="0" w:afterAutospacing="0"/>
        <w:jc w:val="both"/>
        <w:divId w:val="1684360448"/>
        <w:rPr>
          <w:sz w:val="20"/>
          <w:szCs w:val="20"/>
        </w:rPr>
      </w:pPr>
      <w:r>
        <w:rPr>
          <w:sz w:val="20"/>
          <w:szCs w:val="20"/>
        </w:rPr>
        <w:t>All forward-looking statements speak only as of the date of this report. We undertake no obligation to update any forward-looking statements or other information contained herein. Stockholders and potential investors should not place undue reliance on these forward-looking statements. Although we believe that our plans, intentions and expectations reflected in or suggested by the forward-looking statements in this report are reasonable, we cannot assure stockholders and potential investors that these plans, intentions or expectations will be achieved. These cautionary statements qualify all forward-looking statements attributable to us or persons acting on our behalf.</w:t>
      </w:r>
    </w:p>
    <w:p w14:paraId="09B4268A"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F373467" w14:textId="77777777" w:rsidR="002B5D06" w:rsidRDefault="000B69DD">
      <w:pPr>
        <w:pStyle w:val="NormalWeb"/>
        <w:spacing w:before="0" w:beforeAutospacing="0" w:after="0" w:afterAutospacing="0"/>
        <w:jc w:val="both"/>
        <w:divId w:val="1684360448"/>
        <w:rPr>
          <w:sz w:val="20"/>
          <w:szCs w:val="20"/>
        </w:rPr>
      </w:pPr>
      <w:r>
        <w:rPr>
          <w:sz w:val="20"/>
          <w:szCs w:val="20"/>
        </w:rPr>
        <w:t>Information regarding market and industry statistics contained in this report is included based on information available to us that we believe is accurate. It is generally based on academic and other publications that are not produced for purposes of securities offerings or economic analysis. Forecasts and other forward-looking information obtained from these sources are subject to the same qualifications and the additional uncertainties accompanying any estimates of future market size, revenue and market acceptance of products and services. Except as required by U.S. federal securities laws, we have no obligation to update forward-looking information to reflect actual results or changes in assumptions or other factors that could affect those statements.</w:t>
      </w:r>
    </w:p>
    <w:p w14:paraId="63E23D11"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301B16A0" w14:textId="77777777">
        <w:trPr>
          <w:divId w:val="1684360448"/>
          <w:trHeight w:val="225"/>
          <w:tblCellSpacing w:w="15" w:type="dxa"/>
          <w:jc w:val="center"/>
        </w:trPr>
        <w:tc>
          <w:tcPr>
            <w:tcW w:w="0" w:type="auto"/>
            <w:vAlign w:val="center"/>
            <w:hideMark/>
          </w:tcPr>
          <w:p w14:paraId="794D935C" w14:textId="77777777" w:rsidR="002B5D06" w:rsidRDefault="000B69DD">
            <w:pPr>
              <w:rPr>
                <w:rFonts w:eastAsia="Times New Roman"/>
                <w:sz w:val="20"/>
                <w:szCs w:val="20"/>
              </w:rPr>
            </w:pPr>
            <w:r>
              <w:rPr>
                <w:rFonts w:eastAsia="Times New Roman"/>
                <w:sz w:val="20"/>
                <w:szCs w:val="20"/>
              </w:rPr>
              <w:t> </w:t>
            </w:r>
          </w:p>
        </w:tc>
      </w:tr>
      <w:tr w:rsidR="002B5D06" w14:paraId="1C025271" w14:textId="77777777">
        <w:trPr>
          <w:divId w:val="1684360448"/>
          <w:trHeight w:val="225"/>
          <w:tblCellSpacing w:w="15" w:type="dxa"/>
          <w:jc w:val="center"/>
        </w:trPr>
        <w:tc>
          <w:tcPr>
            <w:tcW w:w="0" w:type="auto"/>
            <w:tcBorders>
              <w:bottom w:val="single" w:sz="6" w:space="0" w:color="000000"/>
            </w:tcBorders>
            <w:vAlign w:val="center"/>
            <w:hideMark/>
          </w:tcPr>
          <w:p w14:paraId="1A3FC8AD" w14:textId="77777777" w:rsidR="002B5D06" w:rsidRDefault="000B69DD">
            <w:pPr>
              <w:jc w:val="center"/>
              <w:rPr>
                <w:rFonts w:eastAsia="Times New Roman"/>
                <w:sz w:val="20"/>
                <w:szCs w:val="20"/>
              </w:rPr>
            </w:pPr>
            <w:r>
              <w:rPr>
                <w:rFonts w:eastAsia="Times New Roman"/>
                <w:sz w:val="20"/>
                <w:szCs w:val="20"/>
              </w:rPr>
              <w:t>2</w:t>
            </w:r>
          </w:p>
        </w:tc>
      </w:tr>
      <w:tr w:rsidR="002B5D06" w14:paraId="3F137448" w14:textId="77777777">
        <w:trPr>
          <w:divId w:val="1684360448"/>
          <w:trHeight w:val="225"/>
          <w:tblCellSpacing w:w="15" w:type="dxa"/>
          <w:jc w:val="center"/>
        </w:trPr>
        <w:tc>
          <w:tcPr>
            <w:tcW w:w="0" w:type="auto"/>
            <w:vAlign w:val="center"/>
            <w:hideMark/>
          </w:tcPr>
          <w:p w14:paraId="2021785E" w14:textId="77777777" w:rsidR="002B5D06" w:rsidRDefault="002B5D06">
            <w:pPr>
              <w:rPr>
                <w:rFonts w:eastAsia="Times New Roman"/>
                <w:sz w:val="20"/>
                <w:szCs w:val="20"/>
              </w:rPr>
            </w:pPr>
          </w:p>
        </w:tc>
      </w:tr>
      <w:tr w:rsidR="002B5D06" w14:paraId="63FC5246" w14:textId="77777777">
        <w:trPr>
          <w:divId w:val="1684360448"/>
          <w:trHeight w:val="225"/>
          <w:tblCellSpacing w:w="15" w:type="dxa"/>
          <w:jc w:val="center"/>
        </w:trPr>
        <w:tc>
          <w:tcPr>
            <w:tcW w:w="0" w:type="auto"/>
            <w:vAlign w:val="center"/>
            <w:hideMark/>
          </w:tcPr>
          <w:p w14:paraId="6860C898" w14:textId="77777777" w:rsidR="002B5D06" w:rsidRDefault="002B5D06">
            <w:pPr>
              <w:rPr>
                <w:rFonts w:eastAsia="Times New Roman"/>
                <w:sz w:val="20"/>
                <w:szCs w:val="20"/>
              </w:rPr>
            </w:pPr>
          </w:p>
        </w:tc>
      </w:tr>
    </w:tbl>
    <w:p w14:paraId="61ED2636"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61DFDD33" w14:textId="77777777" w:rsidR="002B5D06" w:rsidRDefault="000B69DD">
      <w:pPr>
        <w:pStyle w:val="NormalWeb"/>
        <w:spacing w:before="0" w:beforeAutospacing="0" w:after="0" w:afterAutospacing="0"/>
        <w:divId w:val="1684360448"/>
        <w:rPr>
          <w:sz w:val="20"/>
          <w:szCs w:val="20"/>
        </w:rPr>
      </w:pPr>
      <w:r>
        <w:rPr>
          <w:sz w:val="20"/>
          <w:szCs w:val="20"/>
        </w:rPr>
        <w:t> </w:t>
      </w:r>
    </w:p>
    <w:p w14:paraId="6435E9D5" w14:textId="77777777" w:rsidR="002B5D06" w:rsidRDefault="000B69DD">
      <w:pPr>
        <w:pStyle w:val="NormalWeb"/>
        <w:spacing w:before="0" w:beforeAutospacing="0" w:after="0" w:afterAutospacing="0"/>
        <w:jc w:val="both"/>
        <w:divId w:val="1684360448"/>
        <w:rPr>
          <w:sz w:val="20"/>
          <w:szCs w:val="20"/>
        </w:rPr>
      </w:pPr>
      <w:r>
        <w:rPr>
          <w:rStyle w:val="atag"/>
          <w:b/>
          <w:bCs/>
          <w:sz w:val="20"/>
          <w:szCs w:val="20"/>
        </w:rPr>
        <w:t>PART I</w:t>
      </w:r>
    </w:p>
    <w:p w14:paraId="03587756"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 </w:t>
      </w:r>
    </w:p>
    <w:p w14:paraId="73E6C161" w14:textId="77777777" w:rsidR="002B5D06" w:rsidRDefault="000B69DD">
      <w:pPr>
        <w:pStyle w:val="NormalWeb"/>
        <w:spacing w:before="0" w:beforeAutospacing="0" w:after="0" w:afterAutospacing="0"/>
        <w:jc w:val="both"/>
        <w:divId w:val="1684360448"/>
        <w:rPr>
          <w:sz w:val="20"/>
          <w:szCs w:val="20"/>
        </w:rPr>
      </w:pPr>
      <w:r>
        <w:rPr>
          <w:rStyle w:val="atag"/>
          <w:b/>
          <w:bCs/>
          <w:i/>
          <w:iCs/>
          <w:sz w:val="20"/>
          <w:szCs w:val="20"/>
        </w:rPr>
        <w:t>ITEM 1- DESCRIPTION OF BUSINESS</w:t>
      </w:r>
    </w:p>
    <w:p w14:paraId="7695ADB5"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 </w:t>
      </w:r>
    </w:p>
    <w:p w14:paraId="6735E22D"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GENERAL:</w:t>
      </w:r>
    </w:p>
    <w:p w14:paraId="1932C812"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C320759" w14:textId="77777777" w:rsidR="002B5D06" w:rsidRDefault="000B69DD">
      <w:pPr>
        <w:pStyle w:val="NormalWeb"/>
        <w:spacing w:before="0" w:beforeAutospacing="0" w:after="0" w:afterAutospacing="0"/>
        <w:jc w:val="both"/>
        <w:divId w:val="1684360448"/>
        <w:rPr>
          <w:sz w:val="20"/>
          <w:szCs w:val="20"/>
        </w:rPr>
      </w:pPr>
      <w:r>
        <w:rPr>
          <w:sz w:val="20"/>
          <w:szCs w:val="20"/>
        </w:rPr>
        <w:t>Advanced Oxygen Technologies, Inc. (“Advanced Oxygen Technologies”, “AOXY”, or the “Company”) operations are derived from its wholly owned subsidiaries Anton Nielsen Vojens, ApS (“ANV”), Sharx Inc. and its wholly owned subsidiary Sharx DK ApS (collectively “Sharx”).</w:t>
      </w:r>
    </w:p>
    <w:p w14:paraId="3650ACA3"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FFBB1BF" w14:textId="77777777" w:rsidR="002B5D06" w:rsidRDefault="000B69DD">
      <w:pPr>
        <w:pStyle w:val="NormalWeb"/>
        <w:spacing w:before="0" w:beforeAutospacing="0" w:after="0" w:afterAutospacing="0"/>
        <w:jc w:val="both"/>
        <w:divId w:val="1684360448"/>
        <w:rPr>
          <w:sz w:val="20"/>
          <w:szCs w:val="20"/>
        </w:rPr>
      </w:pPr>
      <w:r>
        <w:rPr>
          <w:sz w:val="20"/>
          <w:szCs w:val="20"/>
        </w:rPr>
        <w:t>AOXY, incorporated in Delaware in 1981 under the name Aquanautics Corporation, was, from 1985 until May 1995, a startup specialty materials company producing new oxygen control technologies. From May of 1995 through December of 1997 AOXY had minimal operations and was seeking funding for operations and companies to which it could merge or acquire. In March of 1998 AOXY began operations in California. From 1998 through 2000, the business consisted of producing and selling CD-ROMS for conference events, advertisement sales on the CD’s, database management and event marketing all associated with conference events. From 2000 through March of 2003, the business consisted solely of database management. From 2003 through April 2005, the business operations were derived totally from the Company’s wholly owned business, IP Service, ApS, a Danish IP security vulnerability company (“IP Service”). Business operations have been solely derived from ANV and Sharx.</w:t>
      </w:r>
    </w:p>
    <w:p w14:paraId="05DEBFA3"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D6A7C1F" w14:textId="77777777" w:rsidR="002B5D06" w:rsidRDefault="000B69DD">
      <w:pPr>
        <w:pStyle w:val="NormalWeb"/>
        <w:spacing w:before="0" w:beforeAutospacing="0" w:after="0" w:afterAutospacing="0"/>
        <w:jc w:val="both"/>
        <w:divId w:val="1684360448"/>
        <w:rPr>
          <w:sz w:val="20"/>
          <w:szCs w:val="20"/>
        </w:rPr>
      </w:pPr>
      <w:r>
        <w:rPr>
          <w:sz w:val="20"/>
          <w:szCs w:val="20"/>
        </w:rPr>
        <w:t>ANV is a Danish company that owns commercial real estate in Vojens, Denmark. ANV’s revenues are derived solely from the lease revenue from its real estate. Circle K Denmark A/S, formerly StatOil A/S, leases the facility from ANV. The lease expires in 2026.</w:t>
      </w:r>
    </w:p>
    <w:p w14:paraId="09289C0A"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5F6D8E3" w14:textId="77777777" w:rsidR="002B5D06" w:rsidRDefault="000B69DD">
      <w:pPr>
        <w:pStyle w:val="NormalWeb"/>
        <w:spacing w:before="0" w:beforeAutospacing="0" w:after="0" w:afterAutospacing="0"/>
        <w:jc w:val="both"/>
        <w:divId w:val="1684360448"/>
        <w:rPr>
          <w:sz w:val="20"/>
          <w:szCs w:val="20"/>
        </w:rPr>
      </w:pPr>
      <w:r>
        <w:rPr>
          <w:sz w:val="20"/>
          <w:szCs w:val="20"/>
        </w:rPr>
        <w:t>Sharx Inc. is a Wyoming corporation incorporated in April 2020 and operations are derived from its wholly owned subsidiary Sharx DK ApS.</w:t>
      </w:r>
    </w:p>
    <w:p w14:paraId="19EB7195"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8711101" w14:textId="77777777" w:rsidR="002B5D06" w:rsidRDefault="000B69DD">
      <w:pPr>
        <w:pStyle w:val="NormalWeb"/>
        <w:spacing w:before="0" w:beforeAutospacing="0" w:after="0" w:afterAutospacing="0"/>
        <w:jc w:val="both"/>
        <w:divId w:val="1684360448"/>
        <w:rPr>
          <w:sz w:val="20"/>
          <w:szCs w:val="20"/>
        </w:rPr>
      </w:pPr>
      <w:r>
        <w:rPr>
          <w:sz w:val="20"/>
          <w:szCs w:val="20"/>
        </w:rPr>
        <w:t>Sharx DK ApS is a Danish company, incorporated in April 2020. On June 30, 2020, Sharx DK ApS, entered into a distribution agreement with Cleaver ApS, a Danish corporation (“Cleaver”), whereby Cleaver has appointed the Company as Cleaver’s nonexclusive distributor of its products in Europe, South America and North America. Cleaver is a manufacturer of a line of products for the logistics and cargo industry.</w:t>
      </w:r>
    </w:p>
    <w:p w14:paraId="24A65631"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C454EF9"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 xml:space="preserve">HISTORY OF THE COMPANY: </w:t>
      </w:r>
    </w:p>
    <w:p w14:paraId="29F370A3"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B34F04F"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THE PATENT SALE</w:t>
      </w:r>
    </w:p>
    <w:p w14:paraId="38F3F166"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0180A2B6" w14:textId="77777777" w:rsidR="002B5D06" w:rsidRDefault="000B69DD">
      <w:pPr>
        <w:pStyle w:val="NormalWeb"/>
        <w:spacing w:before="0" w:beforeAutospacing="0" w:after="0" w:afterAutospacing="0"/>
        <w:jc w:val="both"/>
        <w:divId w:val="1684360448"/>
        <w:rPr>
          <w:sz w:val="20"/>
          <w:szCs w:val="20"/>
        </w:rPr>
      </w:pPr>
      <w:r>
        <w:rPr>
          <w:sz w:val="20"/>
          <w:szCs w:val="20"/>
        </w:rPr>
        <w:t>On May 1, 1995, the Company sold its patents, and all related technology and intellectual property rights (collectively the “Patents Rights”) to W. R. Grace &amp; Co. Conn., a Connecticut corporation (“Grace”). The price for the Patents Rights was $335,000, in cash, and a royalty until April 30, 2007.</w:t>
      </w:r>
    </w:p>
    <w:p w14:paraId="3EEECCA0"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A2CEBEB"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STOCK ACQUISITION AGREEMENT, 12/18/1997</w:t>
      </w:r>
    </w:p>
    <w:p w14:paraId="58637AD9"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B6CC6EC" w14:textId="77777777" w:rsidR="002B5D06" w:rsidRDefault="000B69DD">
      <w:pPr>
        <w:pStyle w:val="NormalWeb"/>
        <w:spacing w:before="0" w:beforeAutospacing="0" w:after="0" w:afterAutospacing="0"/>
        <w:jc w:val="both"/>
        <w:divId w:val="1684360448"/>
        <w:rPr>
          <w:sz w:val="20"/>
          <w:szCs w:val="20"/>
        </w:rPr>
      </w:pPr>
      <w:r>
        <w:rPr>
          <w:sz w:val="20"/>
          <w:szCs w:val="20"/>
        </w:rPr>
        <w:t>Pursuant to a Stock Acquisition Agreement dated as of December 18, 1997, Advanced Oxygen Technologies, Inc. (“AOXY”) has issued 23,750,00 shares of its common stock, par value $.01 per share for $60,000 cash plus consulting services rendered valued at $177,500, to Crossland, Ltd., (“Crossland”), Eastern Star, Ltd., (“Eastern Star”), Coastal Oil, Ltd. (“Coastal”) and Crossland, Ltd. (Belize) (“CLB”). Crossland and Eastern Star, Ltd. are Bahamas corporations. Coastal Oil and CLB are Belize corporations.</w:t>
      </w:r>
    </w:p>
    <w:p w14:paraId="171841C0"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89F1986"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PURCHASE AGREEMENT, 12/18/1997</w:t>
      </w:r>
    </w:p>
    <w:p w14:paraId="2AA2FB0E"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986059A" w14:textId="77777777" w:rsidR="002B5D06" w:rsidRDefault="000B69DD">
      <w:pPr>
        <w:pStyle w:val="NormalWeb"/>
        <w:spacing w:before="0" w:beforeAutospacing="0" w:after="0" w:afterAutospacing="0"/>
        <w:jc w:val="both"/>
        <w:divId w:val="1684360448"/>
        <w:rPr>
          <w:sz w:val="20"/>
          <w:szCs w:val="20"/>
        </w:rPr>
      </w:pPr>
      <w:r>
        <w:rPr>
          <w:sz w:val="20"/>
          <w:szCs w:val="20"/>
        </w:rPr>
        <w:t>Pursuant to a Purchase Agreement dated as of December 18, 1997, CLB, Triton-International, Ltd., (“Triton”), a Bahamas corporation, and Robert E. Wolfe purchased an aggregate of 800,000 shares of AOXY’s common stock from Edelson Technology Partners II, L.P. (“ETPII”) for $10,000 cash. AOXY issued 450,000 shares of its capital stock to ETPII in exchange for consulting services to be rendered. The general partner of ETPII is Harry Edelson, Chairman of the Board and Chief Executive Officer of AOXY prior to the transactions resulting in the change of control (the “Transactions”). Prior to the Transactions Mr. Edelson directly or indirectly owned approximately 25% of the issued and outstanding common stock of AOXY, and following the completion of Mr. Edelson’s consultancy he will own approximately 1.5%.</w:t>
      </w:r>
    </w:p>
    <w:p w14:paraId="3591C3A8"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43F5A095" w14:textId="77777777">
        <w:trPr>
          <w:divId w:val="1684360448"/>
          <w:trHeight w:val="225"/>
          <w:tblCellSpacing w:w="15" w:type="dxa"/>
          <w:jc w:val="center"/>
        </w:trPr>
        <w:tc>
          <w:tcPr>
            <w:tcW w:w="0" w:type="auto"/>
            <w:vAlign w:val="center"/>
            <w:hideMark/>
          </w:tcPr>
          <w:p w14:paraId="340BCE49" w14:textId="77777777" w:rsidR="002B5D06" w:rsidRDefault="000B69DD">
            <w:pPr>
              <w:rPr>
                <w:rFonts w:eastAsia="Times New Roman"/>
                <w:sz w:val="20"/>
                <w:szCs w:val="20"/>
              </w:rPr>
            </w:pPr>
            <w:r>
              <w:rPr>
                <w:rFonts w:eastAsia="Times New Roman"/>
                <w:sz w:val="20"/>
                <w:szCs w:val="20"/>
              </w:rPr>
              <w:t> </w:t>
            </w:r>
          </w:p>
        </w:tc>
      </w:tr>
      <w:tr w:rsidR="002B5D06" w14:paraId="448A9EC8" w14:textId="77777777">
        <w:trPr>
          <w:divId w:val="1684360448"/>
          <w:trHeight w:val="225"/>
          <w:tblCellSpacing w:w="15" w:type="dxa"/>
          <w:jc w:val="center"/>
        </w:trPr>
        <w:tc>
          <w:tcPr>
            <w:tcW w:w="0" w:type="auto"/>
            <w:tcBorders>
              <w:bottom w:val="single" w:sz="6" w:space="0" w:color="000000"/>
            </w:tcBorders>
            <w:vAlign w:val="center"/>
            <w:hideMark/>
          </w:tcPr>
          <w:p w14:paraId="411E5AB5" w14:textId="77777777" w:rsidR="002B5D06" w:rsidRDefault="000B69DD">
            <w:pPr>
              <w:jc w:val="center"/>
              <w:rPr>
                <w:rFonts w:eastAsia="Times New Roman"/>
                <w:sz w:val="20"/>
                <w:szCs w:val="20"/>
              </w:rPr>
            </w:pPr>
            <w:r>
              <w:rPr>
                <w:rFonts w:eastAsia="Times New Roman"/>
                <w:sz w:val="20"/>
                <w:szCs w:val="20"/>
              </w:rPr>
              <w:t>3</w:t>
            </w:r>
          </w:p>
        </w:tc>
      </w:tr>
      <w:tr w:rsidR="002B5D06" w14:paraId="5CC3C3EA" w14:textId="77777777">
        <w:trPr>
          <w:divId w:val="1684360448"/>
          <w:trHeight w:val="225"/>
          <w:tblCellSpacing w:w="15" w:type="dxa"/>
          <w:jc w:val="center"/>
        </w:trPr>
        <w:tc>
          <w:tcPr>
            <w:tcW w:w="0" w:type="auto"/>
            <w:vAlign w:val="center"/>
            <w:hideMark/>
          </w:tcPr>
          <w:p w14:paraId="14FA2E02" w14:textId="77777777" w:rsidR="002B5D06" w:rsidRDefault="002B5D06">
            <w:pPr>
              <w:rPr>
                <w:rFonts w:eastAsia="Times New Roman"/>
                <w:sz w:val="20"/>
                <w:szCs w:val="20"/>
              </w:rPr>
            </w:pPr>
          </w:p>
        </w:tc>
      </w:tr>
      <w:tr w:rsidR="002B5D06" w14:paraId="7224B1B1" w14:textId="77777777">
        <w:trPr>
          <w:divId w:val="1684360448"/>
          <w:trHeight w:val="225"/>
          <w:tblCellSpacing w:w="15" w:type="dxa"/>
          <w:jc w:val="center"/>
        </w:trPr>
        <w:tc>
          <w:tcPr>
            <w:tcW w:w="0" w:type="auto"/>
            <w:vAlign w:val="center"/>
            <w:hideMark/>
          </w:tcPr>
          <w:p w14:paraId="5D3FC2E5" w14:textId="77777777" w:rsidR="002B5D06" w:rsidRDefault="002B5D06">
            <w:pPr>
              <w:rPr>
                <w:rFonts w:eastAsia="Times New Roman"/>
                <w:sz w:val="20"/>
                <w:szCs w:val="20"/>
              </w:rPr>
            </w:pPr>
          </w:p>
        </w:tc>
      </w:tr>
    </w:tbl>
    <w:p w14:paraId="04C1BFBA"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17E4EFC1" w14:textId="77777777" w:rsidR="002B5D06" w:rsidRDefault="000B69DD">
      <w:pPr>
        <w:pStyle w:val="NormalWeb"/>
        <w:spacing w:before="0" w:beforeAutospacing="0" w:after="0" w:afterAutospacing="0"/>
        <w:divId w:val="1684360448"/>
        <w:rPr>
          <w:sz w:val="20"/>
          <w:szCs w:val="20"/>
        </w:rPr>
      </w:pPr>
      <w:r>
        <w:rPr>
          <w:sz w:val="20"/>
          <w:szCs w:val="20"/>
        </w:rPr>
        <w:t> </w:t>
      </w:r>
    </w:p>
    <w:p w14:paraId="44CE86E5"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ACQUISITION OR DISPOSITION OF ASSETS, 03/09/1998.</w:t>
      </w:r>
    </w:p>
    <w:p w14:paraId="4219D97B"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4B918CD" w14:textId="77777777" w:rsidR="002B5D06" w:rsidRDefault="000B69DD">
      <w:pPr>
        <w:pStyle w:val="NormalWeb"/>
        <w:spacing w:before="0" w:beforeAutospacing="0" w:after="0" w:afterAutospacing="0"/>
        <w:jc w:val="both"/>
        <w:divId w:val="1684360448"/>
        <w:rPr>
          <w:sz w:val="20"/>
          <w:szCs w:val="20"/>
        </w:rPr>
      </w:pPr>
      <w:r>
        <w:rPr>
          <w:sz w:val="20"/>
          <w:szCs w:val="20"/>
        </w:rPr>
        <w:t>On March 9, 1998, pursuant to an Agreement for Purchase and Sale of Specified Business Assets, a Promissory Note, and a Security Agreement all dated March 9, 1998, Advanced Oxygen Technologies, Inc. (the “Company”) purchased certain tangible and intangible assets (the “Assets”) including goodwill and rights under certain contracts, from Integrated Marketing Agency, Inc., a California Corporation (“IMA”). The assets purchased from IMA consisted primarily of furniture, fixtures, equipment, computers, servers, software and databases previously used by IMA in its full service telemarketing business. The purchase price was $2,000,000.</w:t>
      </w:r>
    </w:p>
    <w:p w14:paraId="7BF9577F"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79E9A0D"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PURCHASE AGREEMENT OF 1/29/1999</w:t>
      </w:r>
    </w:p>
    <w:p w14:paraId="0A88A264"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6CA9C9D" w14:textId="77777777" w:rsidR="002B5D06" w:rsidRDefault="000B69DD">
      <w:pPr>
        <w:pStyle w:val="NormalWeb"/>
        <w:spacing w:before="0" w:beforeAutospacing="0" w:after="0" w:afterAutospacing="0"/>
        <w:jc w:val="both"/>
        <w:divId w:val="1684360448"/>
        <w:rPr>
          <w:sz w:val="20"/>
          <w:szCs w:val="20"/>
        </w:rPr>
      </w:pPr>
      <w:r>
        <w:rPr>
          <w:sz w:val="20"/>
          <w:szCs w:val="20"/>
        </w:rPr>
        <w:t>On January 29, 1999, pursuant to the Purchase Agreement of 1/28/99, Advanced Oxygen Technologies, Inc. (“AOXY”) purchased 1,670,000 shares of convertible preferred stock of Advanced Oxygen Technologies, Inc. (“STOCK”) and a $550,000 promissory note issued by Advanced Oxygen Technologies, Inc. (“Note”) from Integrated Marketing Agency, Inc. (“IMA”). The terms of the Purchase Agreement were: AOXY paid $15,000 to IMA, assumed a Citicorp Computer Equipment Lease, #010-0031648-001 from IMA, delivered to IMA certain tangible business property (as listed in Exhibit A of the Purchase Agreement), executed a one year $5,000 promissory note with IMA, and delivered to IMA a Request For Dismissal of case #PS003684 (restraining order) filed in Los Angeles county superior court. IMA sold, transferred, and delivered to AOXY the Stock and the Note. IMA sold, transferred, assigned and delivered the Note and the Stock to AOXY, executed documents with Citicorp Leasing, Inc. to effectuate an express assumption by AOXY of the obligation under lease #010-0031648-001 in the amount of $44,811.26, executed a UCC2 filing releasing UCC-1 filing #9807560696 filed by IMA on March 13, 1998, and delivered such documents as required. In addition, both IMA and AOXY provided mutual liability releases for the other.</w:t>
      </w:r>
    </w:p>
    <w:p w14:paraId="15E6F50D"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853A82C"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ACQUISITION OR DISPOSITION OF ASSETS OF 03/05/2003</w:t>
      </w:r>
    </w:p>
    <w:p w14:paraId="1C677F85"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993DB7F" w14:textId="77777777" w:rsidR="002B5D06" w:rsidRDefault="000B69DD">
      <w:pPr>
        <w:pStyle w:val="NormalWeb"/>
        <w:spacing w:before="0" w:beforeAutospacing="0" w:after="0" w:afterAutospacing="0"/>
        <w:jc w:val="both"/>
        <w:divId w:val="1684360448"/>
        <w:rPr>
          <w:sz w:val="20"/>
          <w:szCs w:val="20"/>
        </w:rPr>
      </w:pPr>
      <w:r>
        <w:rPr>
          <w:sz w:val="20"/>
          <w:szCs w:val="20"/>
        </w:rPr>
        <w:t>Pursuant to a stock acquisition agreement, on March 5, 2003 Advanced Oxygen Technologies, Inc. (AOXY or the Buyer) purchased 100% of the issued and outstanding stock of IP Services, ApS (IP or the Company) from all of its owners (the Shareholders) for value of five hundred thousand dollars (Purchase Price). AOXY issued fourteen million shares of common stock and one share of preferred convertible stock to the Shareholders for payment and consideration of the Purchase Price.</w:t>
      </w:r>
    </w:p>
    <w:p w14:paraId="48586A3B"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56729901" w14:textId="77777777">
        <w:trPr>
          <w:divId w:val="1684360448"/>
          <w:trHeight w:val="225"/>
          <w:tblCellSpacing w:w="15" w:type="dxa"/>
          <w:jc w:val="center"/>
        </w:trPr>
        <w:tc>
          <w:tcPr>
            <w:tcW w:w="0" w:type="auto"/>
            <w:vAlign w:val="center"/>
            <w:hideMark/>
          </w:tcPr>
          <w:p w14:paraId="02F04423" w14:textId="77777777" w:rsidR="002B5D06" w:rsidRDefault="000B69DD">
            <w:pPr>
              <w:rPr>
                <w:rFonts w:eastAsia="Times New Roman"/>
                <w:sz w:val="20"/>
                <w:szCs w:val="20"/>
              </w:rPr>
            </w:pPr>
            <w:r>
              <w:rPr>
                <w:rFonts w:eastAsia="Times New Roman"/>
                <w:sz w:val="20"/>
                <w:szCs w:val="20"/>
              </w:rPr>
              <w:t> </w:t>
            </w:r>
          </w:p>
        </w:tc>
      </w:tr>
      <w:tr w:rsidR="002B5D06" w14:paraId="7DB18097" w14:textId="77777777">
        <w:trPr>
          <w:divId w:val="1684360448"/>
          <w:trHeight w:val="225"/>
          <w:tblCellSpacing w:w="15" w:type="dxa"/>
          <w:jc w:val="center"/>
        </w:trPr>
        <w:tc>
          <w:tcPr>
            <w:tcW w:w="0" w:type="auto"/>
            <w:tcBorders>
              <w:bottom w:val="single" w:sz="6" w:space="0" w:color="000000"/>
            </w:tcBorders>
            <w:vAlign w:val="center"/>
            <w:hideMark/>
          </w:tcPr>
          <w:p w14:paraId="05648E3D" w14:textId="77777777" w:rsidR="002B5D06" w:rsidRDefault="000B69DD">
            <w:pPr>
              <w:jc w:val="center"/>
              <w:rPr>
                <w:rFonts w:eastAsia="Times New Roman"/>
                <w:sz w:val="20"/>
                <w:szCs w:val="20"/>
              </w:rPr>
            </w:pPr>
            <w:r>
              <w:rPr>
                <w:rFonts w:eastAsia="Times New Roman"/>
                <w:sz w:val="20"/>
                <w:szCs w:val="20"/>
              </w:rPr>
              <w:t>4</w:t>
            </w:r>
          </w:p>
        </w:tc>
      </w:tr>
      <w:tr w:rsidR="002B5D06" w14:paraId="7B489F44" w14:textId="77777777">
        <w:trPr>
          <w:divId w:val="1684360448"/>
          <w:trHeight w:val="225"/>
          <w:tblCellSpacing w:w="15" w:type="dxa"/>
          <w:jc w:val="center"/>
        </w:trPr>
        <w:tc>
          <w:tcPr>
            <w:tcW w:w="0" w:type="auto"/>
            <w:vAlign w:val="center"/>
            <w:hideMark/>
          </w:tcPr>
          <w:p w14:paraId="1D9F172B" w14:textId="77777777" w:rsidR="002B5D06" w:rsidRDefault="002B5D06">
            <w:pPr>
              <w:rPr>
                <w:rFonts w:eastAsia="Times New Roman"/>
                <w:sz w:val="20"/>
                <w:szCs w:val="20"/>
              </w:rPr>
            </w:pPr>
          </w:p>
        </w:tc>
      </w:tr>
      <w:tr w:rsidR="002B5D06" w14:paraId="6A66A82B" w14:textId="77777777">
        <w:trPr>
          <w:divId w:val="1684360448"/>
          <w:trHeight w:val="225"/>
          <w:tblCellSpacing w:w="15" w:type="dxa"/>
          <w:jc w:val="center"/>
        </w:trPr>
        <w:tc>
          <w:tcPr>
            <w:tcW w:w="0" w:type="auto"/>
            <w:vAlign w:val="center"/>
            <w:hideMark/>
          </w:tcPr>
          <w:p w14:paraId="2C12DAF5" w14:textId="77777777" w:rsidR="002B5D06" w:rsidRDefault="002B5D06">
            <w:pPr>
              <w:rPr>
                <w:rFonts w:eastAsia="Times New Roman"/>
                <w:sz w:val="20"/>
                <w:szCs w:val="20"/>
              </w:rPr>
            </w:pPr>
          </w:p>
        </w:tc>
      </w:tr>
    </w:tbl>
    <w:p w14:paraId="7F4E582D"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7B99BF63" w14:textId="77777777" w:rsidR="002B5D06" w:rsidRDefault="000B69DD">
      <w:pPr>
        <w:pStyle w:val="NormalWeb"/>
        <w:spacing w:before="0" w:beforeAutospacing="0" w:after="0" w:afterAutospacing="0"/>
        <w:divId w:val="1684360448"/>
        <w:rPr>
          <w:sz w:val="20"/>
          <w:szCs w:val="20"/>
        </w:rPr>
      </w:pPr>
      <w:r>
        <w:rPr>
          <w:sz w:val="20"/>
          <w:szCs w:val="20"/>
        </w:rPr>
        <w:t> </w:t>
      </w:r>
    </w:p>
    <w:p w14:paraId="545041B5"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MOBILIGROUP ApS MERGER AGREEMENT OF 04/ 23/2005</w:t>
      </w:r>
    </w:p>
    <w:p w14:paraId="25F5A9A0"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C79360A" w14:textId="77777777" w:rsidR="002B5D06" w:rsidRDefault="000B69DD">
      <w:pPr>
        <w:pStyle w:val="NormalWeb"/>
        <w:spacing w:before="0" w:beforeAutospacing="0" w:after="0" w:afterAutospacing="0"/>
        <w:jc w:val="both"/>
        <w:divId w:val="1684360448"/>
        <w:rPr>
          <w:sz w:val="20"/>
          <w:szCs w:val="20"/>
        </w:rPr>
      </w:pPr>
      <w:r>
        <w:rPr>
          <w:sz w:val="20"/>
          <w:szCs w:val="20"/>
        </w:rPr>
        <w:t>Pursuant to a merger agreement attached hereto as exhibit I, (“Merger Agreement”), on April 23, 2005 Mobile Group Inc., (“Mobile “a formerly wholly owned subsidiary of Advanced Oxygen Technologies, Inc. acquired 100% of the issued and outstanding stock of Mobiligroup, ApS in exchange for 800 shares of Mobile representing 80% of the issued and outstanding shares of Mobile.</w:t>
      </w:r>
    </w:p>
    <w:p w14:paraId="311B1272"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69F8012"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SALE OF IP SERVICE: STOCK ACQUISITION AGREEMENT OF 04/27/2005</w:t>
      </w:r>
    </w:p>
    <w:p w14:paraId="60011884"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5166209" w14:textId="77777777" w:rsidR="002B5D06" w:rsidRDefault="000B69DD">
      <w:pPr>
        <w:pStyle w:val="NormalWeb"/>
        <w:spacing w:before="0" w:beforeAutospacing="0" w:after="0" w:afterAutospacing="0"/>
        <w:jc w:val="both"/>
        <w:divId w:val="1684360448"/>
        <w:rPr>
          <w:sz w:val="20"/>
          <w:szCs w:val="20"/>
        </w:rPr>
      </w:pPr>
      <w:r>
        <w:rPr>
          <w:sz w:val="20"/>
          <w:szCs w:val="20"/>
        </w:rPr>
        <w:t>Pursuant to a stock acquisition agreement, on April 27, 2005 Advanced Oxygen Technologies, Inc. sold 100.00% of the stock of IP Service ApS to SecurAs, Ltd. 7 Stewards Court, Carlisle Close, Kingston Upon Thames, Surrey KT2 7AU, United Kingdom (“SecurAs”).</w:t>
      </w:r>
    </w:p>
    <w:p w14:paraId="66BBC431"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C626C3C"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PURCHASE OF ANTON NIELSEN VOJENS, ApS: STOCK ACQUISITION AGREEMENT OF FEBRUARY 3, 2006</w:t>
      </w:r>
    </w:p>
    <w:p w14:paraId="76DF0ADE"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5B0D504" w14:textId="77777777" w:rsidR="002B5D06" w:rsidRDefault="000B69DD">
      <w:pPr>
        <w:pStyle w:val="NormalWeb"/>
        <w:spacing w:before="0" w:beforeAutospacing="0" w:after="0" w:afterAutospacing="0"/>
        <w:jc w:val="both"/>
        <w:divId w:val="1684360448"/>
        <w:rPr>
          <w:sz w:val="20"/>
          <w:szCs w:val="20"/>
        </w:rPr>
      </w:pPr>
      <w:r>
        <w:rPr>
          <w:sz w:val="20"/>
          <w:szCs w:val="20"/>
        </w:rPr>
        <w:t>Pursuant to a stock acquisition agreement on February 3, 2006 Advanced Oxygen Technologies, Inc. (“AOXY”) purchased 100.00% of the stock of Anton Nielsen Vojens ApS, a Danish company from Borkwood Development Ltd. (a current shareholder of AOXY) for Six Hundred and Fifty Thousand US Dollars. The transaction was financed as follows:</w:t>
      </w:r>
    </w:p>
    <w:p w14:paraId="4BE8E9B9"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15B2DEE" w14:textId="77777777" w:rsidR="002B5D06" w:rsidRDefault="000B69DD">
      <w:pPr>
        <w:pStyle w:val="NormalWeb"/>
        <w:spacing w:before="0" w:beforeAutospacing="0" w:after="0" w:afterAutospacing="0"/>
        <w:jc w:val="both"/>
        <w:divId w:val="1684360448"/>
        <w:rPr>
          <w:sz w:val="20"/>
          <w:szCs w:val="20"/>
        </w:rPr>
      </w:pPr>
      <w:r>
        <w:rPr>
          <w:sz w:val="20"/>
          <w:szCs w:val="20"/>
        </w:rPr>
        <w:t>1) AOXY executed a promissory note (“Note”) for $650,000, payable to the sellers of ANV (“Sellers”) payable and amortized monthly and carrying an interest at 5% per year. AOXY has the right to prepay the note at any time with a notice of 14 days. To secure the payment of principal and interest the Sellers will receive a perfect lien and security interest in the Shares in the company ANV until the note with accrued interest is paid in full and,</w:t>
      </w:r>
    </w:p>
    <w:p w14:paraId="61FDE77D"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4A6930E" w14:textId="77777777" w:rsidR="002B5D06" w:rsidRDefault="000B69DD">
      <w:pPr>
        <w:pStyle w:val="NormalWeb"/>
        <w:spacing w:before="0" w:beforeAutospacing="0" w:after="0" w:afterAutospacing="0"/>
        <w:jc w:val="both"/>
        <w:divId w:val="1684360448"/>
        <w:rPr>
          <w:sz w:val="20"/>
          <w:szCs w:val="20"/>
        </w:rPr>
      </w:pPr>
      <w:r>
        <w:rPr>
          <w:sz w:val="20"/>
          <w:szCs w:val="20"/>
        </w:rPr>
        <w:t>2) In the case that the Note has not been repaid within 12 months from the day of closing the Sellers have the right to convert the debt to common stock of Advanced Oxygen Technologies, Inc. in an amount of non-diluted shares calculated on the conversion Date, equal to the lesser of : a) Six hundred and Fifty thousand (650,000) or the Purchase Price minus the principal payments made by the buyer, whichever is greater, divided by the previous ten day closing price of AOXY as quoted on the national exchange, or b) Fifteen million shares, whichever is lesser. The Sellers must demand such conversion with a notice of 1 month.</w:t>
      </w:r>
    </w:p>
    <w:p w14:paraId="65646876"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80851AE"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SUBDIVISION AND SALE OF REAL ESTATE OF MARCH 3, 2006</w:t>
      </w:r>
    </w:p>
    <w:p w14:paraId="52325FBE"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18FEC90" w14:textId="77777777" w:rsidR="002B5D06" w:rsidRDefault="000B69DD">
      <w:pPr>
        <w:pStyle w:val="NormalWeb"/>
        <w:spacing w:before="0" w:beforeAutospacing="0" w:after="0" w:afterAutospacing="0"/>
        <w:jc w:val="both"/>
        <w:divId w:val="1684360448"/>
        <w:rPr>
          <w:sz w:val="20"/>
          <w:szCs w:val="20"/>
        </w:rPr>
      </w:pPr>
      <w:r>
        <w:rPr>
          <w:sz w:val="20"/>
          <w:szCs w:val="20"/>
        </w:rPr>
        <w:t>Pursuant to an acquisition agreement (“Acquisition Agreement”), on March 3, 2006 Anton Nielsen Vojens ApS, a wholly owned subsidiary of Advanced Oxygen Technologies, Inc. (“AOXY”) entered into an agreement to sub divide and sell a 3,300 M2 portion of its Vojens City property (‘Property”) for Two Million Three hundred Thousand Danish Krone (2.300.000 DKK) to Ejendomsselskabet Ostergade 67 ApS, a Danish company (“EO”). Under the terms of the Acquisition Agreement: EO purchased the Property in an as is condition, and was responsible for all costs of the transaction including but not limited to: sub division costs, legal, financial, 1/2 the filing costs, deed transfer costs (ANV was responsible for the survey costs and 1/2 the filing costs).</w:t>
      </w:r>
    </w:p>
    <w:p w14:paraId="397349C6"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6E1F558"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INCORPORATION OF SHARX INC. AND SHARX DK ApS OF APRIL 2020</w:t>
      </w:r>
    </w:p>
    <w:p w14:paraId="758DDE39"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E9325D2" w14:textId="77777777" w:rsidR="002B5D06" w:rsidRDefault="000B69DD">
      <w:pPr>
        <w:pStyle w:val="NormalWeb"/>
        <w:spacing w:before="0" w:beforeAutospacing="0" w:after="0" w:afterAutospacing="0"/>
        <w:jc w:val="both"/>
        <w:divId w:val="1684360448"/>
        <w:rPr>
          <w:sz w:val="20"/>
          <w:szCs w:val="20"/>
        </w:rPr>
      </w:pPr>
      <w:r>
        <w:rPr>
          <w:sz w:val="20"/>
          <w:szCs w:val="20"/>
        </w:rPr>
        <w:t>In April 2020, the Company formed and incorporated Sharx Inc. in Wyoming. In April 2020, Sharx Inc. incorporated Sharx DK ApS in Denmark. Operations of Sharx DK ApS began in June 2020. On June 30, 2020, Advanced Oxygen Technologies, Inc. (collectively with its subsidiaries, the “Company”), through its indirect wholly owned subsidiary, Sharx DK ApS, a Danish corporation, entered into the Distribution Agreement with Cleaver ApS, a Danish corporation, whereby Cleaver has appointed the Company as Cleaver’s nonexclusive distributor of its products in Europe, South America and North America. Cleaver is a manufacturer of a line of products for the logistics and cargo industry.</w:t>
      </w:r>
    </w:p>
    <w:p w14:paraId="4E1EBF88"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6F764408" w14:textId="77777777">
        <w:trPr>
          <w:divId w:val="1684360448"/>
          <w:trHeight w:val="225"/>
          <w:tblCellSpacing w:w="15" w:type="dxa"/>
          <w:jc w:val="center"/>
        </w:trPr>
        <w:tc>
          <w:tcPr>
            <w:tcW w:w="0" w:type="auto"/>
            <w:vAlign w:val="center"/>
            <w:hideMark/>
          </w:tcPr>
          <w:p w14:paraId="0CA6A0DF" w14:textId="77777777" w:rsidR="002B5D06" w:rsidRDefault="000B69DD">
            <w:pPr>
              <w:rPr>
                <w:rFonts w:eastAsia="Times New Roman"/>
                <w:sz w:val="20"/>
                <w:szCs w:val="20"/>
              </w:rPr>
            </w:pPr>
            <w:r>
              <w:rPr>
                <w:rFonts w:eastAsia="Times New Roman"/>
                <w:sz w:val="20"/>
                <w:szCs w:val="20"/>
              </w:rPr>
              <w:t> </w:t>
            </w:r>
          </w:p>
        </w:tc>
      </w:tr>
      <w:tr w:rsidR="002B5D06" w14:paraId="166B81EE" w14:textId="77777777">
        <w:trPr>
          <w:divId w:val="1684360448"/>
          <w:trHeight w:val="225"/>
          <w:tblCellSpacing w:w="15" w:type="dxa"/>
          <w:jc w:val="center"/>
        </w:trPr>
        <w:tc>
          <w:tcPr>
            <w:tcW w:w="0" w:type="auto"/>
            <w:tcBorders>
              <w:bottom w:val="single" w:sz="6" w:space="0" w:color="000000"/>
            </w:tcBorders>
            <w:vAlign w:val="center"/>
            <w:hideMark/>
          </w:tcPr>
          <w:p w14:paraId="271CC984" w14:textId="77777777" w:rsidR="002B5D06" w:rsidRDefault="000B69DD">
            <w:pPr>
              <w:jc w:val="center"/>
              <w:rPr>
                <w:rFonts w:eastAsia="Times New Roman"/>
                <w:sz w:val="20"/>
                <w:szCs w:val="20"/>
              </w:rPr>
            </w:pPr>
            <w:r>
              <w:rPr>
                <w:rFonts w:eastAsia="Times New Roman"/>
                <w:sz w:val="20"/>
                <w:szCs w:val="20"/>
              </w:rPr>
              <w:t>5</w:t>
            </w:r>
          </w:p>
        </w:tc>
      </w:tr>
      <w:tr w:rsidR="002B5D06" w14:paraId="639FDF0D" w14:textId="77777777">
        <w:trPr>
          <w:divId w:val="1684360448"/>
          <w:trHeight w:val="225"/>
          <w:tblCellSpacing w:w="15" w:type="dxa"/>
          <w:jc w:val="center"/>
        </w:trPr>
        <w:tc>
          <w:tcPr>
            <w:tcW w:w="0" w:type="auto"/>
            <w:vAlign w:val="center"/>
            <w:hideMark/>
          </w:tcPr>
          <w:p w14:paraId="35644B0C" w14:textId="77777777" w:rsidR="002B5D06" w:rsidRDefault="002B5D06">
            <w:pPr>
              <w:rPr>
                <w:rFonts w:eastAsia="Times New Roman"/>
                <w:sz w:val="20"/>
                <w:szCs w:val="20"/>
              </w:rPr>
            </w:pPr>
          </w:p>
        </w:tc>
      </w:tr>
      <w:tr w:rsidR="002B5D06" w14:paraId="48153DE2" w14:textId="77777777">
        <w:trPr>
          <w:divId w:val="1684360448"/>
          <w:trHeight w:val="225"/>
          <w:tblCellSpacing w:w="15" w:type="dxa"/>
          <w:jc w:val="center"/>
        </w:trPr>
        <w:tc>
          <w:tcPr>
            <w:tcW w:w="0" w:type="auto"/>
            <w:vAlign w:val="center"/>
            <w:hideMark/>
          </w:tcPr>
          <w:p w14:paraId="073CF1CF" w14:textId="77777777" w:rsidR="002B5D06" w:rsidRDefault="002B5D06">
            <w:pPr>
              <w:rPr>
                <w:rFonts w:eastAsia="Times New Roman"/>
                <w:sz w:val="20"/>
                <w:szCs w:val="20"/>
              </w:rPr>
            </w:pPr>
          </w:p>
        </w:tc>
      </w:tr>
    </w:tbl>
    <w:p w14:paraId="71F3DCF7"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3370F614" w14:textId="77777777" w:rsidR="002B5D06" w:rsidRDefault="000B69DD">
      <w:pPr>
        <w:pStyle w:val="NormalWeb"/>
        <w:spacing w:before="0" w:beforeAutospacing="0" w:after="0" w:afterAutospacing="0"/>
        <w:divId w:val="1684360448"/>
        <w:rPr>
          <w:sz w:val="20"/>
          <w:szCs w:val="20"/>
        </w:rPr>
      </w:pPr>
      <w:r>
        <w:rPr>
          <w:sz w:val="20"/>
          <w:szCs w:val="20"/>
        </w:rPr>
        <w:t> </w:t>
      </w:r>
    </w:p>
    <w:p w14:paraId="0F9D2AF8"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COMPANY OBJECTIVE AND MISSION:</w:t>
      </w:r>
    </w:p>
    <w:p w14:paraId="1B862D6F"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0589BDCA" w14:textId="77777777" w:rsidR="002B5D06" w:rsidRDefault="000B69DD">
      <w:pPr>
        <w:pStyle w:val="NormalWeb"/>
        <w:spacing w:before="0" w:beforeAutospacing="0" w:after="0" w:afterAutospacing="0"/>
        <w:jc w:val="both"/>
        <w:divId w:val="1684360448"/>
        <w:rPr>
          <w:sz w:val="20"/>
          <w:szCs w:val="20"/>
        </w:rPr>
      </w:pPr>
      <w:r>
        <w:rPr>
          <w:sz w:val="20"/>
          <w:szCs w:val="20"/>
        </w:rPr>
        <w:t>The Company currently shares its location with a related company of the President of the Company. The Company owns 100% of subsidiaries, Anton Nielsen Vojens, ApS, Sharx Inc. and Sharx DK ApS.</w:t>
      </w:r>
    </w:p>
    <w:p w14:paraId="1042A648"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7F1DEF6" w14:textId="77777777" w:rsidR="002B5D06" w:rsidRDefault="000B69DD">
      <w:pPr>
        <w:pStyle w:val="NormalWeb"/>
        <w:spacing w:before="0" w:beforeAutospacing="0" w:after="0" w:afterAutospacing="0"/>
        <w:jc w:val="both"/>
        <w:divId w:val="1684360448"/>
        <w:rPr>
          <w:sz w:val="20"/>
          <w:szCs w:val="20"/>
        </w:rPr>
      </w:pPr>
      <w:r>
        <w:rPr>
          <w:sz w:val="20"/>
          <w:szCs w:val="20"/>
        </w:rPr>
        <w:t>Anton Nielsen Vojens owns and leases commercial real estate to Circle K Denmark A/S, formerly StatOil A/S a Danish company. The lease expires in 2026. Through this lease, the Company believes that the operations of ANV will continue to produce revenues.</w:t>
      </w:r>
    </w:p>
    <w:p w14:paraId="45037628"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0D8C0DD" w14:textId="77777777" w:rsidR="002B5D06" w:rsidRDefault="000B69DD">
      <w:pPr>
        <w:pStyle w:val="NormalWeb"/>
        <w:spacing w:before="0" w:beforeAutospacing="0" w:after="0" w:afterAutospacing="0"/>
        <w:jc w:val="both"/>
        <w:divId w:val="1684360448"/>
        <w:rPr>
          <w:sz w:val="20"/>
          <w:szCs w:val="20"/>
        </w:rPr>
      </w:pPr>
      <w:r>
        <w:rPr>
          <w:sz w:val="20"/>
          <w:szCs w:val="20"/>
        </w:rPr>
        <w:t>Sharx distributes and sells cargo security straps and tie-downs pursuant to the Distribution Agreement with the manufacturer Cleaver ApS.</w:t>
      </w:r>
    </w:p>
    <w:p w14:paraId="066B9A15"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902C928" w14:textId="77777777" w:rsidR="002B5D06" w:rsidRDefault="000B69DD">
      <w:pPr>
        <w:pStyle w:val="NormalWeb"/>
        <w:spacing w:before="0" w:beforeAutospacing="0" w:after="0" w:afterAutospacing="0"/>
        <w:jc w:val="both"/>
        <w:divId w:val="1684360448"/>
        <w:rPr>
          <w:sz w:val="20"/>
          <w:szCs w:val="20"/>
        </w:rPr>
      </w:pPr>
      <w:r>
        <w:rPr>
          <w:sz w:val="20"/>
          <w:szCs w:val="20"/>
        </w:rPr>
        <w:t>The Company continues its efforts to raise capital to support operations and growth, and is actively searching acquisitions or mergers with another company that would complement the Company and increase its earnings potential.</w:t>
      </w:r>
    </w:p>
    <w:p w14:paraId="2AEBDFD8"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5F732EB"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COMPETITION:</w:t>
      </w:r>
    </w:p>
    <w:p w14:paraId="676925DA"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7DE1D26" w14:textId="77777777" w:rsidR="002B5D06" w:rsidRDefault="000B69DD">
      <w:pPr>
        <w:pStyle w:val="NormalWeb"/>
        <w:spacing w:before="0" w:beforeAutospacing="0" w:after="0" w:afterAutospacing="0"/>
        <w:jc w:val="both"/>
        <w:divId w:val="1684360448"/>
        <w:rPr>
          <w:sz w:val="20"/>
          <w:szCs w:val="20"/>
        </w:rPr>
      </w:pPr>
      <w:r>
        <w:rPr>
          <w:sz w:val="20"/>
          <w:szCs w:val="20"/>
        </w:rPr>
        <w:t>The Company’s subsidiary ANV revenues are currently derived from its lease revenues of its commercial real estate holding. With the global changes in the economies during the year ended June 30, 2025, the Company’s direct competition would be other vacant commercial real estate entities. The Company believes that there are no identifiable direct competitors.</w:t>
      </w:r>
    </w:p>
    <w:p w14:paraId="2F11056F"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B0A49DE" w14:textId="77777777" w:rsidR="002B5D06" w:rsidRDefault="000B69DD">
      <w:pPr>
        <w:pStyle w:val="NormalWeb"/>
        <w:spacing w:before="0" w:beforeAutospacing="0" w:after="0" w:afterAutospacing="0"/>
        <w:jc w:val="both"/>
        <w:divId w:val="1684360448"/>
        <w:rPr>
          <w:sz w:val="20"/>
          <w:szCs w:val="20"/>
        </w:rPr>
      </w:pPr>
      <w:r>
        <w:rPr>
          <w:sz w:val="20"/>
          <w:szCs w:val="20"/>
        </w:rPr>
        <w:t>Sharx had no revenues for the years ended June 30, 2025 and 2024.  The load restraint equipment market in the United States and Europe is dominated by large companies such as Dottie Down, USA Ratchet, LLC, Ratchet Straps, USA, Kinedyne, LLC, The Rachet Depot, Inc., The Forankra Group, and GTF Factors, Ltd, each of which have far greater capital and operational resources than us. Our products will directly compete in the load restraint markets dominated by these major competitors. In this market, competitive factors include price, product offerings, value-added service programs, service and delivery, credit terms, and customer support.</w:t>
      </w:r>
    </w:p>
    <w:p w14:paraId="14C09B9F"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C1EF1A9"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CUSTOMERS:</w:t>
      </w:r>
    </w:p>
    <w:p w14:paraId="0A29C481"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F642FBF" w14:textId="77777777" w:rsidR="002B5D06" w:rsidRDefault="000B69DD">
      <w:pPr>
        <w:pStyle w:val="NormalWeb"/>
        <w:spacing w:before="0" w:beforeAutospacing="0" w:after="0" w:afterAutospacing="0"/>
        <w:jc w:val="both"/>
        <w:divId w:val="1684360448"/>
        <w:rPr>
          <w:sz w:val="20"/>
          <w:szCs w:val="20"/>
        </w:rPr>
      </w:pPr>
      <w:r>
        <w:rPr>
          <w:sz w:val="20"/>
          <w:szCs w:val="20"/>
        </w:rPr>
        <w:t>The Company’s subsidiary ANV currently has one customer, Circle K Denmark A/S, formerly StatOil AS., Copenhagen Denmark.</w:t>
      </w:r>
    </w:p>
    <w:p w14:paraId="4188BD01"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5C7AAB4" w14:textId="77777777" w:rsidR="002B5D06" w:rsidRDefault="000B69DD">
      <w:pPr>
        <w:pStyle w:val="NormalWeb"/>
        <w:spacing w:before="0" w:beforeAutospacing="0" w:after="0" w:afterAutospacing="0"/>
        <w:jc w:val="both"/>
        <w:divId w:val="1684360448"/>
        <w:rPr>
          <w:sz w:val="20"/>
          <w:szCs w:val="20"/>
        </w:rPr>
      </w:pPr>
      <w:r>
        <w:rPr>
          <w:sz w:val="20"/>
          <w:szCs w:val="20"/>
        </w:rPr>
        <w:t>The Company’s subsidiary Sharx had zero retail customers for the year ending June 30, 2025 and zero for the year ending June 30, 2024. Sharx has had no sales of product due to the manufacturer’s inability to produce and deliver product to Sharx due to COVID.</w:t>
      </w:r>
    </w:p>
    <w:p w14:paraId="47EC7EFA"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6D01084"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EMPLOYEES:</w:t>
      </w:r>
    </w:p>
    <w:p w14:paraId="07166DAD"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027A3189" w14:textId="77777777" w:rsidR="002B5D06" w:rsidRDefault="000B69DD">
      <w:pPr>
        <w:pStyle w:val="NormalWeb"/>
        <w:spacing w:before="0" w:beforeAutospacing="0" w:after="0" w:afterAutospacing="0"/>
        <w:jc w:val="both"/>
        <w:divId w:val="1684360448"/>
        <w:rPr>
          <w:sz w:val="20"/>
          <w:szCs w:val="20"/>
        </w:rPr>
      </w:pPr>
      <w:r>
        <w:rPr>
          <w:sz w:val="20"/>
          <w:szCs w:val="20"/>
        </w:rPr>
        <w:t>As of June 30, 2025, the Company had a total of 2 employees.</w:t>
      </w:r>
    </w:p>
    <w:p w14:paraId="24CB0447"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2BC1B423" w14:textId="77777777">
        <w:trPr>
          <w:divId w:val="1684360448"/>
          <w:trHeight w:val="225"/>
          <w:tblCellSpacing w:w="15" w:type="dxa"/>
          <w:jc w:val="center"/>
        </w:trPr>
        <w:tc>
          <w:tcPr>
            <w:tcW w:w="0" w:type="auto"/>
            <w:vAlign w:val="center"/>
            <w:hideMark/>
          </w:tcPr>
          <w:p w14:paraId="1B6FD16B" w14:textId="77777777" w:rsidR="002B5D06" w:rsidRDefault="000B69DD">
            <w:pPr>
              <w:rPr>
                <w:rFonts w:eastAsia="Times New Roman"/>
                <w:sz w:val="20"/>
                <w:szCs w:val="20"/>
              </w:rPr>
            </w:pPr>
            <w:r>
              <w:rPr>
                <w:rFonts w:eastAsia="Times New Roman"/>
                <w:sz w:val="20"/>
                <w:szCs w:val="20"/>
              </w:rPr>
              <w:t> </w:t>
            </w:r>
          </w:p>
        </w:tc>
      </w:tr>
      <w:tr w:rsidR="002B5D06" w14:paraId="48EBC902" w14:textId="77777777">
        <w:trPr>
          <w:divId w:val="1684360448"/>
          <w:trHeight w:val="225"/>
          <w:tblCellSpacing w:w="15" w:type="dxa"/>
          <w:jc w:val="center"/>
        </w:trPr>
        <w:tc>
          <w:tcPr>
            <w:tcW w:w="0" w:type="auto"/>
            <w:tcBorders>
              <w:bottom w:val="single" w:sz="6" w:space="0" w:color="000000"/>
            </w:tcBorders>
            <w:vAlign w:val="center"/>
            <w:hideMark/>
          </w:tcPr>
          <w:p w14:paraId="41287A62" w14:textId="77777777" w:rsidR="002B5D06" w:rsidRDefault="000B69DD">
            <w:pPr>
              <w:jc w:val="center"/>
              <w:rPr>
                <w:rFonts w:eastAsia="Times New Roman"/>
                <w:sz w:val="20"/>
                <w:szCs w:val="20"/>
              </w:rPr>
            </w:pPr>
            <w:r>
              <w:rPr>
                <w:rFonts w:eastAsia="Times New Roman"/>
                <w:sz w:val="20"/>
                <w:szCs w:val="20"/>
              </w:rPr>
              <w:t>6</w:t>
            </w:r>
          </w:p>
        </w:tc>
      </w:tr>
      <w:tr w:rsidR="002B5D06" w14:paraId="2EAB847F" w14:textId="77777777">
        <w:trPr>
          <w:divId w:val="1684360448"/>
          <w:trHeight w:val="225"/>
          <w:tblCellSpacing w:w="15" w:type="dxa"/>
          <w:jc w:val="center"/>
        </w:trPr>
        <w:tc>
          <w:tcPr>
            <w:tcW w:w="0" w:type="auto"/>
            <w:vAlign w:val="center"/>
            <w:hideMark/>
          </w:tcPr>
          <w:p w14:paraId="188B2F8A" w14:textId="77777777" w:rsidR="002B5D06" w:rsidRDefault="002B5D06">
            <w:pPr>
              <w:rPr>
                <w:rFonts w:eastAsia="Times New Roman"/>
                <w:sz w:val="20"/>
                <w:szCs w:val="20"/>
              </w:rPr>
            </w:pPr>
          </w:p>
        </w:tc>
      </w:tr>
      <w:tr w:rsidR="002B5D06" w14:paraId="6E3DF82D" w14:textId="77777777">
        <w:trPr>
          <w:divId w:val="1684360448"/>
          <w:trHeight w:val="225"/>
          <w:tblCellSpacing w:w="15" w:type="dxa"/>
          <w:jc w:val="center"/>
        </w:trPr>
        <w:tc>
          <w:tcPr>
            <w:tcW w:w="0" w:type="auto"/>
            <w:vAlign w:val="center"/>
            <w:hideMark/>
          </w:tcPr>
          <w:p w14:paraId="0506BAEE" w14:textId="77777777" w:rsidR="002B5D06" w:rsidRDefault="002B5D06">
            <w:pPr>
              <w:rPr>
                <w:rFonts w:eastAsia="Times New Roman"/>
                <w:sz w:val="20"/>
                <w:szCs w:val="20"/>
              </w:rPr>
            </w:pPr>
          </w:p>
        </w:tc>
      </w:tr>
    </w:tbl>
    <w:p w14:paraId="5A66CDA2"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34EBA049" w14:textId="77777777" w:rsidR="002B5D06" w:rsidRDefault="000B69DD">
      <w:pPr>
        <w:pStyle w:val="NormalWeb"/>
        <w:spacing w:before="0" w:beforeAutospacing="0" w:after="0" w:afterAutospacing="0"/>
        <w:divId w:val="1684360448"/>
        <w:rPr>
          <w:sz w:val="20"/>
          <w:szCs w:val="20"/>
        </w:rPr>
      </w:pPr>
      <w:r>
        <w:rPr>
          <w:sz w:val="20"/>
          <w:szCs w:val="20"/>
        </w:rPr>
        <w:t> </w:t>
      </w:r>
    </w:p>
    <w:p w14:paraId="4E70E197" w14:textId="77777777" w:rsidR="002B5D06" w:rsidRDefault="000B69DD">
      <w:pPr>
        <w:pStyle w:val="NormalWeb"/>
        <w:spacing w:before="0" w:beforeAutospacing="0" w:after="0" w:afterAutospacing="0"/>
        <w:jc w:val="both"/>
        <w:divId w:val="1684360448"/>
        <w:rPr>
          <w:sz w:val="20"/>
          <w:szCs w:val="20"/>
        </w:rPr>
      </w:pPr>
      <w:r>
        <w:rPr>
          <w:rStyle w:val="atag"/>
          <w:b/>
          <w:bCs/>
          <w:i/>
          <w:iCs/>
          <w:sz w:val="20"/>
          <w:szCs w:val="20"/>
        </w:rPr>
        <w:t>ITEM 1A. RISK FACTORS</w:t>
      </w:r>
    </w:p>
    <w:p w14:paraId="5B8B4C39"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 </w:t>
      </w:r>
    </w:p>
    <w:p w14:paraId="09F815E7"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Risks Specific to Our Company</w:t>
      </w:r>
    </w:p>
    <w:p w14:paraId="0D6D07AD"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ACC39A3" w14:textId="77777777" w:rsidR="002B5D06" w:rsidRDefault="000B69DD">
      <w:pPr>
        <w:pStyle w:val="NormalWeb"/>
        <w:spacing w:before="0" w:beforeAutospacing="0" w:after="0" w:afterAutospacing="0"/>
        <w:jc w:val="both"/>
        <w:divId w:val="1684360448"/>
        <w:rPr>
          <w:sz w:val="20"/>
          <w:szCs w:val="20"/>
        </w:rPr>
      </w:pPr>
      <w:r>
        <w:rPr>
          <w:sz w:val="20"/>
          <w:szCs w:val="20"/>
        </w:rPr>
        <w:t>THE POTENTIAL PROFITABILITY OF COMMERCIAL REAL ESTATE VENTURES DEPENDS UPON FACTORS BEYOND THE CONTROL OF OUR COMPANY.</w:t>
      </w:r>
    </w:p>
    <w:p w14:paraId="77CBE81F"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494D928" w14:textId="77777777" w:rsidR="002B5D06" w:rsidRDefault="000B69DD">
      <w:pPr>
        <w:pStyle w:val="NormalWeb"/>
        <w:spacing w:before="0" w:beforeAutospacing="0" w:after="0" w:afterAutospacing="0"/>
        <w:jc w:val="both"/>
        <w:divId w:val="1684360448"/>
        <w:rPr>
          <w:sz w:val="20"/>
          <w:szCs w:val="20"/>
        </w:rPr>
      </w:pPr>
      <w:r>
        <w:rPr>
          <w:sz w:val="20"/>
          <w:szCs w:val="20"/>
        </w:rPr>
        <w:t>The potential profitability of commercial real estate properties is dependent upon many factors beyond our control. For instance, world prices and markets for rents and leases of commercial properties are unpredictable, and respond to changes in domestic, international, political, social, and economic environments. Additionally, due to worldwide economic uncertainty, the availability and cost of funds for maintenance, repair, expansion and other expenses have become increasingly difficult, if not impossible, to project. These changes and events may materially affect our financial performance. These factors cannot be accurately predicted and the combination of these factors may result in our Company not receiving an adequate return on invested capital.</w:t>
      </w:r>
    </w:p>
    <w:p w14:paraId="3D5BC2F3"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0452C1F1"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WE ARE SUBJECT TO RISKS ASSOCIATED WITH FOREIGN CURRENCY</w:t>
      </w:r>
    </w:p>
    <w:p w14:paraId="75E6EFF9"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79110DA" w14:textId="77777777" w:rsidR="002B5D06" w:rsidRDefault="000B69DD">
      <w:pPr>
        <w:pStyle w:val="NormalWeb"/>
        <w:spacing w:before="0" w:beforeAutospacing="0" w:after="0" w:afterAutospacing="0"/>
        <w:jc w:val="both"/>
        <w:divId w:val="1684360448"/>
        <w:rPr>
          <w:sz w:val="20"/>
          <w:szCs w:val="20"/>
        </w:rPr>
      </w:pPr>
      <w:r>
        <w:rPr>
          <w:sz w:val="20"/>
          <w:szCs w:val="20"/>
        </w:rPr>
        <w:t>ANV and Sharx DK ApS are Danish companies with operations only in Denmark. During the years ended June 30, 2025 and 2024, foreign revenues accounted for 100% of our total revenue. As a result, we are subject to risks associated with generating revenue in multiple countries, including:</w:t>
      </w:r>
    </w:p>
    <w:p w14:paraId="53405C87"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2B5D06" w14:paraId="0E847AF3" w14:textId="77777777">
        <w:trPr>
          <w:divId w:val="1684360448"/>
          <w:trHeight w:val="225"/>
          <w:tblCellSpacing w:w="15" w:type="dxa"/>
          <w:jc w:val="center"/>
        </w:trPr>
        <w:tc>
          <w:tcPr>
            <w:tcW w:w="200" w:type="pct"/>
            <w:vAlign w:val="center"/>
            <w:hideMark/>
          </w:tcPr>
          <w:p w14:paraId="672A7F02" w14:textId="77777777" w:rsidR="002B5D06" w:rsidRDefault="000B69DD">
            <w:pPr>
              <w:pStyle w:val="NormalWeb"/>
              <w:spacing w:before="0" w:beforeAutospacing="0" w:after="0" w:afterAutospacing="0"/>
              <w:rPr>
                <w:sz w:val="20"/>
                <w:szCs w:val="20"/>
              </w:rPr>
            </w:pPr>
            <w:r>
              <w:rPr>
                <w:sz w:val="20"/>
                <w:szCs w:val="20"/>
              </w:rPr>
              <w:t> </w:t>
            </w:r>
          </w:p>
        </w:tc>
        <w:tc>
          <w:tcPr>
            <w:tcW w:w="200" w:type="pct"/>
            <w:hideMark/>
          </w:tcPr>
          <w:p w14:paraId="64575301" w14:textId="77777777" w:rsidR="002B5D06" w:rsidRDefault="000B69DD">
            <w:pPr>
              <w:pStyle w:val="NormalWeb"/>
              <w:spacing w:before="0" w:beforeAutospacing="0" w:after="0" w:afterAutospacing="0"/>
              <w:jc w:val="both"/>
              <w:rPr>
                <w:sz w:val="20"/>
                <w:szCs w:val="20"/>
              </w:rPr>
            </w:pPr>
            <w:r>
              <w:rPr>
                <w:sz w:val="20"/>
                <w:szCs w:val="20"/>
              </w:rPr>
              <w:t>●</w:t>
            </w:r>
          </w:p>
        </w:tc>
        <w:tc>
          <w:tcPr>
            <w:tcW w:w="0" w:type="auto"/>
            <w:hideMark/>
          </w:tcPr>
          <w:p w14:paraId="0518410E" w14:textId="77777777" w:rsidR="002B5D06" w:rsidRDefault="000B69DD">
            <w:pPr>
              <w:pStyle w:val="NormalWeb"/>
              <w:spacing w:before="0" w:beforeAutospacing="0" w:after="0" w:afterAutospacing="0"/>
              <w:jc w:val="both"/>
              <w:rPr>
                <w:sz w:val="20"/>
                <w:szCs w:val="20"/>
              </w:rPr>
            </w:pPr>
            <w:r>
              <w:rPr>
                <w:sz w:val="20"/>
                <w:szCs w:val="20"/>
              </w:rPr>
              <w:t>increased time, effort and attention of our management to manage our foreign operations;</w:t>
            </w:r>
          </w:p>
        </w:tc>
      </w:tr>
      <w:tr w:rsidR="002B5D06" w14:paraId="3CAA9ADE" w14:textId="77777777">
        <w:trPr>
          <w:divId w:val="1684360448"/>
          <w:trHeight w:val="225"/>
          <w:tblCellSpacing w:w="15" w:type="dxa"/>
          <w:jc w:val="center"/>
        </w:trPr>
        <w:tc>
          <w:tcPr>
            <w:tcW w:w="0" w:type="auto"/>
            <w:vAlign w:val="center"/>
            <w:hideMark/>
          </w:tcPr>
          <w:p w14:paraId="0B6D6CFC"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7FFAB591"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50147A74"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7FA5C8F3" w14:textId="77777777">
        <w:trPr>
          <w:divId w:val="1684360448"/>
          <w:trHeight w:val="225"/>
          <w:tblCellSpacing w:w="15" w:type="dxa"/>
          <w:jc w:val="center"/>
        </w:trPr>
        <w:tc>
          <w:tcPr>
            <w:tcW w:w="0" w:type="auto"/>
            <w:vAlign w:val="center"/>
            <w:hideMark/>
          </w:tcPr>
          <w:p w14:paraId="7804119C" w14:textId="77777777" w:rsidR="002B5D06" w:rsidRDefault="000B69DD">
            <w:pPr>
              <w:pStyle w:val="NormalWeb"/>
              <w:spacing w:before="0" w:beforeAutospacing="0" w:after="0" w:afterAutospacing="0"/>
              <w:rPr>
                <w:sz w:val="20"/>
                <w:szCs w:val="20"/>
              </w:rPr>
            </w:pPr>
            <w:r>
              <w:rPr>
                <w:sz w:val="20"/>
                <w:szCs w:val="20"/>
              </w:rPr>
              <w:t> </w:t>
            </w:r>
          </w:p>
        </w:tc>
        <w:tc>
          <w:tcPr>
            <w:tcW w:w="0" w:type="auto"/>
            <w:hideMark/>
          </w:tcPr>
          <w:p w14:paraId="4F247B24" w14:textId="77777777" w:rsidR="002B5D06" w:rsidRDefault="000B69DD">
            <w:pPr>
              <w:pStyle w:val="NormalWeb"/>
              <w:spacing w:before="0" w:beforeAutospacing="0" w:after="0" w:afterAutospacing="0"/>
              <w:jc w:val="both"/>
              <w:rPr>
                <w:sz w:val="20"/>
                <w:szCs w:val="20"/>
              </w:rPr>
            </w:pPr>
            <w:r>
              <w:rPr>
                <w:sz w:val="20"/>
                <w:szCs w:val="20"/>
              </w:rPr>
              <w:t>●</w:t>
            </w:r>
          </w:p>
        </w:tc>
        <w:tc>
          <w:tcPr>
            <w:tcW w:w="0" w:type="auto"/>
            <w:hideMark/>
          </w:tcPr>
          <w:p w14:paraId="4594FC74" w14:textId="77777777" w:rsidR="002B5D06" w:rsidRDefault="000B69DD">
            <w:pPr>
              <w:pStyle w:val="NormalWeb"/>
              <w:spacing w:before="0" w:beforeAutospacing="0" w:after="0" w:afterAutospacing="0"/>
              <w:jc w:val="both"/>
              <w:rPr>
                <w:sz w:val="20"/>
                <w:szCs w:val="20"/>
              </w:rPr>
            </w:pPr>
            <w:r>
              <w:rPr>
                <w:sz w:val="20"/>
                <w:szCs w:val="20"/>
              </w:rPr>
              <w:t>balance sheet fluctuations.</w:t>
            </w:r>
          </w:p>
        </w:tc>
      </w:tr>
      <w:tr w:rsidR="002B5D06" w14:paraId="5373E94D" w14:textId="77777777">
        <w:trPr>
          <w:divId w:val="1684360448"/>
          <w:trHeight w:val="225"/>
          <w:tblCellSpacing w:w="15" w:type="dxa"/>
          <w:jc w:val="center"/>
        </w:trPr>
        <w:tc>
          <w:tcPr>
            <w:tcW w:w="0" w:type="auto"/>
            <w:vAlign w:val="center"/>
            <w:hideMark/>
          </w:tcPr>
          <w:p w14:paraId="161B182D"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287B409A"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1B6A2E03"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3918BCCF" w14:textId="77777777">
        <w:trPr>
          <w:divId w:val="1684360448"/>
          <w:trHeight w:val="225"/>
          <w:tblCellSpacing w:w="15" w:type="dxa"/>
          <w:jc w:val="center"/>
        </w:trPr>
        <w:tc>
          <w:tcPr>
            <w:tcW w:w="0" w:type="auto"/>
            <w:vAlign w:val="center"/>
            <w:hideMark/>
          </w:tcPr>
          <w:p w14:paraId="20CA225D" w14:textId="77777777" w:rsidR="002B5D06" w:rsidRDefault="000B69DD">
            <w:pPr>
              <w:pStyle w:val="NormalWeb"/>
              <w:spacing w:before="0" w:beforeAutospacing="0" w:after="0" w:afterAutospacing="0"/>
              <w:rPr>
                <w:sz w:val="20"/>
                <w:szCs w:val="20"/>
              </w:rPr>
            </w:pPr>
            <w:r>
              <w:rPr>
                <w:sz w:val="20"/>
                <w:szCs w:val="20"/>
              </w:rPr>
              <w:t> </w:t>
            </w:r>
          </w:p>
        </w:tc>
        <w:tc>
          <w:tcPr>
            <w:tcW w:w="0" w:type="auto"/>
            <w:hideMark/>
          </w:tcPr>
          <w:p w14:paraId="05951923" w14:textId="77777777" w:rsidR="002B5D06" w:rsidRDefault="000B69DD">
            <w:pPr>
              <w:pStyle w:val="NormalWeb"/>
              <w:spacing w:before="0" w:beforeAutospacing="0" w:after="0" w:afterAutospacing="0"/>
              <w:jc w:val="both"/>
              <w:rPr>
                <w:sz w:val="20"/>
                <w:szCs w:val="20"/>
              </w:rPr>
            </w:pPr>
            <w:r>
              <w:rPr>
                <w:sz w:val="20"/>
                <w:szCs w:val="20"/>
              </w:rPr>
              <w:t>●</w:t>
            </w:r>
          </w:p>
        </w:tc>
        <w:tc>
          <w:tcPr>
            <w:tcW w:w="0" w:type="auto"/>
            <w:hideMark/>
          </w:tcPr>
          <w:p w14:paraId="43F214E7" w14:textId="77777777" w:rsidR="002B5D06" w:rsidRDefault="000B69DD">
            <w:pPr>
              <w:pStyle w:val="NormalWeb"/>
              <w:spacing w:before="0" w:beforeAutospacing="0" w:after="0" w:afterAutospacing="0"/>
              <w:jc w:val="both"/>
              <w:rPr>
                <w:sz w:val="20"/>
                <w:szCs w:val="20"/>
              </w:rPr>
            </w:pPr>
            <w:r>
              <w:rPr>
                <w:sz w:val="20"/>
                <w:szCs w:val="20"/>
              </w:rPr>
              <w:t>currency devaluations and fluctuations in currency exchange rates, including impacts of transactions in various currencies and translation of various currencies into dollars for U.S. reporting and financial covenant compliance purposes;</w:t>
            </w:r>
          </w:p>
        </w:tc>
      </w:tr>
      <w:tr w:rsidR="002B5D06" w14:paraId="171C6D40" w14:textId="77777777">
        <w:trPr>
          <w:divId w:val="1684360448"/>
          <w:trHeight w:val="225"/>
          <w:tblCellSpacing w:w="15" w:type="dxa"/>
          <w:jc w:val="center"/>
        </w:trPr>
        <w:tc>
          <w:tcPr>
            <w:tcW w:w="0" w:type="auto"/>
            <w:vAlign w:val="center"/>
            <w:hideMark/>
          </w:tcPr>
          <w:p w14:paraId="05101157"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5475FCAA"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4D6AD93A"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4E8B1A9A" w14:textId="77777777">
        <w:trPr>
          <w:divId w:val="1684360448"/>
          <w:trHeight w:val="225"/>
          <w:tblCellSpacing w:w="15" w:type="dxa"/>
          <w:jc w:val="center"/>
        </w:trPr>
        <w:tc>
          <w:tcPr>
            <w:tcW w:w="0" w:type="auto"/>
            <w:vAlign w:val="center"/>
            <w:hideMark/>
          </w:tcPr>
          <w:p w14:paraId="3897E84C" w14:textId="77777777" w:rsidR="002B5D06" w:rsidRDefault="000B69DD">
            <w:pPr>
              <w:pStyle w:val="NormalWeb"/>
              <w:spacing w:before="0" w:beforeAutospacing="0" w:after="0" w:afterAutospacing="0"/>
              <w:rPr>
                <w:sz w:val="20"/>
                <w:szCs w:val="20"/>
              </w:rPr>
            </w:pPr>
            <w:r>
              <w:rPr>
                <w:sz w:val="20"/>
                <w:szCs w:val="20"/>
              </w:rPr>
              <w:t> </w:t>
            </w:r>
          </w:p>
        </w:tc>
        <w:tc>
          <w:tcPr>
            <w:tcW w:w="0" w:type="auto"/>
            <w:hideMark/>
          </w:tcPr>
          <w:p w14:paraId="36B7805B" w14:textId="77777777" w:rsidR="002B5D06" w:rsidRDefault="000B69DD">
            <w:pPr>
              <w:pStyle w:val="NormalWeb"/>
              <w:spacing w:before="0" w:beforeAutospacing="0" w:after="0" w:afterAutospacing="0"/>
              <w:jc w:val="both"/>
              <w:rPr>
                <w:sz w:val="20"/>
                <w:szCs w:val="20"/>
              </w:rPr>
            </w:pPr>
            <w:r>
              <w:rPr>
                <w:sz w:val="20"/>
                <w:szCs w:val="20"/>
              </w:rPr>
              <w:t>●</w:t>
            </w:r>
          </w:p>
        </w:tc>
        <w:tc>
          <w:tcPr>
            <w:tcW w:w="0" w:type="auto"/>
            <w:hideMark/>
          </w:tcPr>
          <w:p w14:paraId="38C3E73E" w14:textId="77777777" w:rsidR="002B5D06" w:rsidRDefault="000B69DD">
            <w:pPr>
              <w:pStyle w:val="NormalWeb"/>
              <w:spacing w:before="0" w:beforeAutospacing="0" w:after="0" w:afterAutospacing="0"/>
              <w:jc w:val="both"/>
              <w:rPr>
                <w:sz w:val="20"/>
                <w:szCs w:val="20"/>
              </w:rPr>
            </w:pPr>
            <w:r>
              <w:rPr>
                <w:sz w:val="20"/>
                <w:szCs w:val="20"/>
              </w:rPr>
              <w:t>language barriers and other difficulties in staffing and managing foreign operations;</w:t>
            </w:r>
          </w:p>
        </w:tc>
      </w:tr>
      <w:tr w:rsidR="002B5D06" w14:paraId="676875F9" w14:textId="77777777">
        <w:trPr>
          <w:divId w:val="1684360448"/>
          <w:trHeight w:val="225"/>
          <w:tblCellSpacing w:w="15" w:type="dxa"/>
          <w:jc w:val="center"/>
        </w:trPr>
        <w:tc>
          <w:tcPr>
            <w:tcW w:w="0" w:type="auto"/>
            <w:vAlign w:val="center"/>
            <w:hideMark/>
          </w:tcPr>
          <w:p w14:paraId="4988610F"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1000517F"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77432ED4"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0C85DBCB" w14:textId="77777777">
        <w:trPr>
          <w:divId w:val="1684360448"/>
          <w:trHeight w:val="225"/>
          <w:tblCellSpacing w:w="15" w:type="dxa"/>
          <w:jc w:val="center"/>
        </w:trPr>
        <w:tc>
          <w:tcPr>
            <w:tcW w:w="0" w:type="auto"/>
            <w:vAlign w:val="center"/>
            <w:hideMark/>
          </w:tcPr>
          <w:p w14:paraId="2D82AE25" w14:textId="77777777" w:rsidR="002B5D06" w:rsidRDefault="000B69DD">
            <w:pPr>
              <w:pStyle w:val="NormalWeb"/>
              <w:spacing w:before="0" w:beforeAutospacing="0" w:after="0" w:afterAutospacing="0"/>
              <w:rPr>
                <w:sz w:val="20"/>
                <w:szCs w:val="20"/>
              </w:rPr>
            </w:pPr>
            <w:r>
              <w:rPr>
                <w:sz w:val="20"/>
                <w:szCs w:val="20"/>
              </w:rPr>
              <w:t> </w:t>
            </w:r>
          </w:p>
        </w:tc>
        <w:tc>
          <w:tcPr>
            <w:tcW w:w="0" w:type="auto"/>
            <w:hideMark/>
          </w:tcPr>
          <w:p w14:paraId="095F8F5F" w14:textId="77777777" w:rsidR="002B5D06" w:rsidRDefault="000B69DD">
            <w:pPr>
              <w:pStyle w:val="NormalWeb"/>
              <w:spacing w:before="0" w:beforeAutospacing="0" w:after="0" w:afterAutospacing="0"/>
              <w:jc w:val="both"/>
              <w:rPr>
                <w:sz w:val="20"/>
                <w:szCs w:val="20"/>
              </w:rPr>
            </w:pPr>
            <w:r>
              <w:rPr>
                <w:sz w:val="20"/>
                <w:szCs w:val="20"/>
              </w:rPr>
              <w:t>●</w:t>
            </w:r>
          </w:p>
        </w:tc>
        <w:tc>
          <w:tcPr>
            <w:tcW w:w="0" w:type="auto"/>
            <w:hideMark/>
          </w:tcPr>
          <w:p w14:paraId="320BDF64" w14:textId="77777777" w:rsidR="002B5D06" w:rsidRDefault="000B69DD">
            <w:pPr>
              <w:pStyle w:val="NormalWeb"/>
              <w:spacing w:before="0" w:beforeAutospacing="0" w:after="0" w:afterAutospacing="0"/>
              <w:jc w:val="both"/>
              <w:rPr>
                <w:sz w:val="20"/>
                <w:szCs w:val="20"/>
              </w:rPr>
            </w:pPr>
            <w:r>
              <w:rPr>
                <w:sz w:val="20"/>
                <w:szCs w:val="20"/>
              </w:rPr>
              <w:t>longer customer payment cycles and greater difficulties in collecting accounts receivable;</w:t>
            </w:r>
          </w:p>
        </w:tc>
      </w:tr>
      <w:tr w:rsidR="002B5D06" w14:paraId="5ED859CB" w14:textId="77777777">
        <w:trPr>
          <w:divId w:val="1684360448"/>
          <w:trHeight w:val="225"/>
          <w:tblCellSpacing w:w="15" w:type="dxa"/>
          <w:jc w:val="center"/>
        </w:trPr>
        <w:tc>
          <w:tcPr>
            <w:tcW w:w="0" w:type="auto"/>
            <w:vAlign w:val="center"/>
            <w:hideMark/>
          </w:tcPr>
          <w:p w14:paraId="064DB3C5"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6DF648CE"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1C54088A"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4DBBE2C2" w14:textId="77777777">
        <w:trPr>
          <w:divId w:val="1684360448"/>
          <w:trHeight w:val="225"/>
          <w:tblCellSpacing w:w="15" w:type="dxa"/>
          <w:jc w:val="center"/>
        </w:trPr>
        <w:tc>
          <w:tcPr>
            <w:tcW w:w="0" w:type="auto"/>
            <w:vAlign w:val="center"/>
            <w:hideMark/>
          </w:tcPr>
          <w:p w14:paraId="2CF99B69" w14:textId="77777777" w:rsidR="002B5D06" w:rsidRDefault="000B69DD">
            <w:pPr>
              <w:pStyle w:val="NormalWeb"/>
              <w:spacing w:before="0" w:beforeAutospacing="0" w:after="0" w:afterAutospacing="0"/>
              <w:rPr>
                <w:sz w:val="20"/>
                <w:szCs w:val="20"/>
              </w:rPr>
            </w:pPr>
            <w:r>
              <w:rPr>
                <w:sz w:val="20"/>
                <w:szCs w:val="20"/>
              </w:rPr>
              <w:t> </w:t>
            </w:r>
          </w:p>
        </w:tc>
        <w:tc>
          <w:tcPr>
            <w:tcW w:w="0" w:type="auto"/>
            <w:hideMark/>
          </w:tcPr>
          <w:p w14:paraId="7ECBDCBD" w14:textId="77777777" w:rsidR="002B5D06" w:rsidRDefault="000B69DD">
            <w:pPr>
              <w:pStyle w:val="NormalWeb"/>
              <w:spacing w:before="0" w:beforeAutospacing="0" w:after="0" w:afterAutospacing="0"/>
              <w:jc w:val="both"/>
              <w:rPr>
                <w:sz w:val="20"/>
                <w:szCs w:val="20"/>
              </w:rPr>
            </w:pPr>
            <w:r>
              <w:rPr>
                <w:sz w:val="20"/>
                <w:szCs w:val="20"/>
              </w:rPr>
              <w:t>●</w:t>
            </w:r>
          </w:p>
        </w:tc>
        <w:tc>
          <w:tcPr>
            <w:tcW w:w="0" w:type="auto"/>
            <w:hideMark/>
          </w:tcPr>
          <w:p w14:paraId="6DE03771" w14:textId="77777777" w:rsidR="002B5D06" w:rsidRDefault="000B69DD">
            <w:pPr>
              <w:pStyle w:val="NormalWeb"/>
              <w:spacing w:before="0" w:beforeAutospacing="0" w:after="0" w:afterAutospacing="0"/>
              <w:jc w:val="both"/>
              <w:rPr>
                <w:sz w:val="20"/>
                <w:szCs w:val="20"/>
              </w:rPr>
            </w:pPr>
            <w:r>
              <w:rPr>
                <w:sz w:val="20"/>
                <w:szCs w:val="20"/>
              </w:rPr>
              <w:t>uncertainties of laws and enforcement relating to the protection of property;</w:t>
            </w:r>
          </w:p>
        </w:tc>
      </w:tr>
      <w:tr w:rsidR="002B5D06" w14:paraId="1F16E412" w14:textId="77777777">
        <w:trPr>
          <w:divId w:val="1684360448"/>
          <w:trHeight w:val="225"/>
          <w:tblCellSpacing w:w="15" w:type="dxa"/>
          <w:jc w:val="center"/>
        </w:trPr>
        <w:tc>
          <w:tcPr>
            <w:tcW w:w="0" w:type="auto"/>
            <w:vAlign w:val="center"/>
            <w:hideMark/>
          </w:tcPr>
          <w:p w14:paraId="3BF71E4B"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1251F9B7"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6DE5AC7B"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753ED871" w14:textId="77777777">
        <w:trPr>
          <w:divId w:val="1684360448"/>
          <w:trHeight w:val="225"/>
          <w:tblCellSpacing w:w="15" w:type="dxa"/>
          <w:jc w:val="center"/>
        </w:trPr>
        <w:tc>
          <w:tcPr>
            <w:tcW w:w="0" w:type="auto"/>
            <w:vAlign w:val="center"/>
            <w:hideMark/>
          </w:tcPr>
          <w:p w14:paraId="4C3843E8" w14:textId="77777777" w:rsidR="002B5D06" w:rsidRDefault="000B69DD">
            <w:pPr>
              <w:pStyle w:val="NormalWeb"/>
              <w:spacing w:before="0" w:beforeAutospacing="0" w:after="0" w:afterAutospacing="0"/>
              <w:rPr>
                <w:sz w:val="20"/>
                <w:szCs w:val="20"/>
              </w:rPr>
            </w:pPr>
            <w:r>
              <w:rPr>
                <w:sz w:val="20"/>
                <w:szCs w:val="20"/>
              </w:rPr>
              <w:t> </w:t>
            </w:r>
          </w:p>
        </w:tc>
        <w:tc>
          <w:tcPr>
            <w:tcW w:w="0" w:type="auto"/>
            <w:hideMark/>
          </w:tcPr>
          <w:p w14:paraId="2591EC0E" w14:textId="77777777" w:rsidR="002B5D06" w:rsidRDefault="000B69DD">
            <w:pPr>
              <w:pStyle w:val="NormalWeb"/>
              <w:spacing w:before="0" w:beforeAutospacing="0" w:after="0" w:afterAutospacing="0"/>
              <w:jc w:val="both"/>
              <w:rPr>
                <w:sz w:val="20"/>
                <w:szCs w:val="20"/>
              </w:rPr>
            </w:pPr>
            <w:r>
              <w:rPr>
                <w:sz w:val="20"/>
                <w:szCs w:val="20"/>
              </w:rPr>
              <w:t>●</w:t>
            </w:r>
          </w:p>
        </w:tc>
        <w:tc>
          <w:tcPr>
            <w:tcW w:w="0" w:type="auto"/>
            <w:hideMark/>
          </w:tcPr>
          <w:p w14:paraId="6A19A794" w14:textId="77777777" w:rsidR="002B5D06" w:rsidRDefault="000B69DD">
            <w:pPr>
              <w:pStyle w:val="NormalWeb"/>
              <w:spacing w:before="0" w:beforeAutospacing="0" w:after="0" w:afterAutospacing="0"/>
              <w:jc w:val="both"/>
              <w:rPr>
                <w:sz w:val="20"/>
                <w:szCs w:val="20"/>
              </w:rPr>
            </w:pPr>
            <w:r>
              <w:rPr>
                <w:sz w:val="20"/>
                <w:szCs w:val="20"/>
              </w:rPr>
              <w:t>imposition of or increases in currency exchange controls, including imposition of or increases in limitations on conversion of various currencies into U.S. dollars;</w:t>
            </w:r>
          </w:p>
        </w:tc>
      </w:tr>
      <w:tr w:rsidR="002B5D06" w14:paraId="3CCFBFA0" w14:textId="77777777">
        <w:trPr>
          <w:divId w:val="1684360448"/>
          <w:trHeight w:val="225"/>
          <w:tblCellSpacing w:w="15" w:type="dxa"/>
          <w:jc w:val="center"/>
        </w:trPr>
        <w:tc>
          <w:tcPr>
            <w:tcW w:w="0" w:type="auto"/>
            <w:vAlign w:val="center"/>
            <w:hideMark/>
          </w:tcPr>
          <w:p w14:paraId="070254AD"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7F771A6E"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173DE6E6"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05A69EB4" w14:textId="77777777">
        <w:trPr>
          <w:divId w:val="1684360448"/>
          <w:trHeight w:val="225"/>
          <w:tblCellSpacing w:w="15" w:type="dxa"/>
          <w:jc w:val="center"/>
        </w:trPr>
        <w:tc>
          <w:tcPr>
            <w:tcW w:w="0" w:type="auto"/>
            <w:vAlign w:val="center"/>
            <w:hideMark/>
          </w:tcPr>
          <w:p w14:paraId="08F72E33" w14:textId="77777777" w:rsidR="002B5D06" w:rsidRDefault="000B69DD">
            <w:pPr>
              <w:pStyle w:val="NormalWeb"/>
              <w:spacing w:before="0" w:beforeAutospacing="0" w:after="0" w:afterAutospacing="0"/>
              <w:rPr>
                <w:sz w:val="20"/>
                <w:szCs w:val="20"/>
              </w:rPr>
            </w:pPr>
            <w:r>
              <w:rPr>
                <w:sz w:val="20"/>
                <w:szCs w:val="20"/>
              </w:rPr>
              <w:t> </w:t>
            </w:r>
          </w:p>
        </w:tc>
        <w:tc>
          <w:tcPr>
            <w:tcW w:w="0" w:type="auto"/>
            <w:hideMark/>
          </w:tcPr>
          <w:p w14:paraId="0DB42289" w14:textId="77777777" w:rsidR="002B5D06" w:rsidRDefault="000B69DD">
            <w:pPr>
              <w:pStyle w:val="NormalWeb"/>
              <w:spacing w:before="0" w:beforeAutospacing="0" w:after="0" w:afterAutospacing="0"/>
              <w:jc w:val="both"/>
              <w:rPr>
                <w:sz w:val="20"/>
                <w:szCs w:val="20"/>
              </w:rPr>
            </w:pPr>
            <w:r>
              <w:rPr>
                <w:sz w:val="20"/>
                <w:szCs w:val="20"/>
              </w:rPr>
              <w:t>●</w:t>
            </w:r>
          </w:p>
        </w:tc>
        <w:tc>
          <w:tcPr>
            <w:tcW w:w="0" w:type="auto"/>
            <w:hideMark/>
          </w:tcPr>
          <w:p w14:paraId="529DAA99" w14:textId="77777777" w:rsidR="002B5D06" w:rsidRDefault="000B69DD">
            <w:pPr>
              <w:pStyle w:val="NormalWeb"/>
              <w:spacing w:before="0" w:beforeAutospacing="0" w:after="0" w:afterAutospacing="0"/>
              <w:jc w:val="both"/>
              <w:rPr>
                <w:sz w:val="20"/>
                <w:szCs w:val="20"/>
              </w:rPr>
            </w:pPr>
            <w:r>
              <w:rPr>
                <w:sz w:val="20"/>
                <w:szCs w:val="20"/>
              </w:rPr>
              <w:t>imposition of or increases in revenue, income or earnings taxes and withholding and other taxes;</w:t>
            </w:r>
          </w:p>
        </w:tc>
      </w:tr>
      <w:tr w:rsidR="002B5D06" w14:paraId="1C83E0AB" w14:textId="77777777">
        <w:trPr>
          <w:divId w:val="1684360448"/>
          <w:trHeight w:val="225"/>
          <w:tblCellSpacing w:w="15" w:type="dxa"/>
          <w:jc w:val="center"/>
        </w:trPr>
        <w:tc>
          <w:tcPr>
            <w:tcW w:w="0" w:type="auto"/>
            <w:vAlign w:val="center"/>
            <w:hideMark/>
          </w:tcPr>
          <w:p w14:paraId="6423212D"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32BCA79F"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0A77444C"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61553FEE" w14:textId="77777777">
        <w:trPr>
          <w:divId w:val="1684360448"/>
          <w:trHeight w:val="225"/>
          <w:tblCellSpacing w:w="15" w:type="dxa"/>
          <w:jc w:val="center"/>
        </w:trPr>
        <w:tc>
          <w:tcPr>
            <w:tcW w:w="0" w:type="auto"/>
            <w:vAlign w:val="center"/>
            <w:hideMark/>
          </w:tcPr>
          <w:p w14:paraId="0A4EB76C" w14:textId="77777777" w:rsidR="002B5D06" w:rsidRDefault="000B69DD">
            <w:pPr>
              <w:pStyle w:val="NormalWeb"/>
              <w:spacing w:before="0" w:beforeAutospacing="0" w:after="0" w:afterAutospacing="0"/>
              <w:rPr>
                <w:sz w:val="20"/>
                <w:szCs w:val="20"/>
              </w:rPr>
            </w:pPr>
            <w:r>
              <w:rPr>
                <w:sz w:val="20"/>
                <w:szCs w:val="20"/>
              </w:rPr>
              <w:t> </w:t>
            </w:r>
          </w:p>
        </w:tc>
        <w:tc>
          <w:tcPr>
            <w:tcW w:w="0" w:type="auto"/>
            <w:hideMark/>
          </w:tcPr>
          <w:p w14:paraId="08DF5FA9" w14:textId="77777777" w:rsidR="002B5D06" w:rsidRDefault="000B69DD">
            <w:pPr>
              <w:pStyle w:val="NormalWeb"/>
              <w:spacing w:before="0" w:beforeAutospacing="0" w:after="0" w:afterAutospacing="0"/>
              <w:jc w:val="both"/>
              <w:rPr>
                <w:sz w:val="20"/>
                <w:szCs w:val="20"/>
              </w:rPr>
            </w:pPr>
            <w:r>
              <w:rPr>
                <w:sz w:val="20"/>
                <w:szCs w:val="20"/>
              </w:rPr>
              <w:t>●</w:t>
            </w:r>
          </w:p>
        </w:tc>
        <w:tc>
          <w:tcPr>
            <w:tcW w:w="0" w:type="auto"/>
            <w:hideMark/>
          </w:tcPr>
          <w:p w14:paraId="7C659D6C" w14:textId="77777777" w:rsidR="002B5D06" w:rsidRDefault="000B69DD">
            <w:pPr>
              <w:pStyle w:val="NormalWeb"/>
              <w:spacing w:before="0" w:beforeAutospacing="0" w:after="0" w:afterAutospacing="0"/>
              <w:jc w:val="both"/>
              <w:rPr>
                <w:sz w:val="20"/>
                <w:szCs w:val="20"/>
              </w:rPr>
            </w:pPr>
            <w:r>
              <w:rPr>
                <w:sz w:val="20"/>
                <w:szCs w:val="20"/>
              </w:rPr>
              <w:t>imposition of or increases in investment or trade restrictions and other restrictions or requirements by non-U.S. Governments;</w:t>
            </w:r>
          </w:p>
        </w:tc>
      </w:tr>
      <w:tr w:rsidR="002B5D06" w14:paraId="40BCE33D" w14:textId="77777777">
        <w:trPr>
          <w:divId w:val="1684360448"/>
          <w:trHeight w:val="225"/>
          <w:tblCellSpacing w:w="15" w:type="dxa"/>
          <w:jc w:val="center"/>
        </w:trPr>
        <w:tc>
          <w:tcPr>
            <w:tcW w:w="0" w:type="auto"/>
            <w:vAlign w:val="center"/>
            <w:hideMark/>
          </w:tcPr>
          <w:p w14:paraId="1E826581"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0B7CC9C0"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4D5493F4"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0A8B3392" w14:textId="77777777">
        <w:trPr>
          <w:divId w:val="1684360448"/>
          <w:trHeight w:val="225"/>
          <w:tblCellSpacing w:w="15" w:type="dxa"/>
          <w:jc w:val="center"/>
        </w:trPr>
        <w:tc>
          <w:tcPr>
            <w:tcW w:w="0" w:type="auto"/>
            <w:vAlign w:val="center"/>
            <w:hideMark/>
          </w:tcPr>
          <w:p w14:paraId="29666EB5" w14:textId="77777777" w:rsidR="002B5D06" w:rsidRDefault="000B69DD">
            <w:pPr>
              <w:pStyle w:val="NormalWeb"/>
              <w:spacing w:before="0" w:beforeAutospacing="0" w:after="0" w:afterAutospacing="0"/>
              <w:rPr>
                <w:sz w:val="20"/>
                <w:szCs w:val="20"/>
              </w:rPr>
            </w:pPr>
            <w:r>
              <w:rPr>
                <w:sz w:val="20"/>
                <w:szCs w:val="20"/>
              </w:rPr>
              <w:t> </w:t>
            </w:r>
          </w:p>
        </w:tc>
        <w:tc>
          <w:tcPr>
            <w:tcW w:w="0" w:type="auto"/>
            <w:hideMark/>
          </w:tcPr>
          <w:p w14:paraId="59B1DD89" w14:textId="77777777" w:rsidR="002B5D06" w:rsidRDefault="000B69DD">
            <w:pPr>
              <w:pStyle w:val="NormalWeb"/>
              <w:spacing w:before="0" w:beforeAutospacing="0" w:after="0" w:afterAutospacing="0"/>
              <w:jc w:val="both"/>
              <w:rPr>
                <w:sz w:val="20"/>
                <w:szCs w:val="20"/>
              </w:rPr>
            </w:pPr>
            <w:r>
              <w:rPr>
                <w:sz w:val="20"/>
                <w:szCs w:val="20"/>
              </w:rPr>
              <w:t>●</w:t>
            </w:r>
          </w:p>
        </w:tc>
        <w:tc>
          <w:tcPr>
            <w:tcW w:w="0" w:type="auto"/>
            <w:hideMark/>
          </w:tcPr>
          <w:p w14:paraId="178CAB10" w14:textId="77777777" w:rsidR="002B5D06" w:rsidRDefault="000B69DD">
            <w:pPr>
              <w:pStyle w:val="NormalWeb"/>
              <w:spacing w:before="0" w:beforeAutospacing="0" w:after="0" w:afterAutospacing="0"/>
              <w:jc w:val="both"/>
              <w:rPr>
                <w:sz w:val="20"/>
                <w:szCs w:val="20"/>
              </w:rPr>
            </w:pPr>
            <w:r>
              <w:rPr>
                <w:sz w:val="20"/>
                <w:szCs w:val="20"/>
              </w:rPr>
              <w:t>inability to definitively determine or satisfy legal requirements, inability to effectively enforce contract or legal rights and inability to obtain complete financial or other information under local legal, judicial, regulatory, disclosure and other systems; and</w:t>
            </w:r>
          </w:p>
        </w:tc>
      </w:tr>
      <w:tr w:rsidR="002B5D06" w14:paraId="3C4E08DE" w14:textId="77777777">
        <w:trPr>
          <w:divId w:val="1684360448"/>
          <w:trHeight w:val="225"/>
          <w:tblCellSpacing w:w="15" w:type="dxa"/>
          <w:jc w:val="center"/>
        </w:trPr>
        <w:tc>
          <w:tcPr>
            <w:tcW w:w="0" w:type="auto"/>
            <w:vAlign w:val="center"/>
            <w:hideMark/>
          </w:tcPr>
          <w:p w14:paraId="194628B4"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339451DD"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5C156845"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0FF50DB4" w14:textId="77777777">
        <w:trPr>
          <w:divId w:val="1684360448"/>
          <w:trHeight w:val="225"/>
          <w:tblCellSpacing w:w="15" w:type="dxa"/>
          <w:jc w:val="center"/>
        </w:trPr>
        <w:tc>
          <w:tcPr>
            <w:tcW w:w="0" w:type="auto"/>
            <w:vAlign w:val="center"/>
            <w:hideMark/>
          </w:tcPr>
          <w:p w14:paraId="18B6F269" w14:textId="77777777" w:rsidR="002B5D06" w:rsidRDefault="000B69DD">
            <w:pPr>
              <w:pStyle w:val="NormalWeb"/>
              <w:spacing w:before="0" w:beforeAutospacing="0" w:after="0" w:afterAutospacing="0"/>
              <w:rPr>
                <w:sz w:val="20"/>
                <w:szCs w:val="20"/>
              </w:rPr>
            </w:pPr>
            <w:r>
              <w:rPr>
                <w:sz w:val="20"/>
                <w:szCs w:val="20"/>
              </w:rPr>
              <w:t> </w:t>
            </w:r>
          </w:p>
        </w:tc>
        <w:tc>
          <w:tcPr>
            <w:tcW w:w="0" w:type="auto"/>
            <w:hideMark/>
          </w:tcPr>
          <w:p w14:paraId="3D7E5DBE" w14:textId="77777777" w:rsidR="002B5D06" w:rsidRDefault="000B69DD">
            <w:pPr>
              <w:pStyle w:val="NormalWeb"/>
              <w:spacing w:before="0" w:beforeAutospacing="0" w:after="0" w:afterAutospacing="0"/>
              <w:jc w:val="both"/>
              <w:rPr>
                <w:sz w:val="20"/>
                <w:szCs w:val="20"/>
              </w:rPr>
            </w:pPr>
            <w:r>
              <w:rPr>
                <w:sz w:val="20"/>
                <w:szCs w:val="20"/>
              </w:rPr>
              <w:t>●</w:t>
            </w:r>
          </w:p>
        </w:tc>
        <w:tc>
          <w:tcPr>
            <w:tcW w:w="0" w:type="auto"/>
            <w:hideMark/>
          </w:tcPr>
          <w:p w14:paraId="33DF1352" w14:textId="77777777" w:rsidR="002B5D06" w:rsidRDefault="000B69DD">
            <w:pPr>
              <w:pStyle w:val="NormalWeb"/>
              <w:spacing w:before="0" w:beforeAutospacing="0" w:after="0" w:afterAutospacing="0"/>
              <w:jc w:val="both"/>
              <w:rPr>
                <w:sz w:val="20"/>
                <w:szCs w:val="20"/>
              </w:rPr>
            </w:pPr>
            <w:r>
              <w:rPr>
                <w:sz w:val="20"/>
                <w:szCs w:val="20"/>
              </w:rPr>
              <w:t>nationalization and other risks, which could result from a change in government or other political, social or economic instability.</w:t>
            </w:r>
          </w:p>
        </w:tc>
      </w:tr>
    </w:tbl>
    <w:p w14:paraId="471B6EDC"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6C30110E" w14:textId="77777777">
        <w:trPr>
          <w:divId w:val="1684360448"/>
          <w:trHeight w:val="225"/>
          <w:tblCellSpacing w:w="15" w:type="dxa"/>
          <w:jc w:val="center"/>
        </w:trPr>
        <w:tc>
          <w:tcPr>
            <w:tcW w:w="0" w:type="auto"/>
            <w:vAlign w:val="center"/>
            <w:hideMark/>
          </w:tcPr>
          <w:p w14:paraId="0278B7CE" w14:textId="77777777" w:rsidR="002B5D06" w:rsidRDefault="000B69DD">
            <w:pPr>
              <w:rPr>
                <w:rFonts w:eastAsia="Times New Roman"/>
                <w:sz w:val="20"/>
                <w:szCs w:val="20"/>
              </w:rPr>
            </w:pPr>
            <w:r>
              <w:rPr>
                <w:rFonts w:eastAsia="Times New Roman"/>
                <w:sz w:val="20"/>
                <w:szCs w:val="20"/>
              </w:rPr>
              <w:t> </w:t>
            </w:r>
          </w:p>
        </w:tc>
      </w:tr>
      <w:tr w:rsidR="002B5D06" w14:paraId="49D3D64C" w14:textId="77777777">
        <w:trPr>
          <w:divId w:val="1684360448"/>
          <w:trHeight w:val="225"/>
          <w:tblCellSpacing w:w="15" w:type="dxa"/>
          <w:jc w:val="center"/>
        </w:trPr>
        <w:tc>
          <w:tcPr>
            <w:tcW w:w="0" w:type="auto"/>
            <w:tcBorders>
              <w:bottom w:val="single" w:sz="6" w:space="0" w:color="000000"/>
            </w:tcBorders>
            <w:vAlign w:val="center"/>
            <w:hideMark/>
          </w:tcPr>
          <w:p w14:paraId="0B0B4146" w14:textId="77777777" w:rsidR="002B5D06" w:rsidRDefault="000B69DD">
            <w:pPr>
              <w:jc w:val="center"/>
              <w:rPr>
                <w:rFonts w:eastAsia="Times New Roman"/>
                <w:sz w:val="20"/>
                <w:szCs w:val="20"/>
              </w:rPr>
            </w:pPr>
            <w:r>
              <w:rPr>
                <w:rFonts w:eastAsia="Times New Roman"/>
                <w:sz w:val="20"/>
                <w:szCs w:val="20"/>
              </w:rPr>
              <w:t>7</w:t>
            </w:r>
          </w:p>
        </w:tc>
      </w:tr>
      <w:tr w:rsidR="002B5D06" w14:paraId="130BD3CA" w14:textId="77777777">
        <w:trPr>
          <w:divId w:val="1684360448"/>
          <w:trHeight w:val="225"/>
          <w:tblCellSpacing w:w="15" w:type="dxa"/>
          <w:jc w:val="center"/>
        </w:trPr>
        <w:tc>
          <w:tcPr>
            <w:tcW w:w="0" w:type="auto"/>
            <w:vAlign w:val="center"/>
            <w:hideMark/>
          </w:tcPr>
          <w:p w14:paraId="5ED10078" w14:textId="77777777" w:rsidR="002B5D06" w:rsidRDefault="002B5D06">
            <w:pPr>
              <w:rPr>
                <w:rFonts w:eastAsia="Times New Roman"/>
                <w:sz w:val="20"/>
                <w:szCs w:val="20"/>
              </w:rPr>
            </w:pPr>
          </w:p>
        </w:tc>
      </w:tr>
      <w:tr w:rsidR="002B5D06" w14:paraId="7575FA6E" w14:textId="77777777">
        <w:trPr>
          <w:divId w:val="1684360448"/>
          <w:trHeight w:val="225"/>
          <w:tblCellSpacing w:w="15" w:type="dxa"/>
          <w:jc w:val="center"/>
        </w:trPr>
        <w:tc>
          <w:tcPr>
            <w:tcW w:w="0" w:type="auto"/>
            <w:vAlign w:val="center"/>
            <w:hideMark/>
          </w:tcPr>
          <w:p w14:paraId="47C897D7" w14:textId="77777777" w:rsidR="002B5D06" w:rsidRDefault="002B5D06">
            <w:pPr>
              <w:rPr>
                <w:rFonts w:eastAsia="Times New Roman"/>
                <w:sz w:val="20"/>
                <w:szCs w:val="20"/>
              </w:rPr>
            </w:pPr>
          </w:p>
        </w:tc>
      </w:tr>
    </w:tbl>
    <w:p w14:paraId="4A153A4F"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2B6AB55A" w14:textId="77777777" w:rsidR="002B5D06" w:rsidRDefault="000B69DD">
      <w:pPr>
        <w:pStyle w:val="NormalWeb"/>
        <w:spacing w:before="0" w:beforeAutospacing="0" w:after="0" w:afterAutospacing="0"/>
        <w:divId w:val="1684360448"/>
        <w:rPr>
          <w:sz w:val="20"/>
          <w:szCs w:val="20"/>
        </w:rPr>
      </w:pPr>
      <w:r>
        <w:rPr>
          <w:sz w:val="20"/>
          <w:szCs w:val="20"/>
        </w:rPr>
        <w:t> </w:t>
      </w:r>
    </w:p>
    <w:p w14:paraId="37BC1091"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WE ARE SUBJECT TO RISKS ASSOCIATED WITH OPERATIONS THAT HAVE A CONCENTRATION OF CUSTOMERS</w:t>
      </w:r>
    </w:p>
    <w:p w14:paraId="44D46078"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285B49C" w14:textId="77777777" w:rsidR="002B5D06" w:rsidRDefault="000B69DD">
      <w:pPr>
        <w:pStyle w:val="NormalWeb"/>
        <w:spacing w:before="0" w:beforeAutospacing="0" w:after="0" w:afterAutospacing="0"/>
        <w:jc w:val="both"/>
        <w:divId w:val="1684360448"/>
        <w:rPr>
          <w:sz w:val="20"/>
          <w:szCs w:val="20"/>
        </w:rPr>
      </w:pPr>
      <w:r>
        <w:rPr>
          <w:sz w:val="20"/>
          <w:szCs w:val="20"/>
        </w:rPr>
        <w:t>ANV has only one customer. There is no guarantee that this customer will remain solvent, and or continue with the Company in the same manner as it is now. As such, if ANV were to lose this customer, 100% of ANV’s revenues would be lost representing a 100% decrease in the Company’s revenues.</w:t>
      </w:r>
    </w:p>
    <w:p w14:paraId="7E6E966A"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38D673A" w14:textId="77777777" w:rsidR="002B5D06" w:rsidRDefault="000B69DD">
      <w:pPr>
        <w:pStyle w:val="NormalWeb"/>
        <w:spacing w:before="0" w:beforeAutospacing="0" w:after="0" w:afterAutospacing="0"/>
        <w:jc w:val="both"/>
        <w:divId w:val="1684360448"/>
        <w:rPr>
          <w:sz w:val="20"/>
          <w:szCs w:val="20"/>
        </w:rPr>
      </w:pPr>
      <w:r>
        <w:rPr>
          <w:sz w:val="20"/>
          <w:szCs w:val="20"/>
        </w:rPr>
        <w:t>Sharx DK ApS (“Sharx”) had zero retail customers for the year ending June 30, 2025 and zero for the year ending June 30, 2024.   The manufacturer of the products that Sharx sells has had no product available for Sharx to sell due to COVID and supply chain interruption.</w:t>
      </w:r>
    </w:p>
    <w:p w14:paraId="12BE0CB1"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FF99614"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IN THE FUTURE, WE MAY NEED TO OBTAIN ADDITIONAL FINANCING TO FUND OUR OPERATIONS AND TO ACQUIRE ADDITIONAL BUSINESSES</w:t>
      </w:r>
    </w:p>
    <w:p w14:paraId="44FF4473"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0FF1B8B0" w14:textId="77777777" w:rsidR="002B5D06" w:rsidRDefault="000B69DD">
      <w:pPr>
        <w:pStyle w:val="NormalWeb"/>
        <w:spacing w:before="0" w:beforeAutospacing="0" w:after="0" w:afterAutospacing="0"/>
        <w:jc w:val="both"/>
        <w:divId w:val="1684360448"/>
        <w:rPr>
          <w:sz w:val="20"/>
          <w:szCs w:val="20"/>
        </w:rPr>
      </w:pPr>
      <w:r>
        <w:rPr>
          <w:sz w:val="20"/>
          <w:szCs w:val="20"/>
        </w:rPr>
        <w:t>In the future, we may need to obtain additional financing to fund our operations and to acquire additional businesses. There is no guarantee that we will be able to raise additional capital.</w:t>
      </w:r>
    </w:p>
    <w:p w14:paraId="4746E14C"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053E04A4"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PROVISIONS OF OUR CORPORATE DOCUMENTS AND DELAWARE CORPORATE LAW MAY DETER A THIRD PARTY FROM ACQUIRING OUR COMPANY</w:t>
      </w:r>
    </w:p>
    <w:p w14:paraId="3744CDDD"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59A594C" w14:textId="77777777" w:rsidR="002B5D06" w:rsidRDefault="000B69DD">
      <w:pPr>
        <w:pStyle w:val="NormalWeb"/>
        <w:spacing w:before="0" w:beforeAutospacing="0" w:after="0" w:afterAutospacing="0"/>
        <w:jc w:val="both"/>
        <w:divId w:val="1684360448"/>
        <w:rPr>
          <w:sz w:val="20"/>
          <w:szCs w:val="20"/>
        </w:rPr>
      </w:pPr>
      <w:r>
        <w:rPr>
          <w:sz w:val="20"/>
          <w:szCs w:val="20"/>
        </w:rPr>
        <w:t>Provisions of our articles of incorporation and our bylaws, authorize our Board of Directors to, among other things, issue preferred stock and fix the rights, preferences, privileges and restrictions of such shares without any further vote, approval or action by our stockholders. Our Board could take actions that could discourage a third party from attempting to acquire control of us and that could make it more difficult for a third party to acquire us. Our Board could take such actions even if our stockholders consider a change in control to be in their best interests.</w:t>
      </w:r>
    </w:p>
    <w:p w14:paraId="6D60936C"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D0475C5"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WE PLAN TO GROW OUR BUSINESS THROUGH ACQUISITIONS AND JOINT VENTURES, WHICH WILL RESULT IN OUR INCURRING SIGNIFICANT COSTS</w:t>
      </w:r>
    </w:p>
    <w:p w14:paraId="1F26D0D3"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F25E25B" w14:textId="77777777" w:rsidR="002B5D06" w:rsidRDefault="000B69DD">
      <w:pPr>
        <w:pStyle w:val="NormalWeb"/>
        <w:spacing w:before="0" w:beforeAutospacing="0" w:after="0" w:afterAutospacing="0"/>
        <w:jc w:val="both"/>
        <w:divId w:val="1684360448"/>
        <w:rPr>
          <w:sz w:val="20"/>
          <w:szCs w:val="20"/>
        </w:rPr>
      </w:pPr>
      <w:r>
        <w:rPr>
          <w:sz w:val="20"/>
          <w:szCs w:val="20"/>
        </w:rPr>
        <w:t>The acquisition of new businesses is costly, such new businesses may not enhance our financial condition, and we may face difficulties and be unsuccessful in integrating new businesses. The resources expended in identifying, negotiating and structuring acquisitions and joint ventures may be significant and may not result in any transactions. Any future acquisitions will be subject to a number of challenges in integrating new operations into our existing operations, including but not limited to:</w:t>
      </w:r>
    </w:p>
    <w:p w14:paraId="5B697D45"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2B5D06" w14:paraId="42223225" w14:textId="77777777">
        <w:trPr>
          <w:divId w:val="1684360448"/>
          <w:trHeight w:val="225"/>
          <w:tblCellSpacing w:w="15" w:type="dxa"/>
          <w:jc w:val="center"/>
        </w:trPr>
        <w:tc>
          <w:tcPr>
            <w:tcW w:w="200" w:type="pct"/>
            <w:vAlign w:val="center"/>
            <w:hideMark/>
          </w:tcPr>
          <w:p w14:paraId="78F7B374" w14:textId="77777777" w:rsidR="002B5D06" w:rsidRDefault="000B69DD">
            <w:pPr>
              <w:pStyle w:val="NormalWeb"/>
              <w:spacing w:before="0" w:beforeAutospacing="0" w:after="0" w:afterAutospacing="0"/>
              <w:rPr>
                <w:sz w:val="20"/>
                <w:szCs w:val="20"/>
              </w:rPr>
            </w:pPr>
            <w:r>
              <w:rPr>
                <w:sz w:val="20"/>
                <w:szCs w:val="20"/>
              </w:rPr>
              <w:t> </w:t>
            </w:r>
          </w:p>
        </w:tc>
        <w:tc>
          <w:tcPr>
            <w:tcW w:w="200" w:type="pct"/>
            <w:hideMark/>
          </w:tcPr>
          <w:p w14:paraId="51AC5EDA" w14:textId="77777777" w:rsidR="002B5D06" w:rsidRDefault="000B69DD">
            <w:pPr>
              <w:pStyle w:val="NormalWeb"/>
              <w:spacing w:before="0" w:beforeAutospacing="0" w:after="0" w:afterAutospacing="0"/>
              <w:jc w:val="both"/>
              <w:rPr>
                <w:sz w:val="20"/>
                <w:szCs w:val="20"/>
              </w:rPr>
            </w:pPr>
            <w:r>
              <w:rPr>
                <w:sz w:val="20"/>
                <w:szCs w:val="20"/>
              </w:rPr>
              <w:t>●</w:t>
            </w:r>
          </w:p>
        </w:tc>
        <w:tc>
          <w:tcPr>
            <w:tcW w:w="0" w:type="auto"/>
            <w:hideMark/>
          </w:tcPr>
          <w:p w14:paraId="5CBFB8D2" w14:textId="77777777" w:rsidR="002B5D06" w:rsidRDefault="000B69DD">
            <w:pPr>
              <w:pStyle w:val="NormalWeb"/>
              <w:spacing w:before="0" w:beforeAutospacing="0" w:after="0" w:afterAutospacing="0"/>
              <w:jc w:val="both"/>
              <w:rPr>
                <w:sz w:val="20"/>
                <w:szCs w:val="20"/>
              </w:rPr>
            </w:pPr>
            <w:r>
              <w:rPr>
                <w:sz w:val="20"/>
                <w:szCs w:val="20"/>
              </w:rPr>
              <w:t>diversion of management time and resources;</w:t>
            </w:r>
          </w:p>
        </w:tc>
      </w:tr>
      <w:tr w:rsidR="002B5D06" w14:paraId="0F05FF20" w14:textId="77777777">
        <w:trPr>
          <w:divId w:val="1684360448"/>
          <w:trHeight w:val="225"/>
          <w:tblCellSpacing w:w="15" w:type="dxa"/>
          <w:jc w:val="center"/>
        </w:trPr>
        <w:tc>
          <w:tcPr>
            <w:tcW w:w="0" w:type="auto"/>
            <w:vAlign w:val="center"/>
            <w:hideMark/>
          </w:tcPr>
          <w:p w14:paraId="34EA97D3"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26CF4016"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77DA5BF0"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32FE87B2" w14:textId="77777777">
        <w:trPr>
          <w:divId w:val="1684360448"/>
          <w:trHeight w:val="225"/>
          <w:tblCellSpacing w:w="15" w:type="dxa"/>
          <w:jc w:val="center"/>
        </w:trPr>
        <w:tc>
          <w:tcPr>
            <w:tcW w:w="0" w:type="auto"/>
            <w:vAlign w:val="center"/>
            <w:hideMark/>
          </w:tcPr>
          <w:p w14:paraId="741928B1" w14:textId="77777777" w:rsidR="002B5D06" w:rsidRDefault="000B69DD">
            <w:pPr>
              <w:pStyle w:val="NormalWeb"/>
              <w:spacing w:before="0" w:beforeAutospacing="0" w:after="0" w:afterAutospacing="0"/>
              <w:rPr>
                <w:sz w:val="20"/>
                <w:szCs w:val="20"/>
              </w:rPr>
            </w:pPr>
            <w:r>
              <w:rPr>
                <w:sz w:val="20"/>
                <w:szCs w:val="20"/>
              </w:rPr>
              <w:t> </w:t>
            </w:r>
          </w:p>
        </w:tc>
        <w:tc>
          <w:tcPr>
            <w:tcW w:w="0" w:type="auto"/>
            <w:hideMark/>
          </w:tcPr>
          <w:p w14:paraId="043B05BE" w14:textId="77777777" w:rsidR="002B5D06" w:rsidRDefault="000B69DD">
            <w:pPr>
              <w:pStyle w:val="NormalWeb"/>
              <w:spacing w:before="0" w:beforeAutospacing="0" w:after="0" w:afterAutospacing="0"/>
              <w:jc w:val="both"/>
              <w:rPr>
                <w:sz w:val="20"/>
                <w:szCs w:val="20"/>
              </w:rPr>
            </w:pPr>
            <w:r>
              <w:rPr>
                <w:sz w:val="20"/>
                <w:szCs w:val="20"/>
              </w:rPr>
              <w:t>●</w:t>
            </w:r>
          </w:p>
        </w:tc>
        <w:tc>
          <w:tcPr>
            <w:tcW w:w="0" w:type="auto"/>
            <w:hideMark/>
          </w:tcPr>
          <w:p w14:paraId="6757EBD0" w14:textId="77777777" w:rsidR="002B5D06" w:rsidRDefault="000B69DD">
            <w:pPr>
              <w:pStyle w:val="NormalWeb"/>
              <w:spacing w:before="0" w:beforeAutospacing="0" w:after="0" w:afterAutospacing="0"/>
              <w:jc w:val="both"/>
              <w:rPr>
                <w:sz w:val="20"/>
                <w:szCs w:val="20"/>
              </w:rPr>
            </w:pPr>
            <w:r>
              <w:rPr>
                <w:sz w:val="20"/>
                <w:szCs w:val="20"/>
              </w:rPr>
              <w:t>difficulty of assimilating the operations and personnel of the acquired companies;</w:t>
            </w:r>
          </w:p>
        </w:tc>
      </w:tr>
      <w:tr w:rsidR="002B5D06" w14:paraId="36B5F6A9" w14:textId="77777777">
        <w:trPr>
          <w:divId w:val="1684360448"/>
          <w:trHeight w:val="225"/>
          <w:tblCellSpacing w:w="15" w:type="dxa"/>
          <w:jc w:val="center"/>
        </w:trPr>
        <w:tc>
          <w:tcPr>
            <w:tcW w:w="0" w:type="auto"/>
            <w:vAlign w:val="center"/>
            <w:hideMark/>
          </w:tcPr>
          <w:p w14:paraId="69A8782D"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7F173F3E"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39E2391E"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5F1C534B" w14:textId="77777777">
        <w:trPr>
          <w:divId w:val="1684360448"/>
          <w:trHeight w:val="225"/>
          <w:tblCellSpacing w:w="15" w:type="dxa"/>
          <w:jc w:val="center"/>
        </w:trPr>
        <w:tc>
          <w:tcPr>
            <w:tcW w:w="0" w:type="auto"/>
            <w:vAlign w:val="center"/>
            <w:hideMark/>
          </w:tcPr>
          <w:p w14:paraId="7DC48529" w14:textId="77777777" w:rsidR="002B5D06" w:rsidRDefault="000B69DD">
            <w:pPr>
              <w:pStyle w:val="NormalWeb"/>
              <w:spacing w:before="0" w:beforeAutospacing="0" w:after="0" w:afterAutospacing="0"/>
              <w:rPr>
                <w:sz w:val="20"/>
                <w:szCs w:val="20"/>
              </w:rPr>
            </w:pPr>
            <w:r>
              <w:rPr>
                <w:sz w:val="20"/>
                <w:szCs w:val="20"/>
              </w:rPr>
              <w:t> </w:t>
            </w:r>
          </w:p>
        </w:tc>
        <w:tc>
          <w:tcPr>
            <w:tcW w:w="0" w:type="auto"/>
            <w:hideMark/>
          </w:tcPr>
          <w:p w14:paraId="773578F1" w14:textId="77777777" w:rsidR="002B5D06" w:rsidRDefault="000B69DD">
            <w:pPr>
              <w:pStyle w:val="NormalWeb"/>
              <w:spacing w:before="0" w:beforeAutospacing="0" w:after="0" w:afterAutospacing="0"/>
              <w:jc w:val="both"/>
              <w:rPr>
                <w:sz w:val="20"/>
                <w:szCs w:val="20"/>
              </w:rPr>
            </w:pPr>
            <w:r>
              <w:rPr>
                <w:sz w:val="20"/>
                <w:szCs w:val="20"/>
              </w:rPr>
              <w:t>●</w:t>
            </w:r>
          </w:p>
        </w:tc>
        <w:tc>
          <w:tcPr>
            <w:tcW w:w="0" w:type="auto"/>
            <w:hideMark/>
          </w:tcPr>
          <w:p w14:paraId="596DA9EA" w14:textId="77777777" w:rsidR="002B5D06" w:rsidRDefault="000B69DD">
            <w:pPr>
              <w:pStyle w:val="NormalWeb"/>
              <w:spacing w:before="0" w:beforeAutospacing="0" w:after="0" w:afterAutospacing="0"/>
              <w:jc w:val="both"/>
              <w:rPr>
                <w:sz w:val="20"/>
                <w:szCs w:val="20"/>
              </w:rPr>
            </w:pPr>
            <w:r>
              <w:rPr>
                <w:sz w:val="20"/>
                <w:szCs w:val="20"/>
              </w:rPr>
              <w:t>potential disruption of our ongoing business;</w:t>
            </w:r>
          </w:p>
        </w:tc>
      </w:tr>
      <w:tr w:rsidR="002B5D06" w14:paraId="1B1880D6" w14:textId="77777777">
        <w:trPr>
          <w:divId w:val="1684360448"/>
          <w:trHeight w:val="225"/>
          <w:tblCellSpacing w:w="15" w:type="dxa"/>
          <w:jc w:val="center"/>
        </w:trPr>
        <w:tc>
          <w:tcPr>
            <w:tcW w:w="0" w:type="auto"/>
            <w:vAlign w:val="center"/>
            <w:hideMark/>
          </w:tcPr>
          <w:p w14:paraId="5CB4438E"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0A907A3A"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63ADBC2A"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0C5A5EC0" w14:textId="77777777">
        <w:trPr>
          <w:divId w:val="1684360448"/>
          <w:trHeight w:val="225"/>
          <w:tblCellSpacing w:w="15" w:type="dxa"/>
          <w:jc w:val="center"/>
        </w:trPr>
        <w:tc>
          <w:tcPr>
            <w:tcW w:w="0" w:type="auto"/>
            <w:vAlign w:val="center"/>
            <w:hideMark/>
          </w:tcPr>
          <w:p w14:paraId="16134299" w14:textId="77777777" w:rsidR="002B5D06" w:rsidRDefault="000B69DD">
            <w:pPr>
              <w:pStyle w:val="NormalWeb"/>
              <w:spacing w:before="0" w:beforeAutospacing="0" w:after="0" w:afterAutospacing="0"/>
              <w:rPr>
                <w:sz w:val="20"/>
                <w:szCs w:val="20"/>
              </w:rPr>
            </w:pPr>
            <w:r>
              <w:rPr>
                <w:sz w:val="20"/>
                <w:szCs w:val="20"/>
              </w:rPr>
              <w:t> </w:t>
            </w:r>
          </w:p>
        </w:tc>
        <w:tc>
          <w:tcPr>
            <w:tcW w:w="0" w:type="auto"/>
            <w:hideMark/>
          </w:tcPr>
          <w:p w14:paraId="7BEEAB8A" w14:textId="77777777" w:rsidR="002B5D06" w:rsidRDefault="000B69DD">
            <w:pPr>
              <w:pStyle w:val="NormalWeb"/>
              <w:spacing w:before="0" w:beforeAutospacing="0" w:after="0" w:afterAutospacing="0"/>
              <w:jc w:val="both"/>
              <w:rPr>
                <w:sz w:val="20"/>
                <w:szCs w:val="20"/>
              </w:rPr>
            </w:pPr>
            <w:r>
              <w:rPr>
                <w:sz w:val="20"/>
                <w:szCs w:val="20"/>
              </w:rPr>
              <w:t>●</w:t>
            </w:r>
          </w:p>
        </w:tc>
        <w:tc>
          <w:tcPr>
            <w:tcW w:w="0" w:type="auto"/>
            <w:hideMark/>
          </w:tcPr>
          <w:p w14:paraId="0E37C3AC" w14:textId="77777777" w:rsidR="002B5D06" w:rsidRDefault="000B69DD">
            <w:pPr>
              <w:pStyle w:val="NormalWeb"/>
              <w:spacing w:before="0" w:beforeAutospacing="0" w:after="0" w:afterAutospacing="0"/>
              <w:jc w:val="both"/>
              <w:rPr>
                <w:sz w:val="20"/>
                <w:szCs w:val="20"/>
              </w:rPr>
            </w:pPr>
            <w:r>
              <w:rPr>
                <w:sz w:val="20"/>
                <w:szCs w:val="20"/>
              </w:rPr>
              <w:t>difficulties in maintaining uniform standards, controls, procedures and policies;</w:t>
            </w:r>
          </w:p>
        </w:tc>
      </w:tr>
      <w:tr w:rsidR="002B5D06" w14:paraId="79FE446E" w14:textId="77777777">
        <w:trPr>
          <w:divId w:val="1684360448"/>
          <w:trHeight w:val="225"/>
          <w:tblCellSpacing w:w="15" w:type="dxa"/>
          <w:jc w:val="center"/>
        </w:trPr>
        <w:tc>
          <w:tcPr>
            <w:tcW w:w="0" w:type="auto"/>
            <w:vAlign w:val="center"/>
            <w:hideMark/>
          </w:tcPr>
          <w:p w14:paraId="01F1A73F"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2EA9D7E8"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44CCA5B7"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3A9B1A1C" w14:textId="77777777">
        <w:trPr>
          <w:divId w:val="1684360448"/>
          <w:trHeight w:val="225"/>
          <w:tblCellSpacing w:w="15" w:type="dxa"/>
          <w:jc w:val="center"/>
        </w:trPr>
        <w:tc>
          <w:tcPr>
            <w:tcW w:w="0" w:type="auto"/>
            <w:vAlign w:val="center"/>
            <w:hideMark/>
          </w:tcPr>
          <w:p w14:paraId="2A941FD5" w14:textId="77777777" w:rsidR="002B5D06" w:rsidRDefault="000B69DD">
            <w:pPr>
              <w:pStyle w:val="NormalWeb"/>
              <w:spacing w:before="0" w:beforeAutospacing="0" w:after="0" w:afterAutospacing="0"/>
              <w:rPr>
                <w:sz w:val="20"/>
                <w:szCs w:val="20"/>
              </w:rPr>
            </w:pPr>
            <w:r>
              <w:rPr>
                <w:sz w:val="20"/>
                <w:szCs w:val="20"/>
              </w:rPr>
              <w:t> </w:t>
            </w:r>
          </w:p>
        </w:tc>
        <w:tc>
          <w:tcPr>
            <w:tcW w:w="0" w:type="auto"/>
            <w:hideMark/>
          </w:tcPr>
          <w:p w14:paraId="0F95E933" w14:textId="77777777" w:rsidR="002B5D06" w:rsidRDefault="000B69DD">
            <w:pPr>
              <w:pStyle w:val="NormalWeb"/>
              <w:spacing w:before="0" w:beforeAutospacing="0" w:after="0" w:afterAutospacing="0"/>
              <w:jc w:val="both"/>
              <w:rPr>
                <w:sz w:val="20"/>
                <w:szCs w:val="20"/>
              </w:rPr>
            </w:pPr>
            <w:r>
              <w:rPr>
                <w:sz w:val="20"/>
                <w:szCs w:val="20"/>
              </w:rPr>
              <w:t>●</w:t>
            </w:r>
          </w:p>
        </w:tc>
        <w:tc>
          <w:tcPr>
            <w:tcW w:w="0" w:type="auto"/>
            <w:hideMark/>
          </w:tcPr>
          <w:p w14:paraId="0520138F" w14:textId="77777777" w:rsidR="002B5D06" w:rsidRDefault="000B69DD">
            <w:pPr>
              <w:pStyle w:val="NormalWeb"/>
              <w:spacing w:before="0" w:beforeAutospacing="0" w:after="0" w:afterAutospacing="0"/>
              <w:jc w:val="both"/>
              <w:rPr>
                <w:sz w:val="20"/>
                <w:szCs w:val="20"/>
              </w:rPr>
            </w:pPr>
            <w:r>
              <w:rPr>
                <w:sz w:val="20"/>
                <w:szCs w:val="20"/>
              </w:rPr>
              <w:t>impairment of relationships with employees and customers as a result of any integration of new management personnel; and</w:t>
            </w:r>
          </w:p>
        </w:tc>
      </w:tr>
      <w:tr w:rsidR="002B5D06" w14:paraId="71B375A3" w14:textId="77777777">
        <w:trPr>
          <w:divId w:val="1684360448"/>
          <w:trHeight w:val="225"/>
          <w:tblCellSpacing w:w="15" w:type="dxa"/>
          <w:jc w:val="center"/>
        </w:trPr>
        <w:tc>
          <w:tcPr>
            <w:tcW w:w="0" w:type="auto"/>
            <w:vAlign w:val="center"/>
            <w:hideMark/>
          </w:tcPr>
          <w:p w14:paraId="6B4570BF"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620341A7" w14:textId="77777777" w:rsidR="002B5D06" w:rsidRDefault="002B5D06">
            <w:pPr>
              <w:rPr>
                <w:rFonts w:eastAsia="Times New Roman"/>
                <w:sz w:val="20"/>
                <w:szCs w:val="20"/>
              </w:rPr>
            </w:pPr>
          </w:p>
        </w:tc>
        <w:tc>
          <w:tcPr>
            <w:tcW w:w="0" w:type="auto"/>
            <w:vAlign w:val="center"/>
            <w:hideMark/>
          </w:tcPr>
          <w:p w14:paraId="31FA7DA8"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65DC8E0F" w14:textId="77777777">
        <w:trPr>
          <w:divId w:val="1684360448"/>
          <w:trHeight w:val="225"/>
          <w:tblCellSpacing w:w="15" w:type="dxa"/>
          <w:jc w:val="center"/>
        </w:trPr>
        <w:tc>
          <w:tcPr>
            <w:tcW w:w="0" w:type="auto"/>
            <w:vAlign w:val="center"/>
            <w:hideMark/>
          </w:tcPr>
          <w:p w14:paraId="0CB4E5BB" w14:textId="77777777" w:rsidR="002B5D06" w:rsidRDefault="000B69DD">
            <w:pPr>
              <w:pStyle w:val="NormalWeb"/>
              <w:spacing w:before="0" w:beforeAutospacing="0" w:after="0" w:afterAutospacing="0"/>
              <w:rPr>
                <w:sz w:val="20"/>
                <w:szCs w:val="20"/>
              </w:rPr>
            </w:pPr>
            <w:r>
              <w:rPr>
                <w:sz w:val="20"/>
                <w:szCs w:val="20"/>
              </w:rPr>
              <w:t> </w:t>
            </w:r>
          </w:p>
        </w:tc>
        <w:tc>
          <w:tcPr>
            <w:tcW w:w="0" w:type="auto"/>
            <w:hideMark/>
          </w:tcPr>
          <w:p w14:paraId="12DDDF9F" w14:textId="77777777" w:rsidR="002B5D06" w:rsidRDefault="000B69DD">
            <w:pPr>
              <w:pStyle w:val="NormalWeb"/>
              <w:spacing w:before="0" w:beforeAutospacing="0" w:after="0" w:afterAutospacing="0"/>
              <w:jc w:val="both"/>
              <w:rPr>
                <w:sz w:val="20"/>
                <w:szCs w:val="20"/>
              </w:rPr>
            </w:pPr>
            <w:r>
              <w:rPr>
                <w:sz w:val="20"/>
                <w:szCs w:val="20"/>
              </w:rPr>
              <w:t>●</w:t>
            </w:r>
          </w:p>
        </w:tc>
        <w:tc>
          <w:tcPr>
            <w:tcW w:w="0" w:type="auto"/>
            <w:hideMark/>
          </w:tcPr>
          <w:p w14:paraId="64D8A270" w14:textId="77777777" w:rsidR="002B5D06" w:rsidRDefault="000B69DD">
            <w:pPr>
              <w:pStyle w:val="NormalWeb"/>
              <w:spacing w:before="0" w:beforeAutospacing="0" w:after="0" w:afterAutospacing="0"/>
              <w:jc w:val="both"/>
              <w:rPr>
                <w:sz w:val="20"/>
                <w:szCs w:val="20"/>
              </w:rPr>
            </w:pPr>
            <w:r>
              <w:rPr>
                <w:sz w:val="20"/>
                <w:szCs w:val="20"/>
              </w:rPr>
              <w:t>potential unknown liabilities associated with acquired businesses</w:t>
            </w:r>
          </w:p>
        </w:tc>
      </w:tr>
    </w:tbl>
    <w:p w14:paraId="5942BA74"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0FCB71B0" w14:textId="77777777">
        <w:trPr>
          <w:divId w:val="1684360448"/>
          <w:trHeight w:val="225"/>
          <w:tblCellSpacing w:w="15" w:type="dxa"/>
          <w:jc w:val="center"/>
        </w:trPr>
        <w:tc>
          <w:tcPr>
            <w:tcW w:w="0" w:type="auto"/>
            <w:vAlign w:val="center"/>
            <w:hideMark/>
          </w:tcPr>
          <w:p w14:paraId="6FF7C848" w14:textId="77777777" w:rsidR="002B5D06" w:rsidRDefault="000B69DD">
            <w:pPr>
              <w:rPr>
                <w:rFonts w:eastAsia="Times New Roman"/>
                <w:sz w:val="20"/>
                <w:szCs w:val="20"/>
              </w:rPr>
            </w:pPr>
            <w:r>
              <w:rPr>
                <w:rFonts w:eastAsia="Times New Roman"/>
                <w:sz w:val="20"/>
                <w:szCs w:val="20"/>
              </w:rPr>
              <w:t> </w:t>
            </w:r>
          </w:p>
        </w:tc>
      </w:tr>
      <w:tr w:rsidR="002B5D06" w14:paraId="2E2F49D6" w14:textId="77777777">
        <w:trPr>
          <w:divId w:val="1684360448"/>
          <w:trHeight w:val="225"/>
          <w:tblCellSpacing w:w="15" w:type="dxa"/>
          <w:jc w:val="center"/>
        </w:trPr>
        <w:tc>
          <w:tcPr>
            <w:tcW w:w="0" w:type="auto"/>
            <w:tcBorders>
              <w:bottom w:val="single" w:sz="6" w:space="0" w:color="000000"/>
            </w:tcBorders>
            <w:vAlign w:val="center"/>
            <w:hideMark/>
          </w:tcPr>
          <w:p w14:paraId="0AD52669" w14:textId="77777777" w:rsidR="002B5D06" w:rsidRDefault="000B69DD">
            <w:pPr>
              <w:jc w:val="center"/>
              <w:rPr>
                <w:rFonts w:eastAsia="Times New Roman"/>
                <w:sz w:val="20"/>
                <w:szCs w:val="20"/>
              </w:rPr>
            </w:pPr>
            <w:r>
              <w:rPr>
                <w:rFonts w:eastAsia="Times New Roman"/>
                <w:sz w:val="20"/>
                <w:szCs w:val="20"/>
              </w:rPr>
              <w:t>8</w:t>
            </w:r>
          </w:p>
        </w:tc>
      </w:tr>
      <w:tr w:rsidR="002B5D06" w14:paraId="44E0BDE4" w14:textId="77777777">
        <w:trPr>
          <w:divId w:val="1684360448"/>
          <w:trHeight w:val="225"/>
          <w:tblCellSpacing w:w="15" w:type="dxa"/>
          <w:jc w:val="center"/>
        </w:trPr>
        <w:tc>
          <w:tcPr>
            <w:tcW w:w="0" w:type="auto"/>
            <w:vAlign w:val="center"/>
            <w:hideMark/>
          </w:tcPr>
          <w:p w14:paraId="6730595A" w14:textId="77777777" w:rsidR="002B5D06" w:rsidRDefault="002B5D06">
            <w:pPr>
              <w:rPr>
                <w:rFonts w:eastAsia="Times New Roman"/>
                <w:sz w:val="20"/>
                <w:szCs w:val="20"/>
              </w:rPr>
            </w:pPr>
          </w:p>
        </w:tc>
      </w:tr>
      <w:tr w:rsidR="002B5D06" w14:paraId="7A79B7A6" w14:textId="77777777">
        <w:trPr>
          <w:divId w:val="1684360448"/>
          <w:trHeight w:val="225"/>
          <w:tblCellSpacing w:w="15" w:type="dxa"/>
          <w:jc w:val="center"/>
        </w:trPr>
        <w:tc>
          <w:tcPr>
            <w:tcW w:w="0" w:type="auto"/>
            <w:vAlign w:val="center"/>
            <w:hideMark/>
          </w:tcPr>
          <w:p w14:paraId="7CE1B8C1" w14:textId="77777777" w:rsidR="002B5D06" w:rsidRDefault="002B5D06">
            <w:pPr>
              <w:rPr>
                <w:rFonts w:eastAsia="Times New Roman"/>
                <w:sz w:val="20"/>
                <w:szCs w:val="20"/>
              </w:rPr>
            </w:pPr>
          </w:p>
        </w:tc>
      </w:tr>
    </w:tbl>
    <w:p w14:paraId="2A875F1B"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265855C5" w14:textId="77777777" w:rsidR="002B5D06" w:rsidRDefault="000B69DD">
      <w:pPr>
        <w:pStyle w:val="NormalWeb"/>
        <w:spacing w:before="0" w:beforeAutospacing="0" w:after="0" w:afterAutospacing="0"/>
        <w:divId w:val="1684360448"/>
        <w:rPr>
          <w:sz w:val="20"/>
          <w:szCs w:val="20"/>
        </w:rPr>
      </w:pPr>
      <w:r>
        <w:rPr>
          <w:sz w:val="20"/>
          <w:szCs w:val="20"/>
        </w:rPr>
        <w:t> </w:t>
      </w:r>
    </w:p>
    <w:p w14:paraId="25DF1A92"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Risks Specific to Our Industry</w:t>
      </w:r>
    </w:p>
    <w:p w14:paraId="7B0B08C2"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15C03BE"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WE ARE SUBJECT TO RISKS ASSOCIATED WITH GLOBAL DECLINE IN REAL ESTATE</w:t>
      </w:r>
    </w:p>
    <w:p w14:paraId="7208873B"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C38E256" w14:textId="77777777" w:rsidR="002B5D06" w:rsidRDefault="000B69DD">
      <w:pPr>
        <w:pStyle w:val="NormalWeb"/>
        <w:spacing w:before="0" w:beforeAutospacing="0" w:after="0" w:afterAutospacing="0"/>
        <w:jc w:val="both"/>
        <w:divId w:val="1684360448"/>
        <w:rPr>
          <w:sz w:val="20"/>
          <w:szCs w:val="20"/>
        </w:rPr>
      </w:pPr>
      <w:r>
        <w:rPr>
          <w:sz w:val="20"/>
          <w:szCs w:val="20"/>
        </w:rPr>
        <w:t>ANV, has only one commercial real estate property. There is no guarantee that the demand for rental of this property will continue and potentially this would affect the Company’s performance.</w:t>
      </w:r>
    </w:p>
    <w:p w14:paraId="3D4FD97B"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B570E2A"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WE ARE SUBJECT TO RISKS ASSOCIATED WITH COMPETITION IN THE LOGISTICS AND TRANSPORTATION INDUSTRY</w:t>
      </w:r>
    </w:p>
    <w:p w14:paraId="15C729DE"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49DDD80" w14:textId="77777777" w:rsidR="002B5D06" w:rsidRDefault="000B69DD">
      <w:pPr>
        <w:pStyle w:val="NormalWeb"/>
        <w:spacing w:before="0" w:beforeAutospacing="0" w:after="0" w:afterAutospacing="0"/>
        <w:jc w:val="both"/>
        <w:divId w:val="1684360448"/>
        <w:rPr>
          <w:sz w:val="20"/>
          <w:szCs w:val="20"/>
        </w:rPr>
      </w:pPr>
      <w:r>
        <w:rPr>
          <w:sz w:val="20"/>
          <w:szCs w:val="20"/>
        </w:rPr>
        <w:t>Sharx is only selling one type of product and only to the logistics and transportation industry. There are larger competitors with less expensive products. Technologies in the logistics and transportation industry are advancing, and possibly eliminating the need for the Sharx products. There is no assurance that the demand for this product will continue in these industries.</w:t>
      </w:r>
    </w:p>
    <w:p w14:paraId="074745A7"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447DC74"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WE ARE SUBJECT TO RISKS ASSOCIATED WITH SUPPLY OF PRODUCT</w:t>
      </w:r>
    </w:p>
    <w:p w14:paraId="63E11E3D"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E51EAAB" w14:textId="77777777" w:rsidR="002B5D06" w:rsidRDefault="000B69DD">
      <w:pPr>
        <w:pStyle w:val="NormalWeb"/>
        <w:spacing w:before="0" w:beforeAutospacing="0" w:after="0" w:afterAutospacing="0"/>
        <w:jc w:val="both"/>
        <w:divId w:val="1684360448"/>
        <w:rPr>
          <w:sz w:val="20"/>
          <w:szCs w:val="20"/>
        </w:rPr>
      </w:pPr>
      <w:r>
        <w:rPr>
          <w:sz w:val="20"/>
          <w:szCs w:val="20"/>
        </w:rPr>
        <w:t>Sharx’s supply of products is derived from only one vendor and there can be no assurance that the vendor would continue to, or have the ability to, continue supply of product. Should the vendor discontinue supplying product, Sharx would lose 100% of its supply of product.</w:t>
      </w:r>
    </w:p>
    <w:p w14:paraId="37A47A2A"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BEF6125"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WE ARE SUBJECT TO RISKS ASSOCIATED WITH DELIVERY OF PRODUCT</w:t>
      </w:r>
    </w:p>
    <w:p w14:paraId="696E91A5"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1D6528A" w14:textId="77777777" w:rsidR="002B5D06" w:rsidRDefault="000B69DD">
      <w:pPr>
        <w:pStyle w:val="NormalWeb"/>
        <w:spacing w:before="0" w:beforeAutospacing="0" w:after="0" w:afterAutospacing="0"/>
        <w:jc w:val="both"/>
        <w:divId w:val="1684360448"/>
        <w:rPr>
          <w:sz w:val="20"/>
          <w:szCs w:val="20"/>
        </w:rPr>
      </w:pPr>
      <w:r>
        <w:rPr>
          <w:sz w:val="20"/>
          <w:szCs w:val="20"/>
        </w:rPr>
        <w:t>Sharx’s delivery of its products to its customers is via drop shipping from the manufacturer or third party to the customer. There can be no assurance that the manufacturer would continue to, or have the ability to, continue drop shipping Sharx’s products. Should the manufacturer discontinue drop shipping, there is no assurance that Sharx could obtain alternate delivery solutions and that alternate shipping solutions would be cost effective for the sales of Sharx’s products.</w:t>
      </w:r>
    </w:p>
    <w:p w14:paraId="26294BAE"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94919FF"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Risks Related to Our Securities</w:t>
      </w:r>
    </w:p>
    <w:p w14:paraId="2476FF90"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04370C6F" w14:textId="77777777" w:rsidR="002B5D06" w:rsidRDefault="000B69DD">
      <w:pPr>
        <w:pStyle w:val="NormalWeb"/>
        <w:spacing w:before="0" w:beforeAutospacing="0" w:after="0" w:afterAutospacing="0"/>
        <w:jc w:val="both"/>
        <w:divId w:val="1684360448"/>
        <w:rPr>
          <w:sz w:val="20"/>
          <w:szCs w:val="20"/>
        </w:rPr>
      </w:pPr>
      <w:r>
        <w:rPr>
          <w:sz w:val="20"/>
          <w:szCs w:val="20"/>
        </w:rPr>
        <w:t>OUR COMMON STOCK IS SUBJECT TO THE “PENNY STOCK” RULES OF THE SEC AND THE TRADING MARKET IN OUR SECURITIES IS LIMITED, WHICH MAKES TRANSACTIONS IN OUR STOCK CUMBERSOME AND MAY REDUCE THE VALUE OF AN INVESTMENT IN OUR STOCK.</w:t>
      </w:r>
    </w:p>
    <w:p w14:paraId="4EE4BEFD"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87FC062" w14:textId="77777777" w:rsidR="002B5D06" w:rsidRDefault="000B69DD">
      <w:pPr>
        <w:pStyle w:val="NormalWeb"/>
        <w:spacing w:before="0" w:beforeAutospacing="0" w:after="0" w:afterAutospacing="0"/>
        <w:jc w:val="both"/>
        <w:divId w:val="1684360448"/>
        <w:rPr>
          <w:sz w:val="20"/>
          <w:szCs w:val="20"/>
        </w:rPr>
      </w:pPr>
      <w:r>
        <w:rPr>
          <w:sz w:val="20"/>
          <w:szCs w:val="20"/>
        </w:rPr>
        <w:t>The Securities and Exchange Commission has adopted Rule 15g-9 which establishes the definition of a “penny stock,” for the purposes relevant to us, as any equity security that has a market price of less than $5.00 per share or with an exercise price of less than $5.00 per share, subject to certain exceptions. For any transaction involving a penny stock, unless exempt, the rules require: that a broker or dealer approve a person’s account for transactions in penny stocks; and the broker or dealer receive from the investor a written agreement to the transaction, setting forth the identity and quantity of the penny stock to be purchased.</w:t>
      </w:r>
    </w:p>
    <w:p w14:paraId="18044C97"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7FB004A" w14:textId="77777777" w:rsidR="002B5D06" w:rsidRDefault="000B69DD">
      <w:pPr>
        <w:pStyle w:val="NormalWeb"/>
        <w:spacing w:before="0" w:beforeAutospacing="0" w:after="0" w:afterAutospacing="0"/>
        <w:jc w:val="both"/>
        <w:divId w:val="1684360448"/>
        <w:rPr>
          <w:sz w:val="20"/>
          <w:szCs w:val="20"/>
        </w:rPr>
      </w:pPr>
      <w:r>
        <w:rPr>
          <w:sz w:val="20"/>
          <w:szCs w:val="20"/>
        </w:rPr>
        <w:t>In order to approve a person’s account for transactions in penny stocks, the broker or dealer must: obtain financial information and investment experience objectives of the person; and make a reasonable determination that the transactions in penny stocks are suitable for that person and the person has sufficient knowledge and experience in financial matters to be capable of evaluating the risks of transactions in penny stocks.</w:t>
      </w:r>
    </w:p>
    <w:p w14:paraId="73470300"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064B1B67" w14:textId="77777777" w:rsidR="002B5D06" w:rsidRDefault="000B69DD">
      <w:pPr>
        <w:pStyle w:val="NormalWeb"/>
        <w:spacing w:before="0" w:beforeAutospacing="0" w:after="0" w:afterAutospacing="0"/>
        <w:jc w:val="both"/>
        <w:divId w:val="1684360448"/>
        <w:rPr>
          <w:sz w:val="20"/>
          <w:szCs w:val="20"/>
        </w:rPr>
      </w:pPr>
      <w:r>
        <w:rPr>
          <w:sz w:val="20"/>
          <w:szCs w:val="20"/>
        </w:rPr>
        <w:t>The broker or dealer must also deliver, prior to any transaction in a penny stock, a disclosure schedule prescribed by the Commission relating to the penny stock market, which, in highlight form: sets forth the basis on which the broker or dealer made the suitability determination; and that the broker or dealer received a signed, written agreement from the investor prior to the transaction.</w:t>
      </w:r>
    </w:p>
    <w:p w14:paraId="0A66F066"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A213274" w14:textId="77777777" w:rsidR="002B5D06" w:rsidRDefault="000B69DD">
      <w:pPr>
        <w:pStyle w:val="NormalWeb"/>
        <w:spacing w:before="0" w:beforeAutospacing="0" w:after="0" w:afterAutospacing="0"/>
        <w:jc w:val="both"/>
        <w:divId w:val="1684360448"/>
        <w:rPr>
          <w:sz w:val="20"/>
          <w:szCs w:val="20"/>
        </w:rPr>
      </w:pPr>
      <w:r>
        <w:rPr>
          <w:sz w:val="20"/>
          <w:szCs w:val="20"/>
        </w:rPr>
        <w:t>Generally, brokers may be less willing to execute transactions in securities subject to the “penny stock” rules. This may make it more difficult for investors to dispose of our common stock and cause a decline in the market value of our stock.</w:t>
      </w:r>
    </w:p>
    <w:p w14:paraId="569944DC"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0F39904" w14:textId="77777777" w:rsidR="002B5D06" w:rsidRDefault="000B69DD">
      <w:pPr>
        <w:pStyle w:val="NormalWeb"/>
        <w:spacing w:before="0" w:beforeAutospacing="0" w:after="0" w:afterAutospacing="0"/>
        <w:jc w:val="both"/>
        <w:divId w:val="1684360448"/>
        <w:rPr>
          <w:sz w:val="20"/>
          <w:szCs w:val="20"/>
        </w:rPr>
      </w:pPr>
      <w:r>
        <w:rPr>
          <w:sz w:val="20"/>
          <w:szCs w:val="20"/>
        </w:rPr>
        <w:t>Disclosure also has to be made about the risks of investing in penny stocks in both public offerings and in secondary trading and about the commissions payable to both the broker-dealer and the registered representative, current quotations for the securities and the rights and remedies available to an investor in cases of fraud in penny stock transactions. Finally, monthly statements have to be sent disclosing recent price information for the penny stock held in the account and information on the limited market in penny stocks.</w:t>
      </w:r>
    </w:p>
    <w:p w14:paraId="2C421A47"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EF6D7E0"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Other Risk and Uncertainties:</w:t>
      </w:r>
    </w:p>
    <w:p w14:paraId="5EC4B485"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B4E2DCE" w14:textId="77777777" w:rsidR="002B5D06" w:rsidRDefault="000B69DD">
      <w:pPr>
        <w:pStyle w:val="NormalWeb"/>
        <w:spacing w:before="0" w:beforeAutospacing="0" w:after="0" w:afterAutospacing="0"/>
        <w:jc w:val="both"/>
        <w:divId w:val="1684360448"/>
        <w:rPr>
          <w:sz w:val="20"/>
          <w:szCs w:val="20"/>
        </w:rPr>
      </w:pPr>
      <w:r>
        <w:rPr>
          <w:sz w:val="20"/>
          <w:szCs w:val="20"/>
        </w:rPr>
        <w:t>There are none.</w:t>
      </w:r>
    </w:p>
    <w:p w14:paraId="4140095C"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1EBA3CD8" w14:textId="77777777">
        <w:trPr>
          <w:divId w:val="1684360448"/>
          <w:trHeight w:val="225"/>
          <w:tblCellSpacing w:w="15" w:type="dxa"/>
          <w:jc w:val="center"/>
        </w:trPr>
        <w:tc>
          <w:tcPr>
            <w:tcW w:w="0" w:type="auto"/>
            <w:vAlign w:val="center"/>
            <w:hideMark/>
          </w:tcPr>
          <w:p w14:paraId="50B3D9E0" w14:textId="77777777" w:rsidR="002B5D06" w:rsidRDefault="000B69DD">
            <w:pPr>
              <w:rPr>
                <w:rFonts w:eastAsia="Times New Roman"/>
                <w:sz w:val="20"/>
                <w:szCs w:val="20"/>
              </w:rPr>
            </w:pPr>
            <w:r>
              <w:rPr>
                <w:rFonts w:eastAsia="Times New Roman"/>
                <w:sz w:val="20"/>
                <w:szCs w:val="20"/>
              </w:rPr>
              <w:t> </w:t>
            </w:r>
          </w:p>
        </w:tc>
      </w:tr>
      <w:tr w:rsidR="002B5D06" w14:paraId="1121F5FB" w14:textId="77777777">
        <w:trPr>
          <w:divId w:val="1684360448"/>
          <w:trHeight w:val="225"/>
          <w:tblCellSpacing w:w="15" w:type="dxa"/>
          <w:jc w:val="center"/>
        </w:trPr>
        <w:tc>
          <w:tcPr>
            <w:tcW w:w="0" w:type="auto"/>
            <w:tcBorders>
              <w:bottom w:val="single" w:sz="6" w:space="0" w:color="000000"/>
            </w:tcBorders>
            <w:vAlign w:val="center"/>
            <w:hideMark/>
          </w:tcPr>
          <w:p w14:paraId="69BCF578" w14:textId="77777777" w:rsidR="002B5D06" w:rsidRDefault="000B69DD">
            <w:pPr>
              <w:jc w:val="center"/>
              <w:rPr>
                <w:rFonts w:eastAsia="Times New Roman"/>
                <w:sz w:val="20"/>
                <w:szCs w:val="20"/>
              </w:rPr>
            </w:pPr>
            <w:r>
              <w:rPr>
                <w:rFonts w:eastAsia="Times New Roman"/>
                <w:sz w:val="20"/>
                <w:szCs w:val="20"/>
              </w:rPr>
              <w:t>9</w:t>
            </w:r>
          </w:p>
        </w:tc>
      </w:tr>
      <w:tr w:rsidR="002B5D06" w14:paraId="465300FF" w14:textId="77777777">
        <w:trPr>
          <w:divId w:val="1684360448"/>
          <w:trHeight w:val="225"/>
          <w:tblCellSpacing w:w="15" w:type="dxa"/>
          <w:jc w:val="center"/>
        </w:trPr>
        <w:tc>
          <w:tcPr>
            <w:tcW w:w="0" w:type="auto"/>
            <w:vAlign w:val="center"/>
            <w:hideMark/>
          </w:tcPr>
          <w:p w14:paraId="5EE65B8C" w14:textId="77777777" w:rsidR="002B5D06" w:rsidRDefault="002B5D06">
            <w:pPr>
              <w:rPr>
                <w:rFonts w:eastAsia="Times New Roman"/>
                <w:sz w:val="20"/>
                <w:szCs w:val="20"/>
              </w:rPr>
            </w:pPr>
          </w:p>
        </w:tc>
      </w:tr>
      <w:tr w:rsidR="002B5D06" w14:paraId="0E1D36AB" w14:textId="77777777">
        <w:trPr>
          <w:divId w:val="1684360448"/>
          <w:trHeight w:val="225"/>
          <w:tblCellSpacing w:w="15" w:type="dxa"/>
          <w:jc w:val="center"/>
        </w:trPr>
        <w:tc>
          <w:tcPr>
            <w:tcW w:w="0" w:type="auto"/>
            <w:vAlign w:val="center"/>
            <w:hideMark/>
          </w:tcPr>
          <w:p w14:paraId="795A0921" w14:textId="77777777" w:rsidR="002B5D06" w:rsidRDefault="002B5D06">
            <w:pPr>
              <w:rPr>
                <w:rFonts w:eastAsia="Times New Roman"/>
                <w:sz w:val="20"/>
                <w:szCs w:val="20"/>
              </w:rPr>
            </w:pPr>
          </w:p>
        </w:tc>
      </w:tr>
    </w:tbl>
    <w:p w14:paraId="11C70562"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1B262A1D" w14:textId="77777777" w:rsidR="002B5D06" w:rsidRDefault="000B69DD">
      <w:pPr>
        <w:pStyle w:val="NormalWeb"/>
        <w:spacing w:before="0" w:beforeAutospacing="0" w:after="0" w:afterAutospacing="0"/>
        <w:divId w:val="1684360448"/>
        <w:rPr>
          <w:sz w:val="20"/>
          <w:szCs w:val="20"/>
        </w:rPr>
      </w:pPr>
      <w:r>
        <w:rPr>
          <w:sz w:val="20"/>
          <w:szCs w:val="20"/>
        </w:rPr>
        <w:t> </w:t>
      </w:r>
    </w:p>
    <w:p w14:paraId="222A6624" w14:textId="77777777" w:rsidR="002B5D06" w:rsidRDefault="000B69DD">
      <w:pPr>
        <w:pStyle w:val="NormalWeb"/>
        <w:spacing w:before="0" w:beforeAutospacing="0" w:after="0" w:afterAutospacing="0"/>
        <w:jc w:val="both"/>
        <w:divId w:val="1684360448"/>
        <w:rPr>
          <w:sz w:val="20"/>
          <w:szCs w:val="20"/>
        </w:rPr>
      </w:pPr>
      <w:r>
        <w:rPr>
          <w:rStyle w:val="atag"/>
          <w:b/>
          <w:bCs/>
          <w:i/>
          <w:iCs/>
          <w:sz w:val="20"/>
          <w:szCs w:val="20"/>
        </w:rPr>
        <w:t>ITEM 1B. UNRESOLVED STAFF COMMENTS</w:t>
      </w:r>
    </w:p>
    <w:p w14:paraId="4F9D311E"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 </w:t>
      </w:r>
    </w:p>
    <w:p w14:paraId="5C723505" w14:textId="77777777" w:rsidR="002B5D06" w:rsidRDefault="000B69DD">
      <w:pPr>
        <w:pStyle w:val="NormalWeb"/>
        <w:spacing w:before="0" w:beforeAutospacing="0" w:after="0" w:afterAutospacing="0"/>
        <w:jc w:val="both"/>
        <w:divId w:val="1684360448"/>
        <w:rPr>
          <w:sz w:val="20"/>
          <w:szCs w:val="20"/>
        </w:rPr>
      </w:pPr>
      <w:r>
        <w:rPr>
          <w:sz w:val="20"/>
          <w:szCs w:val="20"/>
        </w:rPr>
        <w:t>There are none.</w:t>
      </w:r>
    </w:p>
    <w:p w14:paraId="2468FAF4"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A7018F6" w14:textId="77777777" w:rsidR="002B5D06" w:rsidRDefault="000B69DD">
      <w:pPr>
        <w:pStyle w:val="NormalWeb"/>
        <w:spacing w:before="0" w:beforeAutospacing="0" w:after="0" w:afterAutospacing="0"/>
        <w:jc w:val="both"/>
        <w:divId w:val="1684360448"/>
        <w:rPr>
          <w:sz w:val="20"/>
          <w:szCs w:val="20"/>
        </w:rPr>
      </w:pPr>
      <w:r>
        <w:rPr>
          <w:rStyle w:val="atag"/>
          <w:b/>
          <w:bCs/>
          <w:i/>
          <w:iCs/>
          <w:sz w:val="20"/>
          <w:szCs w:val="20"/>
        </w:rPr>
        <w:t>ITEM 1C. Cyber Security</w:t>
      </w:r>
    </w:p>
    <w:p w14:paraId="697A89A7"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 </w:t>
      </w:r>
    </w:p>
    <w:p w14:paraId="1CFFC847" w14:textId="77777777" w:rsidR="002B5D06" w:rsidRDefault="000B69DD">
      <w:pPr>
        <w:pStyle w:val="NormalWeb"/>
        <w:spacing w:before="0" w:beforeAutospacing="0" w:after="0" w:afterAutospacing="0"/>
        <w:jc w:val="both"/>
        <w:divId w:val="1684360448"/>
        <w:rPr>
          <w:sz w:val="20"/>
          <w:szCs w:val="20"/>
        </w:rPr>
      </w:pPr>
      <w:r>
        <w:rPr>
          <w:sz w:val="20"/>
          <w:szCs w:val="20"/>
        </w:rPr>
        <w:t>At present the Company has minimal risk related to Cybersecurity as no operational business is conducted on the internet or available through the internet.</w:t>
      </w:r>
    </w:p>
    <w:p w14:paraId="1BB301E5"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D5C6736" w14:textId="77777777" w:rsidR="002B5D06" w:rsidRDefault="000B69DD">
      <w:pPr>
        <w:pStyle w:val="NormalWeb"/>
        <w:spacing w:before="0" w:beforeAutospacing="0" w:after="0" w:afterAutospacing="0"/>
        <w:jc w:val="both"/>
        <w:divId w:val="1684360448"/>
        <w:rPr>
          <w:sz w:val="20"/>
          <w:szCs w:val="20"/>
        </w:rPr>
      </w:pPr>
      <w:r>
        <w:rPr>
          <w:sz w:val="20"/>
          <w:szCs w:val="20"/>
        </w:rPr>
        <w:t>Cybersecurity risk management will be an integral part of our overall enterprise risk management efforts once the Company has determined how and what security measures will need to be deployed. No enterprise risk can be eliminated entirely. We will seek to mitigate as much risk as possible and manage the remaining financial risk internally.</w:t>
      </w:r>
    </w:p>
    <w:p w14:paraId="1CF0653A"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D68170B"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Governance</w:t>
      </w:r>
    </w:p>
    <w:p w14:paraId="2D48EAF2"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16A199B" w14:textId="77777777" w:rsidR="002B5D06" w:rsidRDefault="000B69DD">
      <w:pPr>
        <w:pStyle w:val="NormalWeb"/>
        <w:spacing w:before="0" w:beforeAutospacing="0" w:after="0" w:afterAutospacing="0"/>
        <w:jc w:val="both"/>
        <w:divId w:val="1684360448"/>
        <w:rPr>
          <w:sz w:val="20"/>
          <w:szCs w:val="20"/>
        </w:rPr>
      </w:pPr>
      <w:r>
        <w:rPr>
          <w:sz w:val="20"/>
          <w:szCs w:val="20"/>
        </w:rPr>
        <w:t>Our Board of Directors has primary responsibility for evaluating cybersecurity risk management, overseeing our major cybersecurity risk exposures and the steps management has taken to monitor and control these exposures, including policies and procedures for assessing and managing risk, as well as oversight of compliance related to legal and regulatory exposure.</w:t>
      </w:r>
    </w:p>
    <w:p w14:paraId="3E654B64"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F0A0D60" w14:textId="77777777" w:rsidR="002B5D06" w:rsidRDefault="000B69DD">
      <w:pPr>
        <w:pStyle w:val="NormalWeb"/>
        <w:spacing w:before="0" w:beforeAutospacing="0" w:after="0" w:afterAutospacing="0"/>
        <w:jc w:val="both"/>
        <w:divId w:val="1684360448"/>
        <w:rPr>
          <w:sz w:val="20"/>
          <w:szCs w:val="20"/>
        </w:rPr>
      </w:pPr>
      <w:r>
        <w:rPr>
          <w:sz w:val="20"/>
          <w:szCs w:val="20"/>
        </w:rPr>
        <w:t>The “to be newly formed” management positions responsible for assessing and managing cybersecurity risks will be a Director of Cybersecurity and a Chief Information Officer (“CIO”), who will report directly to our CFO. Presently our CFO is undertaking the actions of both the Director of Cybersecurity and CIO. The CIO will be responsible for ensuring that we have a cybersecurity risk management program in place that is fully aligned with business requirements and strategy.</w:t>
      </w:r>
    </w:p>
    <w:p w14:paraId="4FAFF1BE"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BD9E602" w14:textId="77777777" w:rsidR="002B5D06" w:rsidRDefault="000B69DD">
      <w:pPr>
        <w:pStyle w:val="NormalWeb"/>
        <w:spacing w:before="0" w:beforeAutospacing="0" w:after="0" w:afterAutospacing="0"/>
        <w:jc w:val="both"/>
        <w:divId w:val="1684360448"/>
        <w:rPr>
          <w:sz w:val="20"/>
          <w:szCs w:val="20"/>
        </w:rPr>
      </w:pPr>
      <w:r>
        <w:rPr>
          <w:rStyle w:val="atag"/>
          <w:b/>
          <w:bCs/>
          <w:i/>
          <w:iCs/>
          <w:sz w:val="20"/>
          <w:szCs w:val="20"/>
        </w:rPr>
        <w:t>ITEM 2. DESCRIPTION OF PROPERTY</w:t>
      </w:r>
    </w:p>
    <w:p w14:paraId="6159A85A"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 </w:t>
      </w:r>
    </w:p>
    <w:p w14:paraId="479C656D" w14:textId="77777777" w:rsidR="002B5D06" w:rsidRDefault="000B69DD">
      <w:pPr>
        <w:pStyle w:val="NormalWeb"/>
        <w:spacing w:before="0" w:beforeAutospacing="0" w:after="0" w:afterAutospacing="0"/>
        <w:jc w:val="both"/>
        <w:divId w:val="1684360448"/>
        <w:rPr>
          <w:sz w:val="20"/>
          <w:szCs w:val="20"/>
        </w:rPr>
      </w:pPr>
      <w:r>
        <w:rPr>
          <w:sz w:val="20"/>
          <w:szCs w:val="20"/>
        </w:rPr>
        <w:t>The assets of the Company consist of its wholly owned subsidiary, Anton Nielsen Vojens, ApS whose sole asset is commercial real estate in Vojens, Denmark. The commercial real estate is leased to Circle K Denmark, A/S, formerly StatOil, A/S until 2026. The property is land only and is a 750 square meter parcel currently used as a fuel station and is located at Ostergade 67, 6500 Vojens Denmark.</w:t>
      </w:r>
    </w:p>
    <w:p w14:paraId="55EBF38B"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7EAF961" w14:textId="77777777" w:rsidR="002B5D06" w:rsidRDefault="000B69DD">
      <w:pPr>
        <w:pStyle w:val="NormalWeb"/>
        <w:spacing w:before="0" w:beforeAutospacing="0" w:after="0" w:afterAutospacing="0"/>
        <w:jc w:val="both"/>
        <w:divId w:val="1684360448"/>
        <w:rPr>
          <w:sz w:val="20"/>
          <w:szCs w:val="20"/>
        </w:rPr>
      </w:pPr>
      <w:r>
        <w:rPr>
          <w:rStyle w:val="atag"/>
          <w:b/>
          <w:bCs/>
          <w:i/>
          <w:iCs/>
          <w:sz w:val="20"/>
          <w:szCs w:val="20"/>
        </w:rPr>
        <w:t>ITEM 3. LEGAL PROCEEDINGS</w:t>
      </w:r>
    </w:p>
    <w:p w14:paraId="6C6DEEEE"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 </w:t>
      </w:r>
    </w:p>
    <w:p w14:paraId="5074017E" w14:textId="77777777" w:rsidR="002B5D06" w:rsidRDefault="000B69DD">
      <w:pPr>
        <w:pStyle w:val="NormalWeb"/>
        <w:spacing w:before="0" w:beforeAutospacing="0" w:after="0" w:afterAutospacing="0"/>
        <w:jc w:val="both"/>
        <w:divId w:val="1684360448"/>
        <w:rPr>
          <w:sz w:val="20"/>
          <w:szCs w:val="20"/>
        </w:rPr>
      </w:pPr>
      <w:r>
        <w:rPr>
          <w:sz w:val="20"/>
          <w:szCs w:val="20"/>
        </w:rPr>
        <w:t>During the period ending June 30, 2025, the pending or threatened legal actions as follows:</w:t>
      </w:r>
    </w:p>
    <w:p w14:paraId="0D6A214F"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B8C81B5" w14:textId="77777777" w:rsidR="002B5D06" w:rsidRDefault="000B69DD">
      <w:pPr>
        <w:pStyle w:val="NormalWeb"/>
        <w:spacing w:before="0" w:beforeAutospacing="0" w:after="0" w:afterAutospacing="0"/>
        <w:jc w:val="both"/>
        <w:divId w:val="1684360448"/>
        <w:rPr>
          <w:sz w:val="20"/>
          <w:szCs w:val="20"/>
        </w:rPr>
      </w:pPr>
      <w:r>
        <w:rPr>
          <w:sz w:val="20"/>
          <w:szCs w:val="20"/>
        </w:rPr>
        <w:t>None</w:t>
      </w:r>
    </w:p>
    <w:p w14:paraId="1858C477"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075B631" w14:textId="77777777" w:rsidR="002B5D06" w:rsidRDefault="000B69DD">
      <w:pPr>
        <w:pStyle w:val="NormalWeb"/>
        <w:spacing w:before="0" w:beforeAutospacing="0" w:after="0" w:afterAutospacing="0"/>
        <w:jc w:val="both"/>
        <w:divId w:val="1684360448"/>
        <w:rPr>
          <w:sz w:val="20"/>
          <w:szCs w:val="20"/>
        </w:rPr>
      </w:pPr>
      <w:r>
        <w:rPr>
          <w:rStyle w:val="atag"/>
          <w:b/>
          <w:bCs/>
          <w:i/>
          <w:iCs/>
          <w:sz w:val="20"/>
          <w:szCs w:val="20"/>
        </w:rPr>
        <w:t>ITEM 4: MINE SAFETY DISCLOSURES.</w:t>
      </w:r>
    </w:p>
    <w:p w14:paraId="5EDB28AD"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 </w:t>
      </w:r>
    </w:p>
    <w:p w14:paraId="18B45B81" w14:textId="77777777" w:rsidR="002B5D06" w:rsidRDefault="000B69DD">
      <w:pPr>
        <w:pStyle w:val="NormalWeb"/>
        <w:spacing w:before="0" w:beforeAutospacing="0" w:after="0" w:afterAutospacing="0"/>
        <w:jc w:val="both"/>
        <w:divId w:val="1684360448"/>
        <w:rPr>
          <w:sz w:val="20"/>
          <w:szCs w:val="20"/>
        </w:rPr>
      </w:pPr>
      <w:r>
        <w:rPr>
          <w:sz w:val="20"/>
          <w:szCs w:val="20"/>
        </w:rPr>
        <w:t>Not applicable.</w:t>
      </w:r>
    </w:p>
    <w:p w14:paraId="5A27117E"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7E35D7B5" w14:textId="77777777">
        <w:trPr>
          <w:divId w:val="1684360448"/>
          <w:trHeight w:val="225"/>
          <w:tblCellSpacing w:w="15" w:type="dxa"/>
          <w:jc w:val="center"/>
        </w:trPr>
        <w:tc>
          <w:tcPr>
            <w:tcW w:w="0" w:type="auto"/>
            <w:vAlign w:val="center"/>
            <w:hideMark/>
          </w:tcPr>
          <w:p w14:paraId="27D7005E" w14:textId="77777777" w:rsidR="002B5D06" w:rsidRDefault="000B69DD">
            <w:pPr>
              <w:rPr>
                <w:rFonts w:eastAsia="Times New Roman"/>
                <w:sz w:val="20"/>
                <w:szCs w:val="20"/>
              </w:rPr>
            </w:pPr>
            <w:r>
              <w:rPr>
                <w:rFonts w:eastAsia="Times New Roman"/>
                <w:sz w:val="20"/>
                <w:szCs w:val="20"/>
              </w:rPr>
              <w:t> </w:t>
            </w:r>
          </w:p>
        </w:tc>
      </w:tr>
      <w:tr w:rsidR="002B5D06" w14:paraId="2E00BF18" w14:textId="77777777">
        <w:trPr>
          <w:divId w:val="1684360448"/>
          <w:trHeight w:val="225"/>
          <w:tblCellSpacing w:w="15" w:type="dxa"/>
          <w:jc w:val="center"/>
        </w:trPr>
        <w:tc>
          <w:tcPr>
            <w:tcW w:w="0" w:type="auto"/>
            <w:tcBorders>
              <w:bottom w:val="single" w:sz="6" w:space="0" w:color="000000"/>
            </w:tcBorders>
            <w:vAlign w:val="center"/>
            <w:hideMark/>
          </w:tcPr>
          <w:p w14:paraId="72A1387B" w14:textId="77777777" w:rsidR="002B5D06" w:rsidRDefault="000B69DD">
            <w:pPr>
              <w:jc w:val="center"/>
              <w:rPr>
                <w:rFonts w:eastAsia="Times New Roman"/>
                <w:sz w:val="20"/>
                <w:szCs w:val="20"/>
              </w:rPr>
            </w:pPr>
            <w:r>
              <w:rPr>
                <w:rFonts w:eastAsia="Times New Roman"/>
                <w:sz w:val="20"/>
                <w:szCs w:val="20"/>
              </w:rPr>
              <w:t>10</w:t>
            </w:r>
          </w:p>
        </w:tc>
      </w:tr>
      <w:tr w:rsidR="002B5D06" w14:paraId="0D0B2759" w14:textId="77777777">
        <w:trPr>
          <w:divId w:val="1684360448"/>
          <w:trHeight w:val="225"/>
          <w:tblCellSpacing w:w="15" w:type="dxa"/>
          <w:jc w:val="center"/>
        </w:trPr>
        <w:tc>
          <w:tcPr>
            <w:tcW w:w="0" w:type="auto"/>
            <w:vAlign w:val="center"/>
            <w:hideMark/>
          </w:tcPr>
          <w:p w14:paraId="6DAFD1A9" w14:textId="77777777" w:rsidR="002B5D06" w:rsidRDefault="002B5D06">
            <w:pPr>
              <w:rPr>
                <w:rFonts w:eastAsia="Times New Roman"/>
                <w:sz w:val="20"/>
                <w:szCs w:val="20"/>
              </w:rPr>
            </w:pPr>
          </w:p>
        </w:tc>
      </w:tr>
      <w:tr w:rsidR="002B5D06" w14:paraId="66D69497" w14:textId="77777777">
        <w:trPr>
          <w:divId w:val="1684360448"/>
          <w:trHeight w:val="225"/>
          <w:tblCellSpacing w:w="15" w:type="dxa"/>
          <w:jc w:val="center"/>
        </w:trPr>
        <w:tc>
          <w:tcPr>
            <w:tcW w:w="0" w:type="auto"/>
            <w:vAlign w:val="center"/>
            <w:hideMark/>
          </w:tcPr>
          <w:p w14:paraId="7FF14AFC" w14:textId="77777777" w:rsidR="002B5D06" w:rsidRDefault="002B5D06">
            <w:pPr>
              <w:rPr>
                <w:rFonts w:eastAsia="Times New Roman"/>
                <w:sz w:val="20"/>
                <w:szCs w:val="20"/>
              </w:rPr>
            </w:pPr>
          </w:p>
        </w:tc>
      </w:tr>
    </w:tbl>
    <w:p w14:paraId="510F4630"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52047767" w14:textId="77777777" w:rsidR="002B5D06" w:rsidRDefault="000B69DD">
      <w:pPr>
        <w:pStyle w:val="NormalWeb"/>
        <w:spacing w:before="0" w:beforeAutospacing="0" w:after="0" w:afterAutospacing="0"/>
        <w:divId w:val="1684360448"/>
        <w:rPr>
          <w:sz w:val="20"/>
          <w:szCs w:val="20"/>
        </w:rPr>
      </w:pPr>
      <w:r>
        <w:rPr>
          <w:sz w:val="20"/>
          <w:szCs w:val="20"/>
        </w:rPr>
        <w:t> </w:t>
      </w:r>
    </w:p>
    <w:p w14:paraId="10658DB4" w14:textId="77777777" w:rsidR="002B5D06" w:rsidRDefault="000B69DD">
      <w:pPr>
        <w:pStyle w:val="NormalWeb"/>
        <w:spacing w:before="0" w:beforeAutospacing="0" w:after="0" w:afterAutospacing="0"/>
        <w:jc w:val="both"/>
        <w:divId w:val="1684360448"/>
        <w:rPr>
          <w:sz w:val="20"/>
          <w:szCs w:val="20"/>
        </w:rPr>
      </w:pPr>
      <w:r>
        <w:rPr>
          <w:rStyle w:val="atag"/>
          <w:b/>
          <w:bCs/>
          <w:sz w:val="20"/>
          <w:szCs w:val="20"/>
        </w:rPr>
        <w:t>PART II</w:t>
      </w:r>
    </w:p>
    <w:p w14:paraId="22F9D95B"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 </w:t>
      </w:r>
    </w:p>
    <w:p w14:paraId="66143CEA" w14:textId="77777777" w:rsidR="002B5D06" w:rsidRDefault="000B69DD">
      <w:pPr>
        <w:pStyle w:val="NormalWeb"/>
        <w:spacing w:before="0" w:beforeAutospacing="0" w:after="0" w:afterAutospacing="0"/>
        <w:jc w:val="both"/>
        <w:divId w:val="1684360448"/>
        <w:rPr>
          <w:sz w:val="20"/>
          <w:szCs w:val="20"/>
        </w:rPr>
      </w:pPr>
      <w:r>
        <w:rPr>
          <w:rStyle w:val="atag"/>
          <w:b/>
          <w:bCs/>
          <w:i/>
          <w:iCs/>
          <w:sz w:val="20"/>
          <w:szCs w:val="20"/>
        </w:rPr>
        <w:t>ITEM 5. MARKET OF COMMON EQUITY, RELATED STOCKHOLDER MATTERS AND SMALL BUSINESS ISSUER PURCHASES OF EQUITY SECURITIES.</w:t>
      </w:r>
    </w:p>
    <w:p w14:paraId="3171DA70"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 </w:t>
      </w:r>
    </w:p>
    <w:p w14:paraId="77D5D712"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HOLDERS</w:t>
      </w:r>
    </w:p>
    <w:p w14:paraId="61A8CC51"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3B32628" w14:textId="77777777" w:rsidR="002B5D06" w:rsidRDefault="000B69DD">
      <w:pPr>
        <w:pStyle w:val="NormalWeb"/>
        <w:spacing w:before="0" w:beforeAutospacing="0" w:after="0" w:afterAutospacing="0"/>
        <w:jc w:val="both"/>
        <w:divId w:val="1684360448"/>
        <w:rPr>
          <w:sz w:val="20"/>
          <w:szCs w:val="20"/>
        </w:rPr>
      </w:pPr>
      <w:r>
        <w:rPr>
          <w:sz w:val="20"/>
          <w:szCs w:val="20"/>
        </w:rPr>
        <w:t>At June 30, 2025 the company had 1,555 shareholders of record. At June 30, 2025, the closing bid price of the Company’s Common Stock as reported by the National Quotation Bureau, Inc., was $0.07.</w:t>
      </w:r>
    </w:p>
    <w:p w14:paraId="2ACB8122"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C25BC75"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DIVIDENDS</w:t>
      </w:r>
    </w:p>
    <w:p w14:paraId="2EBBBCCE"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346FEAE" w14:textId="77777777" w:rsidR="002B5D06" w:rsidRDefault="000B69DD">
      <w:pPr>
        <w:pStyle w:val="NormalWeb"/>
        <w:spacing w:before="0" w:beforeAutospacing="0" w:after="0" w:afterAutospacing="0"/>
        <w:jc w:val="both"/>
        <w:divId w:val="1684360448"/>
        <w:rPr>
          <w:sz w:val="20"/>
          <w:szCs w:val="20"/>
        </w:rPr>
      </w:pPr>
      <w:r>
        <w:rPr>
          <w:sz w:val="20"/>
          <w:szCs w:val="20"/>
        </w:rPr>
        <w:t>We have not paid or declared any dividends on our common stock since our inception. Our Board of Directors does not expect to declare cash dividends on our common stock in the near future. We anticipate that we will retain our future earnings to finance the continuing development of our business.</w:t>
      </w:r>
    </w:p>
    <w:p w14:paraId="05A53CDF"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F1CDA9B"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RECENT SALES OF UNREGISTERED SECURITIES</w:t>
      </w:r>
    </w:p>
    <w:p w14:paraId="00FB2A81"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E9A4133" w14:textId="77777777" w:rsidR="002B5D06" w:rsidRDefault="000B69DD">
      <w:pPr>
        <w:pStyle w:val="NormalWeb"/>
        <w:spacing w:before="0" w:beforeAutospacing="0" w:after="0" w:afterAutospacing="0"/>
        <w:jc w:val="both"/>
        <w:divId w:val="1684360448"/>
        <w:rPr>
          <w:sz w:val="20"/>
          <w:szCs w:val="20"/>
        </w:rPr>
      </w:pPr>
      <w:r>
        <w:rPr>
          <w:sz w:val="20"/>
          <w:szCs w:val="20"/>
        </w:rPr>
        <w:t>None.</w:t>
      </w:r>
    </w:p>
    <w:p w14:paraId="3EC40D0E"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 </w:t>
      </w:r>
    </w:p>
    <w:p w14:paraId="0235BAFD" w14:textId="77777777" w:rsidR="002B5D06" w:rsidRDefault="000B69DD">
      <w:pPr>
        <w:pStyle w:val="NormalWeb"/>
        <w:spacing w:before="0" w:beforeAutospacing="0" w:after="0" w:afterAutospacing="0"/>
        <w:jc w:val="both"/>
        <w:divId w:val="1684360448"/>
        <w:rPr>
          <w:sz w:val="20"/>
          <w:szCs w:val="20"/>
        </w:rPr>
      </w:pPr>
      <w:r>
        <w:rPr>
          <w:rStyle w:val="atag"/>
          <w:b/>
          <w:bCs/>
          <w:i/>
          <w:iCs/>
          <w:sz w:val="20"/>
          <w:szCs w:val="20"/>
        </w:rPr>
        <w:t>ITEM 6. SELECTED FINANCIAL DATA</w:t>
      </w:r>
    </w:p>
    <w:p w14:paraId="62533AC6"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E02A6FC" w14:textId="77777777" w:rsidR="002B5D06" w:rsidRDefault="000B69DD">
      <w:pPr>
        <w:pStyle w:val="NormalWeb"/>
        <w:spacing w:before="0" w:beforeAutospacing="0" w:after="0" w:afterAutospacing="0"/>
        <w:jc w:val="both"/>
        <w:divId w:val="1684360448"/>
        <w:rPr>
          <w:sz w:val="20"/>
          <w:szCs w:val="20"/>
        </w:rPr>
      </w:pPr>
      <w:r>
        <w:rPr>
          <w:sz w:val="20"/>
          <w:szCs w:val="20"/>
        </w:rPr>
        <w:t>Not Applicable.</w:t>
      </w:r>
    </w:p>
    <w:p w14:paraId="36CCCEFD"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A2D97A6" w14:textId="77777777" w:rsidR="002B5D06" w:rsidRDefault="000B69DD">
      <w:pPr>
        <w:pStyle w:val="NormalWeb"/>
        <w:spacing w:before="0" w:beforeAutospacing="0" w:after="0" w:afterAutospacing="0"/>
        <w:jc w:val="both"/>
        <w:divId w:val="1684360448"/>
        <w:rPr>
          <w:sz w:val="20"/>
          <w:szCs w:val="20"/>
        </w:rPr>
      </w:pPr>
      <w:r>
        <w:rPr>
          <w:rStyle w:val="atag"/>
          <w:b/>
          <w:bCs/>
          <w:i/>
          <w:iCs/>
          <w:sz w:val="20"/>
          <w:szCs w:val="20"/>
        </w:rPr>
        <w:t>ITEM 7. MANAGEMENT’S DISCUSSION AND ANALYSIS OR PLAN OF OPERATION.</w:t>
      </w:r>
    </w:p>
    <w:p w14:paraId="721FB00A"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 </w:t>
      </w:r>
    </w:p>
    <w:p w14:paraId="44B16FAF" w14:textId="77777777" w:rsidR="002B5D06" w:rsidRDefault="000B69DD">
      <w:pPr>
        <w:pStyle w:val="NormalWeb"/>
        <w:spacing w:before="0" w:beforeAutospacing="0" w:after="0" w:afterAutospacing="0"/>
        <w:jc w:val="both"/>
        <w:divId w:val="1684360448"/>
        <w:rPr>
          <w:sz w:val="20"/>
          <w:szCs w:val="20"/>
        </w:rPr>
      </w:pPr>
      <w:r>
        <w:rPr>
          <w:sz w:val="20"/>
          <w:szCs w:val="20"/>
        </w:rPr>
        <w:t>The following discussion of our plan of operation, financial condition and results of operations should be read in conjunction with the Company’s consolidated financial statements, and notes thereto, included elsewhere herein. This discussion contains forward-looking statements that involve risks and uncertainties. Our actual results may differ materially from those anticipated in these forward-looking statements as a result of various factors including, but not limited to, those discussed in this Annual Report.</w:t>
      </w:r>
    </w:p>
    <w:p w14:paraId="661676BF"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6A136443" w14:textId="77777777">
        <w:trPr>
          <w:divId w:val="1684360448"/>
          <w:trHeight w:val="225"/>
          <w:tblCellSpacing w:w="15" w:type="dxa"/>
          <w:jc w:val="center"/>
        </w:trPr>
        <w:tc>
          <w:tcPr>
            <w:tcW w:w="0" w:type="auto"/>
            <w:vAlign w:val="center"/>
            <w:hideMark/>
          </w:tcPr>
          <w:p w14:paraId="06D665FE" w14:textId="77777777" w:rsidR="002B5D06" w:rsidRDefault="000B69DD">
            <w:pPr>
              <w:rPr>
                <w:rFonts w:eastAsia="Times New Roman"/>
                <w:sz w:val="20"/>
                <w:szCs w:val="20"/>
              </w:rPr>
            </w:pPr>
            <w:r>
              <w:rPr>
                <w:rFonts w:eastAsia="Times New Roman"/>
                <w:sz w:val="20"/>
                <w:szCs w:val="20"/>
              </w:rPr>
              <w:t> </w:t>
            </w:r>
          </w:p>
        </w:tc>
      </w:tr>
      <w:tr w:rsidR="002B5D06" w14:paraId="1309F7AE" w14:textId="77777777">
        <w:trPr>
          <w:divId w:val="1684360448"/>
          <w:trHeight w:val="225"/>
          <w:tblCellSpacing w:w="15" w:type="dxa"/>
          <w:jc w:val="center"/>
        </w:trPr>
        <w:tc>
          <w:tcPr>
            <w:tcW w:w="0" w:type="auto"/>
            <w:tcBorders>
              <w:bottom w:val="single" w:sz="6" w:space="0" w:color="000000"/>
            </w:tcBorders>
            <w:vAlign w:val="center"/>
            <w:hideMark/>
          </w:tcPr>
          <w:p w14:paraId="04FA57E1" w14:textId="77777777" w:rsidR="002B5D06" w:rsidRDefault="000B69DD">
            <w:pPr>
              <w:jc w:val="center"/>
              <w:rPr>
                <w:rFonts w:eastAsia="Times New Roman"/>
                <w:sz w:val="20"/>
                <w:szCs w:val="20"/>
              </w:rPr>
            </w:pPr>
            <w:r>
              <w:rPr>
                <w:rFonts w:eastAsia="Times New Roman"/>
                <w:sz w:val="20"/>
                <w:szCs w:val="20"/>
              </w:rPr>
              <w:t>11</w:t>
            </w:r>
          </w:p>
        </w:tc>
      </w:tr>
      <w:tr w:rsidR="002B5D06" w14:paraId="53F6CA45" w14:textId="77777777">
        <w:trPr>
          <w:divId w:val="1684360448"/>
          <w:trHeight w:val="225"/>
          <w:tblCellSpacing w:w="15" w:type="dxa"/>
          <w:jc w:val="center"/>
        </w:trPr>
        <w:tc>
          <w:tcPr>
            <w:tcW w:w="0" w:type="auto"/>
            <w:vAlign w:val="center"/>
            <w:hideMark/>
          </w:tcPr>
          <w:p w14:paraId="006F96BF" w14:textId="77777777" w:rsidR="002B5D06" w:rsidRDefault="002B5D06">
            <w:pPr>
              <w:rPr>
                <w:rFonts w:eastAsia="Times New Roman"/>
                <w:sz w:val="20"/>
                <w:szCs w:val="20"/>
              </w:rPr>
            </w:pPr>
          </w:p>
        </w:tc>
      </w:tr>
      <w:tr w:rsidR="002B5D06" w14:paraId="3880587B" w14:textId="77777777">
        <w:trPr>
          <w:divId w:val="1684360448"/>
          <w:trHeight w:val="225"/>
          <w:tblCellSpacing w:w="15" w:type="dxa"/>
          <w:jc w:val="center"/>
        </w:trPr>
        <w:tc>
          <w:tcPr>
            <w:tcW w:w="0" w:type="auto"/>
            <w:vAlign w:val="center"/>
            <w:hideMark/>
          </w:tcPr>
          <w:p w14:paraId="3DBA8B57" w14:textId="77777777" w:rsidR="002B5D06" w:rsidRDefault="002B5D06">
            <w:pPr>
              <w:rPr>
                <w:rFonts w:eastAsia="Times New Roman"/>
                <w:sz w:val="20"/>
                <w:szCs w:val="20"/>
              </w:rPr>
            </w:pPr>
          </w:p>
        </w:tc>
      </w:tr>
    </w:tbl>
    <w:p w14:paraId="2ECF324A"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5DC8FEEC" w14:textId="77777777" w:rsidR="002B5D06" w:rsidRDefault="000B69DD">
      <w:pPr>
        <w:pStyle w:val="NormalWeb"/>
        <w:spacing w:before="0" w:beforeAutospacing="0" w:after="0" w:afterAutospacing="0"/>
        <w:divId w:val="1684360448"/>
        <w:rPr>
          <w:sz w:val="20"/>
          <w:szCs w:val="20"/>
        </w:rPr>
      </w:pPr>
      <w:r>
        <w:rPr>
          <w:sz w:val="20"/>
          <w:szCs w:val="20"/>
        </w:rPr>
        <w:t> </w:t>
      </w:r>
    </w:p>
    <w:p w14:paraId="02E88CDD"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CRITICAL ACCOUNTING POLICIES AND ESTIMATES</w:t>
      </w:r>
    </w:p>
    <w:p w14:paraId="2E70A7B1"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 </w:t>
      </w:r>
    </w:p>
    <w:p w14:paraId="32DE0DFE" w14:textId="77777777" w:rsidR="002B5D06" w:rsidRDefault="000B69DD">
      <w:pPr>
        <w:pStyle w:val="NormalWeb"/>
        <w:spacing w:before="0" w:beforeAutospacing="0" w:after="0" w:afterAutospacing="0"/>
        <w:jc w:val="both"/>
        <w:divId w:val="1684360448"/>
        <w:rPr>
          <w:sz w:val="20"/>
          <w:szCs w:val="20"/>
        </w:rPr>
      </w:pPr>
      <w:r>
        <w:rPr>
          <w:sz w:val="20"/>
          <w:szCs w:val="20"/>
        </w:rPr>
        <w:t>The SEC defines critical accounting policies as those that are, in management’s view, most important to the portrayal of our financial condition and results of operations and those that require significant judgments and estimates.</w:t>
      </w:r>
    </w:p>
    <w:p w14:paraId="0BCB87D8"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A271049" w14:textId="77777777" w:rsidR="002B5D06" w:rsidRDefault="000B69DD">
      <w:pPr>
        <w:pStyle w:val="NormalWeb"/>
        <w:spacing w:before="0" w:beforeAutospacing="0" w:after="0" w:afterAutospacing="0"/>
        <w:jc w:val="both"/>
        <w:divId w:val="1684360448"/>
        <w:rPr>
          <w:sz w:val="20"/>
          <w:szCs w:val="20"/>
        </w:rPr>
      </w:pPr>
      <w:r>
        <w:rPr>
          <w:sz w:val="20"/>
          <w:szCs w:val="20"/>
        </w:rPr>
        <w:t>The discussion and analysis of our financial condition and results of operations is based upon our financial statements that have been prepared in accordance with accounting principles generally accepted in the United States. The preparation of these financial statements requires us to make estimates and judgments that affect the reported amounts of assets and liabilities. On an on-going basis, we evaluate our estimates including the allowance for doubtful accounts, income taxes and contingencies. We base our estimates on historical experience and on other assumptions that we believe to be reasonable under the circumstances, the results of which form our basis for making judgments about the carrying values of assets and liabilities that are not readily apparent from other sources. Actual results may differ from these estimates under different assumptions or conditions.</w:t>
      </w:r>
    </w:p>
    <w:p w14:paraId="67A87771"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4FB095C" w14:textId="77777777" w:rsidR="002B5D06" w:rsidRDefault="000B69DD">
      <w:pPr>
        <w:pStyle w:val="NormalWeb"/>
        <w:spacing w:before="0" w:beforeAutospacing="0" w:after="0" w:afterAutospacing="0"/>
        <w:jc w:val="both"/>
        <w:divId w:val="1684360448"/>
        <w:rPr>
          <w:sz w:val="20"/>
          <w:szCs w:val="20"/>
        </w:rPr>
      </w:pPr>
      <w:r>
        <w:rPr>
          <w:sz w:val="20"/>
          <w:szCs w:val="20"/>
        </w:rPr>
        <w:t>We cannot predict what future laws and regulations might be passed that could have a material effect on our results of operations. We assess the impact of significant changes in laws and regulations on a regular basis and update the assumptions and estimates used to prepare our financial statements when we deem it necessary.</w:t>
      </w:r>
    </w:p>
    <w:p w14:paraId="6DA2EA0F"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DFA20E9"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Principles of Consolidation:</w:t>
      </w:r>
    </w:p>
    <w:p w14:paraId="1FCD4E02"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2366185" w14:textId="77777777" w:rsidR="002B5D06" w:rsidRDefault="000B69DD">
      <w:pPr>
        <w:pStyle w:val="NormalWeb"/>
        <w:spacing w:before="0" w:beforeAutospacing="0" w:after="0" w:afterAutospacing="0"/>
        <w:jc w:val="both"/>
        <w:divId w:val="1684360448"/>
        <w:rPr>
          <w:sz w:val="20"/>
          <w:szCs w:val="20"/>
        </w:rPr>
      </w:pPr>
      <w:r>
        <w:rPr>
          <w:sz w:val="20"/>
          <w:szCs w:val="20"/>
        </w:rPr>
        <w:t>The accompanying consolidated financial statements include the accounts of the Company and its wholly-owned subsidiaries (ANV and Sharx), after elimination of all intercompany accounts, transactions, and profits.</w:t>
      </w:r>
    </w:p>
    <w:p w14:paraId="1B47E709"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0771532"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Basis of Presentation:</w:t>
      </w:r>
    </w:p>
    <w:p w14:paraId="6374D93B"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4BEA3DF" w14:textId="77777777" w:rsidR="002B5D06" w:rsidRDefault="000B69DD">
      <w:pPr>
        <w:pStyle w:val="NormalWeb"/>
        <w:spacing w:before="0" w:beforeAutospacing="0" w:after="0" w:afterAutospacing="0"/>
        <w:jc w:val="both"/>
        <w:divId w:val="1684360448"/>
        <w:rPr>
          <w:sz w:val="20"/>
          <w:szCs w:val="20"/>
        </w:rPr>
      </w:pPr>
      <w:r>
        <w:rPr>
          <w:sz w:val="20"/>
          <w:szCs w:val="20"/>
        </w:rPr>
        <w:t>The consolidated financial statements of the Company have been prepared in accordance with U.S. GAAP and are expressed in United States dollars. The Company’s fiscal year end is June 30.</w:t>
      </w:r>
    </w:p>
    <w:p w14:paraId="70A16A04"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B6D0AA5"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Revenue Recognition:</w:t>
      </w:r>
    </w:p>
    <w:p w14:paraId="213E4B10"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DD266AC" w14:textId="77777777" w:rsidR="002B5D06" w:rsidRDefault="000B69DD">
      <w:pPr>
        <w:pStyle w:val="NormalWeb"/>
        <w:spacing w:before="0" w:beforeAutospacing="0" w:after="0" w:afterAutospacing="0"/>
        <w:jc w:val="both"/>
        <w:divId w:val="1684360448"/>
        <w:rPr>
          <w:sz w:val="20"/>
          <w:szCs w:val="20"/>
        </w:rPr>
      </w:pPr>
      <w:r>
        <w:rPr>
          <w:sz w:val="20"/>
          <w:szCs w:val="20"/>
          <w:u w:val="single"/>
        </w:rPr>
        <w:t>Revenue from Contracts with Customers</w:t>
      </w:r>
    </w:p>
    <w:p w14:paraId="3BB9C7BA"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12FEC22" w14:textId="77777777" w:rsidR="002B5D06" w:rsidRDefault="000B69DD">
      <w:pPr>
        <w:pStyle w:val="NormalWeb"/>
        <w:spacing w:before="0" w:beforeAutospacing="0" w:after="0" w:afterAutospacing="0"/>
        <w:jc w:val="both"/>
        <w:divId w:val="1684360448"/>
        <w:rPr>
          <w:sz w:val="20"/>
          <w:szCs w:val="20"/>
        </w:rPr>
      </w:pPr>
      <w:r>
        <w:rPr>
          <w:sz w:val="20"/>
          <w:szCs w:val="20"/>
        </w:rPr>
        <w:t>The Company recognizes revenues under Accounting Standards Codification (“ASC”) 842 Leases (“ASC 842”) and ASC 606 Revenue from Contracts with Customers (“ASC 606”) for our rental revenue and commission revenue. </w:t>
      </w:r>
    </w:p>
    <w:p w14:paraId="0682ABB9"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E0283BD" w14:textId="77777777" w:rsidR="002B5D06" w:rsidRDefault="000B69DD">
      <w:pPr>
        <w:pStyle w:val="NormalWeb"/>
        <w:spacing w:before="0" w:beforeAutospacing="0" w:after="0" w:afterAutospacing="0"/>
        <w:jc w:val="both"/>
        <w:divId w:val="1684360448"/>
        <w:rPr>
          <w:sz w:val="20"/>
          <w:szCs w:val="20"/>
        </w:rPr>
      </w:pPr>
      <w:r>
        <w:rPr>
          <w:sz w:val="20"/>
          <w:szCs w:val="20"/>
          <w:u w:val="single"/>
        </w:rPr>
        <w:t>Rental Revenue</w:t>
      </w:r>
    </w:p>
    <w:p w14:paraId="2184D7F5"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005D93DF" w14:textId="77777777" w:rsidR="002B5D06" w:rsidRDefault="000B69DD">
      <w:pPr>
        <w:pStyle w:val="NormalWeb"/>
        <w:spacing w:before="0" w:beforeAutospacing="0" w:after="0" w:afterAutospacing="0"/>
        <w:jc w:val="both"/>
        <w:divId w:val="1684360448"/>
        <w:rPr>
          <w:sz w:val="20"/>
          <w:szCs w:val="20"/>
        </w:rPr>
      </w:pPr>
      <w:r>
        <w:rPr>
          <w:sz w:val="20"/>
          <w:szCs w:val="20"/>
        </w:rPr>
        <w:t>Rental revenue is derived from the Commercial Property lease in which quarterly payments are received pursuant to the property lease which is in effect until 2026. We recognize revenue when we have satisfied a performance obligation by transferring control over a product or delivering a service to a client. We measure revenue based upon the consideration set forth in an arrangement or contract with a client. We recognize revenue from these services when the services are completed. If we are paid in advance for these services, we record such payment as a contract liability until we complete the services. As of June 30, 2025, the Company recorded $3,281 of contract liabilities in connection to rental revenues.</w:t>
      </w:r>
    </w:p>
    <w:p w14:paraId="20FE7887"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D629475" w14:textId="77777777" w:rsidR="002B5D06" w:rsidRDefault="000B69DD">
      <w:pPr>
        <w:pStyle w:val="NormalWeb"/>
        <w:spacing w:before="0" w:beforeAutospacing="0" w:after="0" w:afterAutospacing="0"/>
        <w:jc w:val="both"/>
        <w:divId w:val="1684360448"/>
        <w:rPr>
          <w:sz w:val="20"/>
          <w:szCs w:val="20"/>
        </w:rPr>
      </w:pPr>
      <w:r>
        <w:rPr>
          <w:sz w:val="20"/>
          <w:szCs w:val="20"/>
        </w:rPr>
        <w:t>The Company leases land to a customer. We, as a lessor, retain substantially all of the risks and benefits of ownership of the investment properties and account for our leases as operating leases. We accrue fixed lease income on a straight-line basis over the terms of the leases when we believe substantially all lease income, including the related straight-line rent receivable, is probable of collection. For our leases, we receive a fixed payment from the customer which is recognized as lease income on a straight-line basis over the term of the lease beginning with the adoption of ASC 842.</w:t>
      </w:r>
    </w:p>
    <w:p w14:paraId="29E62452"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581274EB" w14:textId="77777777">
        <w:trPr>
          <w:divId w:val="1684360448"/>
          <w:trHeight w:val="225"/>
          <w:tblCellSpacing w:w="15" w:type="dxa"/>
          <w:jc w:val="center"/>
        </w:trPr>
        <w:tc>
          <w:tcPr>
            <w:tcW w:w="0" w:type="auto"/>
            <w:vAlign w:val="center"/>
            <w:hideMark/>
          </w:tcPr>
          <w:p w14:paraId="7D0C3321" w14:textId="77777777" w:rsidR="002B5D06" w:rsidRDefault="000B69DD">
            <w:pPr>
              <w:rPr>
                <w:rFonts w:eastAsia="Times New Roman"/>
                <w:sz w:val="20"/>
                <w:szCs w:val="20"/>
              </w:rPr>
            </w:pPr>
            <w:r>
              <w:rPr>
                <w:rFonts w:eastAsia="Times New Roman"/>
                <w:sz w:val="20"/>
                <w:szCs w:val="20"/>
              </w:rPr>
              <w:t> </w:t>
            </w:r>
          </w:p>
        </w:tc>
      </w:tr>
      <w:tr w:rsidR="002B5D06" w14:paraId="72B60D51" w14:textId="77777777">
        <w:trPr>
          <w:divId w:val="1684360448"/>
          <w:trHeight w:val="225"/>
          <w:tblCellSpacing w:w="15" w:type="dxa"/>
          <w:jc w:val="center"/>
        </w:trPr>
        <w:tc>
          <w:tcPr>
            <w:tcW w:w="0" w:type="auto"/>
            <w:tcBorders>
              <w:bottom w:val="single" w:sz="6" w:space="0" w:color="000000"/>
            </w:tcBorders>
            <w:vAlign w:val="center"/>
            <w:hideMark/>
          </w:tcPr>
          <w:p w14:paraId="571C45FE" w14:textId="77777777" w:rsidR="002B5D06" w:rsidRDefault="000B69DD">
            <w:pPr>
              <w:jc w:val="center"/>
              <w:rPr>
                <w:rFonts w:eastAsia="Times New Roman"/>
                <w:sz w:val="20"/>
                <w:szCs w:val="20"/>
              </w:rPr>
            </w:pPr>
            <w:r>
              <w:rPr>
                <w:rFonts w:eastAsia="Times New Roman"/>
                <w:sz w:val="20"/>
                <w:szCs w:val="20"/>
              </w:rPr>
              <w:t>12</w:t>
            </w:r>
          </w:p>
        </w:tc>
      </w:tr>
      <w:tr w:rsidR="002B5D06" w14:paraId="5994A326" w14:textId="77777777">
        <w:trPr>
          <w:divId w:val="1684360448"/>
          <w:trHeight w:val="225"/>
          <w:tblCellSpacing w:w="15" w:type="dxa"/>
          <w:jc w:val="center"/>
        </w:trPr>
        <w:tc>
          <w:tcPr>
            <w:tcW w:w="0" w:type="auto"/>
            <w:vAlign w:val="center"/>
            <w:hideMark/>
          </w:tcPr>
          <w:p w14:paraId="4D29D9C8" w14:textId="77777777" w:rsidR="002B5D06" w:rsidRDefault="002B5D06">
            <w:pPr>
              <w:rPr>
                <w:rFonts w:eastAsia="Times New Roman"/>
                <w:sz w:val="20"/>
                <w:szCs w:val="20"/>
              </w:rPr>
            </w:pPr>
          </w:p>
        </w:tc>
      </w:tr>
      <w:tr w:rsidR="002B5D06" w14:paraId="6201D4EE" w14:textId="77777777">
        <w:trPr>
          <w:divId w:val="1684360448"/>
          <w:trHeight w:val="225"/>
          <w:tblCellSpacing w:w="15" w:type="dxa"/>
          <w:jc w:val="center"/>
        </w:trPr>
        <w:tc>
          <w:tcPr>
            <w:tcW w:w="0" w:type="auto"/>
            <w:vAlign w:val="center"/>
            <w:hideMark/>
          </w:tcPr>
          <w:p w14:paraId="3643CC4F" w14:textId="77777777" w:rsidR="002B5D06" w:rsidRDefault="002B5D06">
            <w:pPr>
              <w:rPr>
                <w:rFonts w:eastAsia="Times New Roman"/>
                <w:sz w:val="20"/>
                <w:szCs w:val="20"/>
              </w:rPr>
            </w:pPr>
          </w:p>
        </w:tc>
      </w:tr>
    </w:tbl>
    <w:p w14:paraId="7B528D51"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29045AFB" w14:textId="77777777" w:rsidR="002B5D06" w:rsidRDefault="000B69DD">
      <w:pPr>
        <w:pStyle w:val="NormalWeb"/>
        <w:spacing w:before="0" w:beforeAutospacing="0" w:after="0" w:afterAutospacing="0"/>
        <w:divId w:val="1684360448"/>
        <w:rPr>
          <w:sz w:val="20"/>
          <w:szCs w:val="20"/>
        </w:rPr>
      </w:pPr>
      <w:r>
        <w:rPr>
          <w:sz w:val="20"/>
          <w:szCs w:val="20"/>
        </w:rPr>
        <w:t> </w:t>
      </w:r>
    </w:p>
    <w:p w14:paraId="27232115" w14:textId="77777777" w:rsidR="002B5D06" w:rsidRDefault="000B69DD">
      <w:pPr>
        <w:pStyle w:val="NormalWeb"/>
        <w:spacing w:before="0" w:beforeAutospacing="0" w:after="0" w:afterAutospacing="0"/>
        <w:jc w:val="both"/>
        <w:divId w:val="1684360448"/>
        <w:rPr>
          <w:sz w:val="20"/>
          <w:szCs w:val="20"/>
        </w:rPr>
      </w:pPr>
      <w:r>
        <w:rPr>
          <w:sz w:val="20"/>
          <w:szCs w:val="20"/>
        </w:rPr>
        <w:t>In April 2020, the FASB staff released guidance focused on treatment of concessions related to the effects of COVID-19 on the application of lease modification guidance in Accounting Standards Codification (ASC) 842, “Leases.” The guidance provides a practical expedient to forgo the associated reassessments required by ASC 842 when changes to a lease result in similar or lower future consideration. We have elected to generally account for rent abatements as negative variable lease consideration in the period granted, or in the period we determine we expect to grant an abatement. Further abatements granted in the future will reduce lease income in the period we grant, or determine we expect to grant, an abatement. We have not agreed to any deferral or abatement arrangements with any of our customers.</w:t>
      </w:r>
    </w:p>
    <w:p w14:paraId="09B8EA90"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60B582D" w14:textId="77777777" w:rsidR="002B5D06" w:rsidRDefault="000B69DD">
      <w:pPr>
        <w:pStyle w:val="NormalWeb"/>
        <w:spacing w:before="0" w:beforeAutospacing="0" w:after="0" w:afterAutospacing="0"/>
        <w:jc w:val="both"/>
        <w:divId w:val="1684360448"/>
        <w:rPr>
          <w:sz w:val="20"/>
          <w:szCs w:val="20"/>
        </w:rPr>
      </w:pPr>
      <w:r>
        <w:rPr>
          <w:sz w:val="20"/>
          <w:szCs w:val="20"/>
        </w:rPr>
        <w:t>The Company has elected to exclude short-term leases from the recognition requirements of ASC 842. A lease is short-term if, at the commencement date, it has a term of less than or equal to one year. Lease expense related to short-term leases is recognized on a straight-line basis over the lease term.</w:t>
      </w:r>
    </w:p>
    <w:p w14:paraId="4C428339"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EB1097C" w14:textId="77777777" w:rsidR="002B5D06" w:rsidRDefault="000B69DD">
      <w:pPr>
        <w:pStyle w:val="NormalWeb"/>
        <w:spacing w:before="0" w:beforeAutospacing="0" w:after="0" w:afterAutospacing="0"/>
        <w:jc w:val="both"/>
        <w:divId w:val="1684360448"/>
        <w:rPr>
          <w:sz w:val="20"/>
          <w:szCs w:val="20"/>
        </w:rPr>
      </w:pPr>
      <w:r>
        <w:rPr>
          <w:sz w:val="20"/>
          <w:szCs w:val="20"/>
          <w:u w:val="single"/>
        </w:rPr>
        <w:t>Commission revenue</w:t>
      </w:r>
    </w:p>
    <w:p w14:paraId="58C5A37A"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11D5976" w14:textId="77777777" w:rsidR="002B5D06" w:rsidRDefault="000B69DD">
      <w:pPr>
        <w:pStyle w:val="NormalWeb"/>
        <w:spacing w:before="0" w:beforeAutospacing="0" w:after="0" w:afterAutospacing="0"/>
        <w:jc w:val="both"/>
        <w:divId w:val="1684360448"/>
        <w:rPr>
          <w:sz w:val="20"/>
          <w:szCs w:val="20"/>
        </w:rPr>
      </w:pPr>
      <w:r>
        <w:rPr>
          <w:sz w:val="20"/>
          <w:szCs w:val="20"/>
        </w:rPr>
        <w:t>For our commission revenue, we recognize revenue under the five steps in Topic 606, which are as follows: 1) identify the contract with the customer; 2) identify the performance obligations in the contract; 3) determine the transaction price; 4) allocate the transaction price to the performance obligations; and 5) recognize revenue when (or as) performance obligations are satisfied.</w:t>
      </w:r>
    </w:p>
    <w:p w14:paraId="4DFDCB0C"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C637AA1" w14:textId="77777777" w:rsidR="002B5D06" w:rsidRDefault="000B69DD">
      <w:pPr>
        <w:pStyle w:val="NormalWeb"/>
        <w:spacing w:before="0" w:beforeAutospacing="0" w:after="0" w:afterAutospacing="0"/>
        <w:jc w:val="both"/>
        <w:divId w:val="1684360448"/>
        <w:rPr>
          <w:sz w:val="20"/>
          <w:szCs w:val="20"/>
        </w:rPr>
      </w:pPr>
      <w:r>
        <w:rPr>
          <w:sz w:val="20"/>
          <w:szCs w:val="20"/>
        </w:rPr>
        <w:t>The Company’s source of commission revenue is from the Company’s subsidiary Sharx in which quarterly payments are received when the customer pre-pays or pays upon the date products are drop shipped from the manufacturer pursuant to a non-exclusive distribution agreement. At such time the products are drop shipped, the Company’s performance obligation has been satisfied and revenue is recorded The Company has determined that it is an agent of the manufacturer and collects commission revenue at or before the delivery of product (See Note 3 for further details).</w:t>
      </w:r>
    </w:p>
    <w:p w14:paraId="2F644237"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44CF5A6"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 xml:space="preserve">Property and Equipment: </w:t>
      </w:r>
    </w:p>
    <w:p w14:paraId="0778A797"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AC20DDE" w14:textId="77777777" w:rsidR="002B5D06" w:rsidRDefault="000B69DD">
      <w:pPr>
        <w:pStyle w:val="NormalWeb"/>
        <w:spacing w:before="0" w:beforeAutospacing="0" w:after="0" w:afterAutospacing="0"/>
        <w:jc w:val="both"/>
        <w:divId w:val="1684360448"/>
        <w:rPr>
          <w:sz w:val="20"/>
          <w:szCs w:val="20"/>
        </w:rPr>
      </w:pPr>
      <w:r>
        <w:rPr>
          <w:sz w:val="20"/>
          <w:szCs w:val="20"/>
        </w:rPr>
        <w:t>Land is recognized at cost. Land is carried at cost less accumulated impairment losses.</w:t>
      </w:r>
    </w:p>
    <w:p w14:paraId="419AD876"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C6F0666"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Foreign Currency Translation:</w:t>
      </w:r>
    </w:p>
    <w:p w14:paraId="7A556798"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9742BD4" w14:textId="77777777" w:rsidR="002B5D06" w:rsidRDefault="000B69DD">
      <w:pPr>
        <w:pStyle w:val="NormalWeb"/>
        <w:spacing w:before="0" w:beforeAutospacing="0" w:after="0" w:afterAutospacing="0"/>
        <w:jc w:val="both"/>
        <w:divId w:val="1684360448"/>
        <w:rPr>
          <w:sz w:val="20"/>
          <w:szCs w:val="20"/>
        </w:rPr>
      </w:pPr>
      <w:r>
        <w:rPr>
          <w:sz w:val="20"/>
          <w:szCs w:val="20"/>
        </w:rPr>
        <w:t>Foreign currency transactions are translated applying the current rate method. Assets and liabilities are translated at current rates. Stockholders’ equity accounts are translated at the appropriate historical rates and revenue and expenses are translated at weighted average rates for the year.</w:t>
      </w:r>
    </w:p>
    <w:p w14:paraId="38C2365D"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0DAC592B"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Foreign Currency Transactions:</w:t>
      </w:r>
    </w:p>
    <w:p w14:paraId="27E56FC2"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7FD349A" w14:textId="77777777" w:rsidR="002B5D06" w:rsidRDefault="000B69DD">
      <w:pPr>
        <w:pStyle w:val="NormalWeb"/>
        <w:spacing w:before="0" w:beforeAutospacing="0" w:after="0" w:afterAutospacing="0"/>
        <w:jc w:val="both"/>
        <w:divId w:val="1684360448"/>
        <w:rPr>
          <w:sz w:val="20"/>
          <w:szCs w:val="20"/>
        </w:rPr>
      </w:pPr>
      <w:r>
        <w:rPr>
          <w:sz w:val="20"/>
          <w:szCs w:val="20"/>
        </w:rPr>
        <w:t>The Company applies the guidelines as set out in Section 830-20-35 of the FASB Accounting Standards Codification (“Section 830-20-35”) for foreign currency transactions. Pursuant to Section 830-20-35 of the FASB Accounting Standards Codification, foreign currency transactions are transactions denominated in currencies other than U.S. Dollar, the Company’s reporting currency. Foreign currency transactions may produce receivables or payables that are fixed in terms of the amount of foreign currency that will be received or paid. A change in exchange rates between the reporting currency and the currency in which a transaction is denominated increases or decreases the expected amount of reporting currency cash flows upon settlement of the transaction. That increase or decrease in expected reporting currency cash flows is a foreign currency transaction gain or loss that generally shall be included in determining net income for the period in which the exchange rate changes. Likewise, a transaction gain or loss (measured from the transaction date or the most recent intervening balance sheet date, whichever is later) realized upon settlement of a foreign currency transaction generally shall be included in determining net income for the period in which the transaction is settled. The exceptions to this requirement for inclusion in net income of transaction gains and losses pertain to certain intercompany transactions and to transactions that are designated as, and effective as, economic hedges of net investments and foreign currency commitments. Pursuant to Section 830-20-25 of the FASB Accounting Standards Codification, the following shall apply to all foreign currency transactions of an enterprise and its investees: (a) at the date the transaction is recognized, each asset, liability, revenue, expense, gain, or loss arising from the transaction shall be measured and recorded in the functional currency of the recording entity by use of the exchange rate in effect at that date as defined in section 830-10-20 of the FASB Accounting Standards Codification; and (b) at each balance sheet date, recorded balances that are denominated in currencies other than the functional currency or reporting currency of the recording entity shall be adjusted to reflect the current exchange rate.</w:t>
      </w:r>
    </w:p>
    <w:p w14:paraId="37D7CA98"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C83EA1B" w14:textId="77777777" w:rsidR="002B5D06" w:rsidRDefault="000B69DD">
      <w:pPr>
        <w:pStyle w:val="NormalWeb"/>
        <w:spacing w:before="0" w:beforeAutospacing="0" w:after="0" w:afterAutospacing="0"/>
        <w:jc w:val="both"/>
        <w:divId w:val="1684360448"/>
        <w:rPr>
          <w:sz w:val="20"/>
          <w:szCs w:val="20"/>
        </w:rPr>
      </w:pPr>
      <w:r>
        <w:rPr>
          <w:sz w:val="20"/>
          <w:szCs w:val="20"/>
        </w:rPr>
        <w:t>The Company’s wholly owned subsidiary ANV uses the Danish Krone, DKK as its reporting currency as well as its functional currency.</w:t>
      </w:r>
    </w:p>
    <w:p w14:paraId="1BB8F330"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1564923" w14:textId="77777777" w:rsidR="002B5D06" w:rsidRDefault="000B69DD">
      <w:pPr>
        <w:pStyle w:val="NormalWeb"/>
        <w:spacing w:before="0" w:beforeAutospacing="0" w:after="0" w:afterAutospacing="0"/>
        <w:jc w:val="both"/>
        <w:divId w:val="1684360448"/>
        <w:rPr>
          <w:sz w:val="20"/>
          <w:szCs w:val="20"/>
        </w:rPr>
      </w:pPr>
      <w:r>
        <w:rPr>
          <w:sz w:val="20"/>
          <w:szCs w:val="20"/>
        </w:rPr>
        <w:t>The wholly owned subsidiary Sharx DK ApS uses the US Dollar as its reporting currency as well as its functional currency and from time to time has transactions in foreign currencies. The change in exchange rates between the U.S. Dollar, the Company’s reporting and functional currency and the foreign currency, the currency in which a transaction is denominated increases or decreases the expected amount of reporting currency cash flows upon settlement of the transaction. That increase or decrease in expected reporting currency cash flows is a foreign currency transaction gain or loss that generally is included in determining net income (loss) for the period in which the exchange rate changes.</w:t>
      </w:r>
    </w:p>
    <w:p w14:paraId="06408F3F"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7F4B163F" w14:textId="77777777">
        <w:trPr>
          <w:divId w:val="1684360448"/>
          <w:trHeight w:val="225"/>
          <w:tblCellSpacing w:w="15" w:type="dxa"/>
          <w:jc w:val="center"/>
        </w:trPr>
        <w:tc>
          <w:tcPr>
            <w:tcW w:w="0" w:type="auto"/>
            <w:vAlign w:val="center"/>
            <w:hideMark/>
          </w:tcPr>
          <w:p w14:paraId="75C41AF5" w14:textId="77777777" w:rsidR="002B5D06" w:rsidRDefault="000B69DD">
            <w:pPr>
              <w:rPr>
                <w:rFonts w:eastAsia="Times New Roman"/>
                <w:sz w:val="20"/>
                <w:szCs w:val="20"/>
              </w:rPr>
            </w:pPr>
            <w:r>
              <w:rPr>
                <w:rFonts w:eastAsia="Times New Roman"/>
                <w:sz w:val="20"/>
                <w:szCs w:val="20"/>
              </w:rPr>
              <w:t> </w:t>
            </w:r>
          </w:p>
        </w:tc>
      </w:tr>
      <w:tr w:rsidR="002B5D06" w14:paraId="113E21F8" w14:textId="77777777">
        <w:trPr>
          <w:divId w:val="1684360448"/>
          <w:trHeight w:val="225"/>
          <w:tblCellSpacing w:w="15" w:type="dxa"/>
          <w:jc w:val="center"/>
        </w:trPr>
        <w:tc>
          <w:tcPr>
            <w:tcW w:w="0" w:type="auto"/>
            <w:tcBorders>
              <w:bottom w:val="single" w:sz="6" w:space="0" w:color="000000"/>
            </w:tcBorders>
            <w:vAlign w:val="center"/>
            <w:hideMark/>
          </w:tcPr>
          <w:p w14:paraId="7EA168CB" w14:textId="77777777" w:rsidR="002B5D06" w:rsidRDefault="000B69DD">
            <w:pPr>
              <w:jc w:val="center"/>
              <w:rPr>
                <w:rFonts w:eastAsia="Times New Roman"/>
                <w:sz w:val="20"/>
                <w:szCs w:val="20"/>
              </w:rPr>
            </w:pPr>
            <w:r>
              <w:rPr>
                <w:rFonts w:eastAsia="Times New Roman"/>
                <w:sz w:val="20"/>
                <w:szCs w:val="20"/>
              </w:rPr>
              <w:t>13</w:t>
            </w:r>
          </w:p>
        </w:tc>
      </w:tr>
      <w:tr w:rsidR="002B5D06" w14:paraId="6B5257C7" w14:textId="77777777">
        <w:trPr>
          <w:divId w:val="1684360448"/>
          <w:trHeight w:val="225"/>
          <w:tblCellSpacing w:w="15" w:type="dxa"/>
          <w:jc w:val="center"/>
        </w:trPr>
        <w:tc>
          <w:tcPr>
            <w:tcW w:w="0" w:type="auto"/>
            <w:vAlign w:val="center"/>
            <w:hideMark/>
          </w:tcPr>
          <w:p w14:paraId="17A9E211" w14:textId="77777777" w:rsidR="002B5D06" w:rsidRDefault="002B5D06">
            <w:pPr>
              <w:rPr>
                <w:rFonts w:eastAsia="Times New Roman"/>
                <w:sz w:val="20"/>
                <w:szCs w:val="20"/>
              </w:rPr>
            </w:pPr>
          </w:p>
        </w:tc>
      </w:tr>
      <w:tr w:rsidR="002B5D06" w14:paraId="4765E4CE" w14:textId="77777777">
        <w:trPr>
          <w:divId w:val="1684360448"/>
          <w:trHeight w:val="225"/>
          <w:tblCellSpacing w:w="15" w:type="dxa"/>
          <w:jc w:val="center"/>
        </w:trPr>
        <w:tc>
          <w:tcPr>
            <w:tcW w:w="0" w:type="auto"/>
            <w:vAlign w:val="center"/>
            <w:hideMark/>
          </w:tcPr>
          <w:p w14:paraId="50FE5092" w14:textId="77777777" w:rsidR="002B5D06" w:rsidRDefault="002B5D06">
            <w:pPr>
              <w:rPr>
                <w:rFonts w:eastAsia="Times New Roman"/>
                <w:sz w:val="20"/>
                <w:szCs w:val="20"/>
              </w:rPr>
            </w:pPr>
          </w:p>
        </w:tc>
      </w:tr>
    </w:tbl>
    <w:p w14:paraId="2B077EAA"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599312B4" w14:textId="77777777" w:rsidR="002B5D06" w:rsidRDefault="000B69DD">
      <w:pPr>
        <w:pStyle w:val="NormalWeb"/>
        <w:spacing w:before="0" w:beforeAutospacing="0" w:after="0" w:afterAutospacing="0"/>
        <w:divId w:val="1684360448"/>
        <w:rPr>
          <w:sz w:val="20"/>
          <w:szCs w:val="20"/>
        </w:rPr>
      </w:pPr>
      <w:r>
        <w:rPr>
          <w:sz w:val="20"/>
          <w:szCs w:val="20"/>
        </w:rPr>
        <w:t> </w:t>
      </w:r>
    </w:p>
    <w:p w14:paraId="7A416026" w14:textId="77777777" w:rsidR="002B5D06" w:rsidRDefault="000B69DD">
      <w:pPr>
        <w:pStyle w:val="NormalWeb"/>
        <w:spacing w:before="0" w:beforeAutospacing="0" w:after="0" w:afterAutospacing="0"/>
        <w:divId w:val="1684360448"/>
        <w:rPr>
          <w:sz w:val="20"/>
          <w:szCs w:val="20"/>
        </w:rPr>
      </w:pPr>
      <w:r>
        <w:rPr>
          <w:rStyle w:val="Emphasis"/>
          <w:sz w:val="20"/>
          <w:szCs w:val="20"/>
        </w:rPr>
        <w:t>Income Taxes</w:t>
      </w:r>
      <w:r>
        <w:rPr>
          <w:sz w:val="20"/>
          <w:szCs w:val="20"/>
        </w:rPr>
        <w:t>:</w:t>
      </w:r>
    </w:p>
    <w:p w14:paraId="39128D10"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7BA7103" w14:textId="77777777" w:rsidR="002B5D06" w:rsidRDefault="000B69DD">
      <w:pPr>
        <w:pStyle w:val="NormalWeb"/>
        <w:spacing w:before="0" w:beforeAutospacing="0" w:after="0" w:afterAutospacing="0"/>
        <w:jc w:val="both"/>
        <w:divId w:val="1684360448"/>
        <w:rPr>
          <w:sz w:val="20"/>
          <w:szCs w:val="20"/>
        </w:rPr>
      </w:pPr>
      <w:r>
        <w:rPr>
          <w:sz w:val="20"/>
          <w:szCs w:val="20"/>
        </w:rPr>
        <w:t>The Company accounts for income taxes under the asset and liability method of accounting. Under this method, deferred tax assets and liabilities are recognized for the future tax consequences attributable to differences between the financial statement carrying amounts of existing assets and liabilities and their respective tax bases. Deferred tax assets and liabilities are measured using enacted tax rates expected to apply to taxable income in the years in which those temporary differences are expected to be recovered or settled. The effect on deferred tax assets and liabilities of a change in tax rates is recognized in income in the period that includes the enactment date. A valuation allowance is required when it is less likely than not that the Company will be able to realize all or a portion of its deferred tax assets. Because it is doubtful that the net operating losses of recent years will ever be used, a valuation allowance has been recognized equal to the tax benefit of net operating losses generated.</w:t>
      </w:r>
    </w:p>
    <w:p w14:paraId="668E3D87"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9DB6225"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Earnings per Share:</w:t>
      </w:r>
    </w:p>
    <w:p w14:paraId="70511A2D"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266308C" w14:textId="77777777" w:rsidR="002B5D06" w:rsidRDefault="000B69DD">
      <w:pPr>
        <w:pStyle w:val="NormalWeb"/>
        <w:spacing w:before="0" w:beforeAutospacing="0" w:after="0" w:afterAutospacing="0"/>
        <w:jc w:val="both"/>
        <w:divId w:val="1684360448"/>
        <w:rPr>
          <w:sz w:val="20"/>
          <w:szCs w:val="20"/>
        </w:rPr>
      </w:pPr>
      <w:r>
        <w:rPr>
          <w:sz w:val="20"/>
          <w:szCs w:val="20"/>
        </w:rPr>
        <w:t>Basic earnings per share is computed by dividing income available to common shareholders by the weighted-average number of common shares available. Diluted earnings per share is computed similar to basic earnings per share except that the denominator is increased to include the number of additional common shares that would have been outstanding if the potential common shares had been issued and if the additional common shares were dilutive. As of June 30, 2025, and June 30, 2024 there were 10,000 and 10,000, potential dilutive shares that need to be considered as common share equivalents and because of the net income for June 30, 2025 and 2024, the effect of these potential common shares is dilutive.</w:t>
      </w:r>
    </w:p>
    <w:p w14:paraId="556162F8"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41EA488"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Cash and Cash Equivalents:</w:t>
      </w:r>
    </w:p>
    <w:p w14:paraId="769AA01D"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4FD66E8" w14:textId="77777777" w:rsidR="002B5D06" w:rsidRDefault="000B69DD">
      <w:pPr>
        <w:pStyle w:val="NormalWeb"/>
        <w:spacing w:before="0" w:beforeAutospacing="0" w:after="0" w:afterAutospacing="0"/>
        <w:jc w:val="both"/>
        <w:divId w:val="1684360448"/>
        <w:rPr>
          <w:sz w:val="20"/>
          <w:szCs w:val="20"/>
        </w:rPr>
      </w:pPr>
      <w:r>
        <w:rPr>
          <w:sz w:val="20"/>
          <w:szCs w:val="20"/>
        </w:rPr>
        <w:t>For purposes of the statement of cash flows, the Company considers all highly-liquid investments purchased with original maturities of three months or less to be cash equivalents.</w:t>
      </w:r>
    </w:p>
    <w:p w14:paraId="28619B30"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38B5029" w14:textId="77777777" w:rsidR="002B5D06" w:rsidRDefault="000B69DD">
      <w:pPr>
        <w:pStyle w:val="NormalWeb"/>
        <w:spacing w:before="0" w:beforeAutospacing="0" w:after="0" w:afterAutospacing="0"/>
        <w:jc w:val="both"/>
        <w:divId w:val="1684360448"/>
        <w:rPr>
          <w:sz w:val="20"/>
          <w:szCs w:val="20"/>
        </w:rPr>
      </w:pPr>
      <w:r>
        <w:rPr>
          <w:sz w:val="20"/>
          <w:szCs w:val="20"/>
        </w:rPr>
        <w:t>The Company maintains its cash in bank deposit accounts which, at June 30, 2025 did not exceed federally insured limits. The Company has not experienced any losses in such accounts and believes that it is not exposed to any significant credit risk on such amounts.</w:t>
      </w:r>
    </w:p>
    <w:p w14:paraId="528F18EC"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6BC0261"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 xml:space="preserve">Stock-Based Compensation: </w:t>
      </w:r>
    </w:p>
    <w:p w14:paraId="05B42B9E"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BFA00D9" w14:textId="77777777" w:rsidR="002B5D06" w:rsidRDefault="000B69DD">
      <w:pPr>
        <w:pStyle w:val="NormalWeb"/>
        <w:spacing w:before="0" w:beforeAutospacing="0" w:after="0" w:afterAutospacing="0"/>
        <w:jc w:val="both"/>
        <w:divId w:val="1684360448"/>
        <w:rPr>
          <w:sz w:val="20"/>
          <w:szCs w:val="20"/>
        </w:rPr>
      </w:pPr>
      <w:r>
        <w:rPr>
          <w:sz w:val="20"/>
          <w:szCs w:val="20"/>
        </w:rPr>
        <w:t>The Company records stock-based compensation in accordance with ASC 718, Compensation. All transactions in which goods or services are the consideration received for the issuance of equity instruments are accounted for based on the fair value of the consideration received or the fair value of the equity instrument issued, whichever is more reliably measurable. Equity instruments issued to employees and the cost of the services received as consideration are measured and recognized based on the grant date fair value of the equity instruments issued and are recognized over the employees required service period, which is generally the vesting period.</w:t>
      </w:r>
    </w:p>
    <w:p w14:paraId="70FF645D"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0BA3468"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Concentrations of Credit Risk:</w:t>
      </w:r>
    </w:p>
    <w:p w14:paraId="52792D8E"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0DD58E22" w14:textId="77777777" w:rsidR="002B5D06" w:rsidRDefault="000B69DD">
      <w:pPr>
        <w:pStyle w:val="NormalWeb"/>
        <w:spacing w:before="0" w:beforeAutospacing="0" w:after="0" w:afterAutospacing="0"/>
        <w:jc w:val="both"/>
        <w:divId w:val="1684360448"/>
        <w:rPr>
          <w:sz w:val="20"/>
          <w:szCs w:val="20"/>
        </w:rPr>
      </w:pPr>
      <w:r>
        <w:rPr>
          <w:sz w:val="20"/>
          <w:szCs w:val="20"/>
        </w:rPr>
        <w:t>Financial instruments that potentially subject the Company to major credit risk consist principally of a single subsidiary of Anton Nielsen Vojens ApS. ANV’s rent revenues are derived from one customer. The Company’s commission revenues are subject to concentration risk as the commission revenues are derived from one product.</w:t>
      </w:r>
    </w:p>
    <w:p w14:paraId="54BA7741"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07DEEB4"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New Accounting Pronouncements already adopted:</w:t>
      </w:r>
    </w:p>
    <w:p w14:paraId="4A3B2D0E"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B3C5EBB" w14:textId="77777777" w:rsidR="002B5D06" w:rsidRDefault="000B69DD">
      <w:pPr>
        <w:pStyle w:val="NormalWeb"/>
        <w:spacing w:before="0" w:beforeAutospacing="0" w:after="0" w:afterAutospacing="0"/>
        <w:jc w:val="both"/>
        <w:divId w:val="1684360448"/>
        <w:rPr>
          <w:sz w:val="20"/>
          <w:szCs w:val="20"/>
        </w:rPr>
      </w:pPr>
      <w:r>
        <w:rPr>
          <w:sz w:val="20"/>
          <w:szCs w:val="20"/>
        </w:rPr>
        <w:t>None.</w:t>
      </w:r>
    </w:p>
    <w:p w14:paraId="360B144F"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25D58220" w14:textId="77777777">
        <w:trPr>
          <w:divId w:val="1684360448"/>
          <w:trHeight w:val="225"/>
          <w:tblCellSpacing w:w="15" w:type="dxa"/>
          <w:jc w:val="center"/>
        </w:trPr>
        <w:tc>
          <w:tcPr>
            <w:tcW w:w="0" w:type="auto"/>
            <w:vAlign w:val="center"/>
            <w:hideMark/>
          </w:tcPr>
          <w:p w14:paraId="6216F583" w14:textId="77777777" w:rsidR="002B5D06" w:rsidRDefault="000B69DD">
            <w:pPr>
              <w:rPr>
                <w:rFonts w:eastAsia="Times New Roman"/>
                <w:sz w:val="20"/>
                <w:szCs w:val="20"/>
              </w:rPr>
            </w:pPr>
            <w:r>
              <w:rPr>
                <w:rFonts w:eastAsia="Times New Roman"/>
                <w:sz w:val="20"/>
                <w:szCs w:val="20"/>
              </w:rPr>
              <w:t> </w:t>
            </w:r>
          </w:p>
        </w:tc>
      </w:tr>
      <w:tr w:rsidR="002B5D06" w14:paraId="6049E4EE" w14:textId="77777777">
        <w:trPr>
          <w:divId w:val="1684360448"/>
          <w:trHeight w:val="225"/>
          <w:tblCellSpacing w:w="15" w:type="dxa"/>
          <w:jc w:val="center"/>
        </w:trPr>
        <w:tc>
          <w:tcPr>
            <w:tcW w:w="0" w:type="auto"/>
            <w:tcBorders>
              <w:bottom w:val="single" w:sz="6" w:space="0" w:color="000000"/>
            </w:tcBorders>
            <w:vAlign w:val="center"/>
            <w:hideMark/>
          </w:tcPr>
          <w:p w14:paraId="0AEDCFCF" w14:textId="77777777" w:rsidR="002B5D06" w:rsidRDefault="000B69DD">
            <w:pPr>
              <w:jc w:val="center"/>
              <w:rPr>
                <w:rFonts w:eastAsia="Times New Roman"/>
                <w:sz w:val="20"/>
                <w:szCs w:val="20"/>
              </w:rPr>
            </w:pPr>
            <w:r>
              <w:rPr>
                <w:rFonts w:eastAsia="Times New Roman"/>
                <w:sz w:val="20"/>
                <w:szCs w:val="20"/>
              </w:rPr>
              <w:t>14</w:t>
            </w:r>
          </w:p>
        </w:tc>
      </w:tr>
      <w:tr w:rsidR="002B5D06" w14:paraId="752F168B" w14:textId="77777777">
        <w:trPr>
          <w:divId w:val="1684360448"/>
          <w:trHeight w:val="225"/>
          <w:tblCellSpacing w:w="15" w:type="dxa"/>
          <w:jc w:val="center"/>
        </w:trPr>
        <w:tc>
          <w:tcPr>
            <w:tcW w:w="0" w:type="auto"/>
            <w:vAlign w:val="center"/>
            <w:hideMark/>
          </w:tcPr>
          <w:p w14:paraId="0DE0692A" w14:textId="77777777" w:rsidR="002B5D06" w:rsidRDefault="002B5D06">
            <w:pPr>
              <w:rPr>
                <w:rFonts w:eastAsia="Times New Roman"/>
                <w:sz w:val="20"/>
                <w:szCs w:val="20"/>
              </w:rPr>
            </w:pPr>
          </w:p>
        </w:tc>
      </w:tr>
      <w:tr w:rsidR="002B5D06" w14:paraId="2A149AE1" w14:textId="77777777">
        <w:trPr>
          <w:divId w:val="1684360448"/>
          <w:trHeight w:val="225"/>
          <w:tblCellSpacing w:w="15" w:type="dxa"/>
          <w:jc w:val="center"/>
        </w:trPr>
        <w:tc>
          <w:tcPr>
            <w:tcW w:w="0" w:type="auto"/>
            <w:vAlign w:val="center"/>
            <w:hideMark/>
          </w:tcPr>
          <w:p w14:paraId="2A80CBBB" w14:textId="77777777" w:rsidR="002B5D06" w:rsidRDefault="002B5D06">
            <w:pPr>
              <w:rPr>
                <w:rFonts w:eastAsia="Times New Roman"/>
                <w:sz w:val="20"/>
                <w:szCs w:val="20"/>
              </w:rPr>
            </w:pPr>
          </w:p>
        </w:tc>
      </w:tr>
    </w:tbl>
    <w:p w14:paraId="73866A53"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06A9E206" w14:textId="77777777" w:rsidR="002B5D06" w:rsidRDefault="000B69DD">
      <w:pPr>
        <w:pStyle w:val="NormalWeb"/>
        <w:spacing w:before="0" w:beforeAutospacing="0" w:after="0" w:afterAutospacing="0"/>
        <w:divId w:val="1684360448"/>
        <w:rPr>
          <w:sz w:val="20"/>
          <w:szCs w:val="20"/>
        </w:rPr>
      </w:pPr>
      <w:r>
        <w:rPr>
          <w:sz w:val="20"/>
          <w:szCs w:val="20"/>
        </w:rPr>
        <w:t>  </w:t>
      </w:r>
    </w:p>
    <w:p w14:paraId="3E50BB00"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New Accounting Pronouncements Not Yet Adopted</w:t>
      </w:r>
    </w:p>
    <w:p w14:paraId="3A22B908"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1212D10" w14:textId="77777777" w:rsidR="002B5D06" w:rsidRDefault="000B69DD">
      <w:pPr>
        <w:pStyle w:val="NormalWeb"/>
        <w:spacing w:before="0" w:beforeAutospacing="0" w:after="0" w:afterAutospacing="0"/>
        <w:jc w:val="both"/>
        <w:divId w:val="1684360448"/>
        <w:rPr>
          <w:sz w:val="20"/>
          <w:szCs w:val="20"/>
        </w:rPr>
      </w:pPr>
      <w:r>
        <w:rPr>
          <w:sz w:val="20"/>
          <w:szCs w:val="20"/>
        </w:rPr>
        <w:t>Other recent accounting pronouncements issued by the FASB did not or are not believed by management to have a material impact on the Company’s present or future financial statements.</w:t>
      </w:r>
    </w:p>
    <w:p w14:paraId="50CAB1C0"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0B120505"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RESULTS OF OPERATIONS OF FISCAL YEAR 2025 COMPARED TO FISCAL YEAR 2024</w:t>
      </w:r>
    </w:p>
    <w:p w14:paraId="4D57445E"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7E6A2CA" w14:textId="77777777" w:rsidR="002B5D06" w:rsidRDefault="000B69DD">
      <w:pPr>
        <w:pStyle w:val="NormalWeb"/>
        <w:spacing w:before="0" w:beforeAutospacing="0" w:after="0" w:afterAutospacing="0"/>
        <w:jc w:val="both"/>
        <w:divId w:val="1684360448"/>
        <w:rPr>
          <w:sz w:val="20"/>
          <w:szCs w:val="20"/>
        </w:rPr>
      </w:pPr>
      <w:r>
        <w:rPr>
          <w:sz w:val="20"/>
          <w:szCs w:val="20"/>
        </w:rPr>
        <w:t>REVENUES. Revenues from operations were $43,445 in 2025 compared to $42,577 in 2024. The increase was attributable to the lease revenues. The following table summarizes the Company’s revenue allocations:</w:t>
      </w:r>
    </w:p>
    <w:p w14:paraId="55FFF4A6"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2B5D06" w14:paraId="3BFCD79B" w14:textId="77777777">
        <w:trPr>
          <w:divId w:val="1684360448"/>
          <w:trHeight w:val="225"/>
          <w:tblCellSpacing w:w="15" w:type="dxa"/>
          <w:jc w:val="center"/>
        </w:trPr>
        <w:tc>
          <w:tcPr>
            <w:tcW w:w="0" w:type="auto"/>
            <w:tcBorders>
              <w:bottom w:val="single" w:sz="6" w:space="0" w:color="auto"/>
            </w:tcBorders>
            <w:vAlign w:val="bottom"/>
            <w:hideMark/>
          </w:tcPr>
          <w:p w14:paraId="57597944" w14:textId="77777777" w:rsidR="002B5D06" w:rsidRDefault="000B69DD">
            <w:pPr>
              <w:pStyle w:val="NormalWeb"/>
              <w:spacing w:before="0" w:beforeAutospacing="0" w:after="0" w:afterAutospacing="0"/>
              <w:rPr>
                <w:sz w:val="20"/>
                <w:szCs w:val="20"/>
              </w:rPr>
            </w:pPr>
            <w:r>
              <w:rPr>
                <w:rStyle w:val="Strong"/>
                <w:sz w:val="20"/>
                <w:szCs w:val="20"/>
              </w:rPr>
              <w:t>Year ending June 30,</w:t>
            </w:r>
          </w:p>
        </w:tc>
        <w:tc>
          <w:tcPr>
            <w:tcW w:w="0" w:type="auto"/>
            <w:noWrap/>
            <w:vAlign w:val="center"/>
            <w:hideMark/>
          </w:tcPr>
          <w:p w14:paraId="1E8E144D"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4BAD8558" w14:textId="77777777" w:rsidR="002B5D06" w:rsidRDefault="000B69DD">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5AE163B9"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13BB997C"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EFBE564" w14:textId="77777777" w:rsidR="002B5D06" w:rsidRDefault="000B69DD">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409C01C6" w14:textId="77777777" w:rsidR="002B5D06" w:rsidRDefault="000B69DD">
            <w:pPr>
              <w:pStyle w:val="NormalWeb"/>
              <w:spacing w:before="0" w:beforeAutospacing="0" w:after="0" w:afterAutospacing="0"/>
              <w:rPr>
                <w:sz w:val="20"/>
                <w:szCs w:val="20"/>
              </w:rPr>
            </w:pPr>
            <w:r>
              <w:rPr>
                <w:sz w:val="20"/>
                <w:szCs w:val="20"/>
              </w:rPr>
              <w:t> </w:t>
            </w:r>
          </w:p>
        </w:tc>
      </w:tr>
      <w:tr w:rsidR="002B5D06" w14:paraId="24C73EE1" w14:textId="77777777">
        <w:trPr>
          <w:divId w:val="1684360448"/>
          <w:trHeight w:val="225"/>
          <w:tblCellSpacing w:w="15" w:type="dxa"/>
          <w:jc w:val="center"/>
        </w:trPr>
        <w:tc>
          <w:tcPr>
            <w:tcW w:w="0" w:type="auto"/>
            <w:shd w:val="clear" w:color="auto" w:fill="CCEEFF"/>
            <w:hideMark/>
          </w:tcPr>
          <w:p w14:paraId="6DE82481" w14:textId="77777777" w:rsidR="002B5D06" w:rsidRDefault="000B69DD">
            <w:pPr>
              <w:pStyle w:val="NormalWeb"/>
              <w:spacing w:before="0" w:beforeAutospacing="0" w:after="0" w:afterAutospacing="0"/>
              <w:rPr>
                <w:sz w:val="20"/>
                <w:szCs w:val="20"/>
              </w:rPr>
            </w:pPr>
            <w:r>
              <w:rPr>
                <w:sz w:val="20"/>
                <w:szCs w:val="20"/>
              </w:rPr>
              <w:t>Subsidiary ANV Lease Revenues</w:t>
            </w:r>
          </w:p>
        </w:tc>
        <w:tc>
          <w:tcPr>
            <w:tcW w:w="50" w:type="pct"/>
            <w:shd w:val="clear" w:color="auto" w:fill="CCEEFF"/>
            <w:noWrap/>
            <w:vAlign w:val="center"/>
            <w:hideMark/>
          </w:tcPr>
          <w:p w14:paraId="7DCD68D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C3BE33C"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30895AA0" w14:textId="77777777" w:rsidR="002B5D06" w:rsidRDefault="000B69DD">
            <w:pPr>
              <w:jc w:val="right"/>
              <w:rPr>
                <w:rFonts w:eastAsia="Times New Roman"/>
                <w:sz w:val="20"/>
                <w:szCs w:val="20"/>
              </w:rPr>
            </w:pPr>
            <w:r>
              <w:rPr>
                <w:rFonts w:eastAsia="Times New Roman"/>
                <w:sz w:val="20"/>
                <w:szCs w:val="20"/>
              </w:rPr>
              <w:t>43,445</w:t>
            </w:r>
          </w:p>
        </w:tc>
        <w:tc>
          <w:tcPr>
            <w:tcW w:w="50" w:type="pct"/>
            <w:shd w:val="clear" w:color="auto" w:fill="CCEEFF"/>
            <w:noWrap/>
            <w:vAlign w:val="center"/>
            <w:hideMark/>
          </w:tcPr>
          <w:p w14:paraId="2066803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750D05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2563D3B"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1177B1D1" w14:textId="77777777" w:rsidR="002B5D06" w:rsidRDefault="000B69DD">
            <w:pPr>
              <w:jc w:val="right"/>
              <w:rPr>
                <w:rFonts w:eastAsia="Times New Roman"/>
                <w:sz w:val="20"/>
                <w:szCs w:val="20"/>
              </w:rPr>
            </w:pPr>
            <w:r>
              <w:rPr>
                <w:rFonts w:eastAsia="Times New Roman"/>
                <w:sz w:val="20"/>
                <w:szCs w:val="20"/>
              </w:rPr>
              <w:t>42,577</w:t>
            </w:r>
          </w:p>
        </w:tc>
        <w:tc>
          <w:tcPr>
            <w:tcW w:w="50" w:type="pct"/>
            <w:shd w:val="clear" w:color="auto" w:fill="CCEEFF"/>
            <w:noWrap/>
            <w:vAlign w:val="center"/>
            <w:hideMark/>
          </w:tcPr>
          <w:p w14:paraId="37ED46F0" w14:textId="77777777" w:rsidR="002B5D06" w:rsidRDefault="000B69DD">
            <w:pPr>
              <w:pStyle w:val="NormalWeb"/>
              <w:spacing w:before="0" w:beforeAutospacing="0" w:after="0" w:afterAutospacing="0"/>
              <w:rPr>
                <w:sz w:val="20"/>
                <w:szCs w:val="20"/>
              </w:rPr>
            </w:pPr>
            <w:r>
              <w:rPr>
                <w:sz w:val="20"/>
                <w:szCs w:val="20"/>
              </w:rPr>
              <w:t> </w:t>
            </w:r>
          </w:p>
        </w:tc>
      </w:tr>
      <w:tr w:rsidR="002B5D06" w14:paraId="7DC9D2E5" w14:textId="77777777">
        <w:trPr>
          <w:divId w:val="1684360448"/>
          <w:trHeight w:val="225"/>
          <w:tblCellSpacing w:w="15" w:type="dxa"/>
          <w:jc w:val="center"/>
        </w:trPr>
        <w:tc>
          <w:tcPr>
            <w:tcW w:w="0" w:type="auto"/>
            <w:shd w:val="clear" w:color="auto" w:fill="FFFFFF"/>
            <w:hideMark/>
          </w:tcPr>
          <w:p w14:paraId="0AC4017A" w14:textId="77777777" w:rsidR="002B5D06" w:rsidRDefault="000B69DD">
            <w:pPr>
              <w:pStyle w:val="NormalWeb"/>
              <w:spacing w:before="0" w:beforeAutospacing="0" w:after="0" w:afterAutospacing="0"/>
              <w:rPr>
                <w:sz w:val="20"/>
                <w:szCs w:val="20"/>
              </w:rPr>
            </w:pPr>
            <w:r>
              <w:rPr>
                <w:sz w:val="20"/>
                <w:szCs w:val="20"/>
              </w:rPr>
              <w:t>Subsidiary Sharx commissions from the sales of cargo security products</w:t>
            </w:r>
          </w:p>
        </w:tc>
        <w:tc>
          <w:tcPr>
            <w:tcW w:w="50" w:type="pct"/>
            <w:shd w:val="clear" w:color="auto" w:fill="FFFFFF"/>
            <w:noWrap/>
            <w:vAlign w:val="center"/>
            <w:hideMark/>
          </w:tcPr>
          <w:p w14:paraId="1C796097"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77B4E54"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5078E5AD"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490FECB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2FA3F7F"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5629206"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4188D470"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394A9884" w14:textId="77777777" w:rsidR="002B5D06" w:rsidRDefault="000B69DD">
            <w:pPr>
              <w:pStyle w:val="NormalWeb"/>
              <w:spacing w:before="0" w:beforeAutospacing="0" w:after="0" w:afterAutospacing="0"/>
              <w:rPr>
                <w:sz w:val="20"/>
                <w:szCs w:val="20"/>
              </w:rPr>
            </w:pPr>
            <w:r>
              <w:rPr>
                <w:sz w:val="20"/>
                <w:szCs w:val="20"/>
              </w:rPr>
              <w:t> </w:t>
            </w:r>
          </w:p>
        </w:tc>
      </w:tr>
      <w:tr w:rsidR="002B5D06" w14:paraId="0C237F50" w14:textId="77777777">
        <w:trPr>
          <w:divId w:val="1684360448"/>
          <w:trHeight w:val="225"/>
          <w:tblCellSpacing w:w="15" w:type="dxa"/>
          <w:jc w:val="center"/>
        </w:trPr>
        <w:tc>
          <w:tcPr>
            <w:tcW w:w="0" w:type="auto"/>
            <w:shd w:val="clear" w:color="auto" w:fill="CCEEFF"/>
            <w:hideMark/>
          </w:tcPr>
          <w:p w14:paraId="42AC9E51" w14:textId="77777777" w:rsidR="002B5D06" w:rsidRDefault="000B69DD">
            <w:pPr>
              <w:pStyle w:val="NormalWeb"/>
              <w:spacing w:before="0" w:beforeAutospacing="0" w:after="0" w:afterAutospacing="0"/>
              <w:rPr>
                <w:sz w:val="20"/>
                <w:szCs w:val="20"/>
              </w:rPr>
            </w:pPr>
            <w:r>
              <w:rPr>
                <w:sz w:val="20"/>
                <w:szCs w:val="20"/>
              </w:rPr>
              <w:t>Total</w:t>
            </w:r>
          </w:p>
        </w:tc>
        <w:tc>
          <w:tcPr>
            <w:tcW w:w="50" w:type="pct"/>
            <w:shd w:val="clear" w:color="auto" w:fill="CCEEFF"/>
            <w:noWrap/>
            <w:vAlign w:val="center"/>
            <w:hideMark/>
          </w:tcPr>
          <w:p w14:paraId="73425E7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42F01A7"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2A5F386A" w14:textId="77777777" w:rsidR="002B5D06" w:rsidRDefault="000B69DD">
            <w:pPr>
              <w:jc w:val="right"/>
              <w:rPr>
                <w:rFonts w:eastAsia="Times New Roman"/>
                <w:sz w:val="20"/>
                <w:szCs w:val="20"/>
              </w:rPr>
            </w:pPr>
            <w:r>
              <w:rPr>
                <w:rFonts w:eastAsia="Times New Roman"/>
                <w:sz w:val="20"/>
                <w:szCs w:val="20"/>
              </w:rPr>
              <w:t>43,445</w:t>
            </w:r>
          </w:p>
        </w:tc>
        <w:tc>
          <w:tcPr>
            <w:tcW w:w="50" w:type="pct"/>
            <w:shd w:val="clear" w:color="auto" w:fill="CCEEFF"/>
            <w:noWrap/>
            <w:vAlign w:val="center"/>
            <w:hideMark/>
          </w:tcPr>
          <w:p w14:paraId="2203FEB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E4EB16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BF7B159"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685B9EBD" w14:textId="77777777" w:rsidR="002B5D06" w:rsidRDefault="000B69DD">
            <w:pPr>
              <w:jc w:val="right"/>
              <w:rPr>
                <w:rFonts w:eastAsia="Times New Roman"/>
                <w:sz w:val="20"/>
                <w:szCs w:val="20"/>
              </w:rPr>
            </w:pPr>
            <w:r>
              <w:rPr>
                <w:rFonts w:eastAsia="Times New Roman"/>
                <w:sz w:val="20"/>
                <w:szCs w:val="20"/>
              </w:rPr>
              <w:t>42,577</w:t>
            </w:r>
          </w:p>
        </w:tc>
        <w:tc>
          <w:tcPr>
            <w:tcW w:w="50" w:type="pct"/>
            <w:shd w:val="clear" w:color="auto" w:fill="CCEEFF"/>
            <w:noWrap/>
            <w:vAlign w:val="center"/>
            <w:hideMark/>
          </w:tcPr>
          <w:p w14:paraId="1DE598CC" w14:textId="77777777" w:rsidR="002B5D06" w:rsidRDefault="000B69DD">
            <w:pPr>
              <w:pStyle w:val="NormalWeb"/>
              <w:spacing w:before="0" w:beforeAutospacing="0" w:after="0" w:afterAutospacing="0"/>
              <w:rPr>
                <w:sz w:val="20"/>
                <w:szCs w:val="20"/>
              </w:rPr>
            </w:pPr>
            <w:r>
              <w:rPr>
                <w:sz w:val="20"/>
                <w:szCs w:val="20"/>
              </w:rPr>
              <w:t> </w:t>
            </w:r>
          </w:p>
        </w:tc>
      </w:tr>
    </w:tbl>
    <w:p w14:paraId="48D7D230"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AA76923" w14:textId="77777777" w:rsidR="002B5D06" w:rsidRDefault="000B69DD">
      <w:pPr>
        <w:pStyle w:val="NormalWeb"/>
        <w:spacing w:before="0" w:beforeAutospacing="0" w:after="0" w:afterAutospacing="0"/>
        <w:jc w:val="both"/>
        <w:divId w:val="1684360448"/>
        <w:rPr>
          <w:sz w:val="20"/>
          <w:szCs w:val="20"/>
        </w:rPr>
      </w:pPr>
      <w:r>
        <w:rPr>
          <w:sz w:val="20"/>
          <w:szCs w:val="20"/>
        </w:rPr>
        <w:t>GENERAL AND ADMINISTRATIVE EXPENSES. G&amp;A expenses were $6,656 in 2025 compared to $6,625 in 2024. The expenses are attributable to the Company’s SEC compliance and accounting costs.</w:t>
      </w:r>
    </w:p>
    <w:p w14:paraId="23791432"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70889A5" w14:textId="77777777" w:rsidR="002B5D06" w:rsidRDefault="000B69DD">
      <w:pPr>
        <w:pStyle w:val="NormalWeb"/>
        <w:spacing w:before="0" w:beforeAutospacing="0" w:after="0" w:afterAutospacing="0"/>
        <w:jc w:val="both"/>
        <w:divId w:val="1684360448"/>
        <w:rPr>
          <w:sz w:val="20"/>
          <w:szCs w:val="20"/>
        </w:rPr>
      </w:pPr>
      <w:r>
        <w:rPr>
          <w:sz w:val="20"/>
          <w:szCs w:val="20"/>
        </w:rPr>
        <w:t xml:space="preserve">PROFESSIONAL EXPENSES. The professional expenses were attributable to the ordinary audit and review fees of $23,019 in 2025 compared to $21,500 in 2024. </w:t>
      </w:r>
    </w:p>
    <w:p w14:paraId="1D9563B9"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071F6F86" w14:textId="77777777" w:rsidR="002B5D06" w:rsidRDefault="000B69DD">
      <w:pPr>
        <w:pStyle w:val="NormalWeb"/>
        <w:spacing w:before="0" w:beforeAutospacing="0" w:after="0" w:afterAutospacing="0"/>
        <w:jc w:val="both"/>
        <w:divId w:val="1684360448"/>
        <w:rPr>
          <w:sz w:val="20"/>
          <w:szCs w:val="20"/>
        </w:rPr>
      </w:pPr>
      <w:r>
        <w:rPr>
          <w:sz w:val="20"/>
          <w:szCs w:val="20"/>
        </w:rPr>
        <w:t>OTHER INCOME (EXPENSE). Other income (expense) was $353 in 2025 compared to $296 in 2024 and mainly attributable to interest on cash. Interest expense was $0 for 2025 due to the Company having paid off its bank note.</w:t>
      </w:r>
    </w:p>
    <w:p w14:paraId="5C062DD0"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4185F00" w14:textId="77777777" w:rsidR="002B5D06" w:rsidRDefault="000B69DD">
      <w:pPr>
        <w:pStyle w:val="NormalWeb"/>
        <w:spacing w:before="0" w:beforeAutospacing="0" w:after="0" w:afterAutospacing="0"/>
        <w:jc w:val="both"/>
        <w:divId w:val="1684360448"/>
        <w:rPr>
          <w:sz w:val="20"/>
          <w:szCs w:val="20"/>
        </w:rPr>
      </w:pPr>
      <w:r>
        <w:rPr>
          <w:sz w:val="20"/>
          <w:szCs w:val="20"/>
        </w:rPr>
        <w:t>NET INCOME. Net income attributed to common stockholders was $4,138 or $0.00 per share for 2025 as compared to $5,564 or $0.00 per share for 2024 and mainly attributable to lease revenues.</w:t>
      </w:r>
    </w:p>
    <w:p w14:paraId="6601660E"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EB50605" w14:textId="77777777" w:rsidR="002B5D06" w:rsidRDefault="000B69DD">
      <w:pPr>
        <w:pStyle w:val="NormalWeb"/>
        <w:spacing w:before="0" w:beforeAutospacing="0" w:after="0" w:afterAutospacing="0"/>
        <w:jc w:val="both"/>
        <w:divId w:val="1684360448"/>
        <w:rPr>
          <w:sz w:val="20"/>
          <w:szCs w:val="20"/>
        </w:rPr>
      </w:pPr>
      <w:r>
        <w:rPr>
          <w:sz w:val="20"/>
          <w:szCs w:val="20"/>
        </w:rPr>
        <w:t>LIQUIDITY AND CAPITAL RESOURCES. As of June 30, 2025, the Company had $57,225 of cash and cash equivalents and working capital deficit of $91,958 compared to June 30, 2024 the Company had $94,482 of cash and cash equivalents and working capital deficit of $110,622 The change in cash is primarily due to the ANV’S payment of debt and normal operations. The decrease in the working capital deficit is primarily related to the repayment of debt and offset by an increase in taxes payable.</w:t>
      </w:r>
    </w:p>
    <w:p w14:paraId="61B4CCF9"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0286085" w14:textId="77777777" w:rsidR="002B5D06" w:rsidRDefault="000B69DD">
      <w:pPr>
        <w:pStyle w:val="NormalWeb"/>
        <w:spacing w:before="0" w:beforeAutospacing="0" w:after="0" w:afterAutospacing="0"/>
        <w:jc w:val="both"/>
        <w:divId w:val="1684360448"/>
        <w:rPr>
          <w:sz w:val="20"/>
          <w:szCs w:val="20"/>
        </w:rPr>
      </w:pPr>
      <w:r>
        <w:rPr>
          <w:sz w:val="20"/>
          <w:szCs w:val="20"/>
        </w:rPr>
        <w:t>Net cash provided by operating activities for 2025 and 2024 was $40,415 and $45,117 respectively. The increase was primarily due to expenses paid on behalf of a related party.</w:t>
      </w:r>
    </w:p>
    <w:p w14:paraId="580BB604"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00DBA20F" w14:textId="77777777">
        <w:trPr>
          <w:divId w:val="1684360448"/>
          <w:trHeight w:val="225"/>
          <w:tblCellSpacing w:w="15" w:type="dxa"/>
          <w:jc w:val="center"/>
        </w:trPr>
        <w:tc>
          <w:tcPr>
            <w:tcW w:w="0" w:type="auto"/>
            <w:vAlign w:val="center"/>
            <w:hideMark/>
          </w:tcPr>
          <w:p w14:paraId="5452A047" w14:textId="77777777" w:rsidR="002B5D06" w:rsidRDefault="000B69DD">
            <w:pPr>
              <w:rPr>
                <w:rFonts w:eastAsia="Times New Roman"/>
                <w:sz w:val="20"/>
                <w:szCs w:val="20"/>
              </w:rPr>
            </w:pPr>
            <w:r>
              <w:rPr>
                <w:rFonts w:eastAsia="Times New Roman"/>
                <w:sz w:val="20"/>
                <w:szCs w:val="20"/>
              </w:rPr>
              <w:t> </w:t>
            </w:r>
          </w:p>
        </w:tc>
      </w:tr>
      <w:tr w:rsidR="002B5D06" w14:paraId="55BC529E" w14:textId="77777777">
        <w:trPr>
          <w:divId w:val="1684360448"/>
          <w:trHeight w:val="225"/>
          <w:tblCellSpacing w:w="15" w:type="dxa"/>
          <w:jc w:val="center"/>
        </w:trPr>
        <w:tc>
          <w:tcPr>
            <w:tcW w:w="0" w:type="auto"/>
            <w:tcBorders>
              <w:bottom w:val="single" w:sz="6" w:space="0" w:color="000000"/>
            </w:tcBorders>
            <w:vAlign w:val="center"/>
            <w:hideMark/>
          </w:tcPr>
          <w:p w14:paraId="04E4B9E6" w14:textId="77777777" w:rsidR="002B5D06" w:rsidRDefault="000B69DD">
            <w:pPr>
              <w:jc w:val="center"/>
              <w:rPr>
                <w:rFonts w:eastAsia="Times New Roman"/>
                <w:sz w:val="20"/>
                <w:szCs w:val="20"/>
              </w:rPr>
            </w:pPr>
            <w:r>
              <w:rPr>
                <w:rFonts w:eastAsia="Times New Roman"/>
                <w:sz w:val="20"/>
                <w:szCs w:val="20"/>
              </w:rPr>
              <w:t>15</w:t>
            </w:r>
          </w:p>
        </w:tc>
      </w:tr>
      <w:tr w:rsidR="002B5D06" w14:paraId="6E16DEE7" w14:textId="77777777">
        <w:trPr>
          <w:divId w:val="1684360448"/>
          <w:trHeight w:val="225"/>
          <w:tblCellSpacing w:w="15" w:type="dxa"/>
          <w:jc w:val="center"/>
        </w:trPr>
        <w:tc>
          <w:tcPr>
            <w:tcW w:w="0" w:type="auto"/>
            <w:vAlign w:val="center"/>
            <w:hideMark/>
          </w:tcPr>
          <w:p w14:paraId="34BA673A" w14:textId="77777777" w:rsidR="002B5D06" w:rsidRDefault="002B5D06">
            <w:pPr>
              <w:rPr>
                <w:rFonts w:eastAsia="Times New Roman"/>
                <w:sz w:val="20"/>
                <w:szCs w:val="20"/>
              </w:rPr>
            </w:pPr>
          </w:p>
        </w:tc>
      </w:tr>
      <w:tr w:rsidR="002B5D06" w14:paraId="00CEA976" w14:textId="77777777">
        <w:trPr>
          <w:divId w:val="1684360448"/>
          <w:trHeight w:val="225"/>
          <w:tblCellSpacing w:w="15" w:type="dxa"/>
          <w:jc w:val="center"/>
        </w:trPr>
        <w:tc>
          <w:tcPr>
            <w:tcW w:w="0" w:type="auto"/>
            <w:vAlign w:val="center"/>
            <w:hideMark/>
          </w:tcPr>
          <w:p w14:paraId="7E724504" w14:textId="77777777" w:rsidR="002B5D06" w:rsidRDefault="002B5D06">
            <w:pPr>
              <w:rPr>
                <w:rFonts w:eastAsia="Times New Roman"/>
                <w:sz w:val="20"/>
                <w:szCs w:val="20"/>
              </w:rPr>
            </w:pPr>
          </w:p>
        </w:tc>
      </w:tr>
    </w:tbl>
    <w:p w14:paraId="1347C2DA"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430AD467" w14:textId="77777777" w:rsidR="002B5D06" w:rsidRDefault="000B69DD">
      <w:pPr>
        <w:pStyle w:val="NormalWeb"/>
        <w:spacing w:before="0" w:beforeAutospacing="0" w:after="0" w:afterAutospacing="0"/>
        <w:divId w:val="1684360448"/>
        <w:rPr>
          <w:sz w:val="20"/>
          <w:szCs w:val="20"/>
        </w:rPr>
      </w:pPr>
      <w:r>
        <w:rPr>
          <w:sz w:val="20"/>
          <w:szCs w:val="20"/>
        </w:rPr>
        <w:t> </w:t>
      </w:r>
    </w:p>
    <w:p w14:paraId="11834308" w14:textId="77777777" w:rsidR="002B5D06" w:rsidRDefault="000B69DD">
      <w:pPr>
        <w:pStyle w:val="NormalWeb"/>
        <w:spacing w:before="0" w:beforeAutospacing="0" w:after="0" w:afterAutospacing="0"/>
        <w:jc w:val="both"/>
        <w:divId w:val="1684360448"/>
        <w:rPr>
          <w:sz w:val="20"/>
          <w:szCs w:val="20"/>
        </w:rPr>
      </w:pPr>
      <w:r>
        <w:rPr>
          <w:sz w:val="20"/>
          <w:szCs w:val="20"/>
        </w:rPr>
        <w:t xml:space="preserve">Net cash (used for) investing activities for 2025 and 2024 was $0 and $0 respectively. </w:t>
      </w:r>
    </w:p>
    <w:p w14:paraId="73AF5056"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7A9E98E" w14:textId="77777777" w:rsidR="002B5D06" w:rsidRDefault="000B69DD">
      <w:pPr>
        <w:pStyle w:val="NormalWeb"/>
        <w:spacing w:before="0" w:beforeAutospacing="0" w:after="0" w:afterAutospacing="0"/>
        <w:jc w:val="both"/>
        <w:divId w:val="1684360448"/>
        <w:rPr>
          <w:sz w:val="20"/>
          <w:szCs w:val="20"/>
        </w:rPr>
      </w:pPr>
      <w:r>
        <w:rPr>
          <w:sz w:val="20"/>
          <w:szCs w:val="20"/>
        </w:rPr>
        <w:t>Net cash (used for) financing activities for 2025 and 2024 was ($89,819) and ($52,989) respectively. Net cash used for financing activities for both periods is related to the repayment of debt and related party debt.</w:t>
      </w:r>
    </w:p>
    <w:p w14:paraId="3C71BF3B"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2C221AF" w14:textId="77777777" w:rsidR="002B5D06" w:rsidRDefault="000B69DD">
      <w:pPr>
        <w:pStyle w:val="NormalWeb"/>
        <w:spacing w:before="0" w:beforeAutospacing="0" w:after="0" w:afterAutospacing="0"/>
        <w:jc w:val="both"/>
        <w:divId w:val="1684360448"/>
        <w:rPr>
          <w:sz w:val="20"/>
          <w:szCs w:val="20"/>
        </w:rPr>
      </w:pPr>
      <w:r>
        <w:rPr>
          <w:sz w:val="20"/>
          <w:szCs w:val="20"/>
        </w:rPr>
        <w:t>OFF BALANCE SHEET ARRANGEMENTS</w:t>
      </w:r>
    </w:p>
    <w:p w14:paraId="1C931BF4"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2A43056" w14:textId="77777777" w:rsidR="002B5D06" w:rsidRDefault="000B69DD">
      <w:pPr>
        <w:pStyle w:val="NormalWeb"/>
        <w:spacing w:before="0" w:beforeAutospacing="0" w:after="0" w:afterAutospacing="0"/>
        <w:jc w:val="both"/>
        <w:divId w:val="1684360448"/>
        <w:rPr>
          <w:sz w:val="20"/>
          <w:szCs w:val="20"/>
        </w:rPr>
      </w:pPr>
      <w:r>
        <w:rPr>
          <w:sz w:val="20"/>
          <w:szCs w:val="20"/>
        </w:rPr>
        <w:t>We do not have any off-balance sheet arrangements.</w:t>
      </w:r>
    </w:p>
    <w:p w14:paraId="7FDF4521"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36C06CA" w14:textId="77777777" w:rsidR="002B5D06" w:rsidRDefault="000B69DD">
      <w:pPr>
        <w:pStyle w:val="NormalWeb"/>
        <w:spacing w:before="0" w:beforeAutospacing="0" w:after="0" w:afterAutospacing="0"/>
        <w:jc w:val="both"/>
        <w:divId w:val="1684360448"/>
        <w:rPr>
          <w:sz w:val="20"/>
          <w:szCs w:val="20"/>
        </w:rPr>
      </w:pPr>
      <w:r>
        <w:rPr>
          <w:rStyle w:val="atag"/>
          <w:b/>
          <w:bCs/>
          <w:i/>
          <w:iCs/>
          <w:sz w:val="20"/>
          <w:szCs w:val="20"/>
        </w:rPr>
        <w:t>ITEM 7A. QUANTITATIVE AND QUALITATIVE MARKET DISCLOSURES ABOUT RISK</w:t>
      </w:r>
    </w:p>
    <w:p w14:paraId="524D3A57"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7C3F5F7" w14:textId="77777777" w:rsidR="002B5D06" w:rsidRDefault="000B69DD">
      <w:pPr>
        <w:pStyle w:val="NormalWeb"/>
        <w:spacing w:before="0" w:beforeAutospacing="0" w:after="0" w:afterAutospacing="0"/>
        <w:jc w:val="both"/>
        <w:divId w:val="1684360448"/>
        <w:rPr>
          <w:sz w:val="20"/>
          <w:szCs w:val="20"/>
        </w:rPr>
      </w:pPr>
      <w:r>
        <w:rPr>
          <w:sz w:val="20"/>
          <w:szCs w:val="20"/>
        </w:rPr>
        <w:t>Not required.</w:t>
      </w:r>
    </w:p>
    <w:p w14:paraId="33C0072F"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8E052B0" w14:textId="77777777" w:rsidR="002B5D06" w:rsidRDefault="000B69DD">
      <w:pPr>
        <w:pStyle w:val="NormalWeb"/>
        <w:spacing w:before="0" w:beforeAutospacing="0" w:after="0" w:afterAutospacing="0"/>
        <w:jc w:val="both"/>
        <w:divId w:val="1684360448"/>
        <w:rPr>
          <w:sz w:val="20"/>
          <w:szCs w:val="20"/>
        </w:rPr>
      </w:pPr>
      <w:r>
        <w:rPr>
          <w:rStyle w:val="atag"/>
          <w:b/>
          <w:bCs/>
          <w:i/>
          <w:iCs/>
          <w:sz w:val="20"/>
          <w:szCs w:val="20"/>
        </w:rPr>
        <w:t>ITEM 8. AUDITED CONSOLIDATED FINANCIAL STATEMENTS</w:t>
      </w:r>
    </w:p>
    <w:p w14:paraId="00D1281F"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 </w:t>
      </w:r>
    </w:p>
    <w:p w14:paraId="72FCDC3D" w14:textId="77777777" w:rsidR="002B5D06" w:rsidRDefault="000B69DD">
      <w:pPr>
        <w:pStyle w:val="NormalWeb"/>
        <w:spacing w:before="0" w:beforeAutospacing="0" w:after="0" w:afterAutospacing="0"/>
        <w:jc w:val="both"/>
        <w:divId w:val="1684360448"/>
        <w:rPr>
          <w:sz w:val="20"/>
          <w:szCs w:val="20"/>
        </w:rPr>
      </w:pPr>
      <w:r>
        <w:rPr>
          <w:sz w:val="20"/>
          <w:szCs w:val="20"/>
        </w:rPr>
        <w:t>See the consolidated financial statements on Exhibit F for the period ending June 30, 2025 and June 30, 2024.</w:t>
      </w:r>
    </w:p>
    <w:p w14:paraId="699A0C17"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5CEC45E" w14:textId="77777777" w:rsidR="002B5D06" w:rsidRDefault="000B69DD">
      <w:pPr>
        <w:pStyle w:val="NormalWeb"/>
        <w:spacing w:before="0" w:beforeAutospacing="0" w:after="0" w:afterAutospacing="0"/>
        <w:jc w:val="both"/>
        <w:divId w:val="1684360448"/>
        <w:rPr>
          <w:sz w:val="20"/>
          <w:szCs w:val="20"/>
        </w:rPr>
      </w:pPr>
      <w:r>
        <w:rPr>
          <w:rStyle w:val="atag"/>
          <w:b/>
          <w:bCs/>
          <w:i/>
          <w:iCs/>
          <w:sz w:val="20"/>
          <w:szCs w:val="20"/>
        </w:rPr>
        <w:t>ITEM 9. CHANGES IN AND DISAGREEMENTS WITH AUDITORS ON ACCOUNTING AND FINANCIAL DISCLOSURE</w:t>
      </w:r>
    </w:p>
    <w:p w14:paraId="78502735"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 </w:t>
      </w:r>
    </w:p>
    <w:p w14:paraId="35FD0D06" w14:textId="77777777" w:rsidR="002B5D06" w:rsidRDefault="000B69DD">
      <w:pPr>
        <w:pStyle w:val="NormalWeb"/>
        <w:spacing w:before="0" w:beforeAutospacing="0" w:after="0" w:afterAutospacing="0"/>
        <w:jc w:val="both"/>
        <w:divId w:val="1684360448"/>
        <w:rPr>
          <w:sz w:val="20"/>
          <w:szCs w:val="20"/>
        </w:rPr>
      </w:pPr>
      <w:r>
        <w:rPr>
          <w:sz w:val="20"/>
          <w:szCs w:val="20"/>
        </w:rPr>
        <w:t>None.</w:t>
      </w:r>
    </w:p>
    <w:p w14:paraId="47E960E4"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F36F021" w14:textId="77777777" w:rsidR="002B5D06" w:rsidRDefault="000B69DD">
      <w:pPr>
        <w:pStyle w:val="NormalWeb"/>
        <w:spacing w:before="0" w:beforeAutospacing="0" w:after="0" w:afterAutospacing="0"/>
        <w:jc w:val="both"/>
        <w:divId w:val="1684360448"/>
        <w:rPr>
          <w:sz w:val="20"/>
          <w:szCs w:val="20"/>
        </w:rPr>
      </w:pPr>
      <w:r>
        <w:rPr>
          <w:rStyle w:val="atag"/>
          <w:b/>
          <w:bCs/>
          <w:i/>
          <w:iCs/>
          <w:sz w:val="20"/>
          <w:szCs w:val="20"/>
        </w:rPr>
        <w:t>ITEM 9A. CONTROLS AND PROCEDURE</w:t>
      </w:r>
    </w:p>
    <w:p w14:paraId="59A71201"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 </w:t>
      </w:r>
    </w:p>
    <w:p w14:paraId="796A9F67" w14:textId="77777777" w:rsidR="002B5D06" w:rsidRDefault="000B69DD">
      <w:pPr>
        <w:pStyle w:val="NormalWeb"/>
        <w:spacing w:before="0" w:beforeAutospacing="0" w:after="0" w:afterAutospacing="0"/>
        <w:jc w:val="both"/>
        <w:divId w:val="1684360448"/>
        <w:rPr>
          <w:sz w:val="20"/>
          <w:szCs w:val="20"/>
        </w:rPr>
      </w:pPr>
      <w:r>
        <w:rPr>
          <w:rStyle w:val="Strong"/>
          <w:i/>
          <w:iCs/>
          <w:sz w:val="20"/>
          <w:szCs w:val="20"/>
        </w:rPr>
        <w:t>Evaluation of Disclosure Controls and Procedures</w:t>
      </w:r>
    </w:p>
    <w:p w14:paraId="0A7239F8"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B2682D5" w14:textId="77777777" w:rsidR="002B5D06" w:rsidRDefault="000B69DD">
      <w:pPr>
        <w:pStyle w:val="NormalWeb"/>
        <w:spacing w:before="0" w:beforeAutospacing="0" w:after="0" w:afterAutospacing="0"/>
        <w:jc w:val="both"/>
        <w:divId w:val="1684360448"/>
        <w:rPr>
          <w:sz w:val="20"/>
          <w:szCs w:val="20"/>
        </w:rPr>
      </w:pPr>
      <w:r>
        <w:rPr>
          <w:sz w:val="20"/>
          <w:szCs w:val="20"/>
        </w:rPr>
        <w:t>We conducted an evaluation under the supervision and with the participation of our management, including our Chief Executive Officer who is also our Chief Financial Officer, of the effectiveness of the design and operation of our disclosure controls and procedures. The term “disclosure controls and procedures”, as defined in Rules 13a-15(e) and 15d-15(e) under the Securities and Exchange Act of 1934, as amended (“Exchange Act”), means controls and other procedures of a company that are designed to ensure that information required to be disclosed by the company in the reports it files or submits under the Exchange Act is recorded, processed, summarized and reported, within the time periods specified in the Securities and Exchange Commission’s rules and forms. Disclosure controls and procedures also include, without limitation, controls and procedures designed to ensure that information required to be disclosed by a company in the reports that it files or submits under the Exchange Act is accumulated and communicated to the company’s management, including its principal executive and principal financial officers, or persons performing similar functions, as appropriate, to allow timely decisions regarding required disclosure. Based on this evaluation, our Chief Executive Officer and Acting Chief Financial Officer concluded as of June 30, 2025 that our disclosure controls and procedures were effective at ensuring that the material information required to be disclosed in the Exchange Act reports is recorded, processed, summarized and reported as required in applicable SEC rules and the Company’s filed 10-K.  </w:t>
      </w:r>
    </w:p>
    <w:p w14:paraId="6F7617DE"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322C5DF2" w14:textId="77777777">
        <w:trPr>
          <w:divId w:val="1684360448"/>
          <w:trHeight w:val="225"/>
          <w:tblCellSpacing w:w="15" w:type="dxa"/>
          <w:jc w:val="center"/>
        </w:trPr>
        <w:tc>
          <w:tcPr>
            <w:tcW w:w="0" w:type="auto"/>
            <w:vAlign w:val="center"/>
            <w:hideMark/>
          </w:tcPr>
          <w:p w14:paraId="207E8E78" w14:textId="77777777" w:rsidR="002B5D06" w:rsidRDefault="000B69DD">
            <w:pPr>
              <w:rPr>
                <w:rFonts w:eastAsia="Times New Roman"/>
                <w:sz w:val="20"/>
                <w:szCs w:val="20"/>
              </w:rPr>
            </w:pPr>
            <w:r>
              <w:rPr>
                <w:rFonts w:eastAsia="Times New Roman"/>
                <w:sz w:val="20"/>
                <w:szCs w:val="20"/>
              </w:rPr>
              <w:t> </w:t>
            </w:r>
          </w:p>
        </w:tc>
      </w:tr>
      <w:tr w:rsidR="002B5D06" w14:paraId="4F5465B5" w14:textId="77777777">
        <w:trPr>
          <w:divId w:val="1684360448"/>
          <w:trHeight w:val="225"/>
          <w:tblCellSpacing w:w="15" w:type="dxa"/>
          <w:jc w:val="center"/>
        </w:trPr>
        <w:tc>
          <w:tcPr>
            <w:tcW w:w="0" w:type="auto"/>
            <w:tcBorders>
              <w:bottom w:val="single" w:sz="6" w:space="0" w:color="000000"/>
            </w:tcBorders>
            <w:vAlign w:val="center"/>
            <w:hideMark/>
          </w:tcPr>
          <w:p w14:paraId="6B1CEA46" w14:textId="77777777" w:rsidR="002B5D06" w:rsidRDefault="000B69DD">
            <w:pPr>
              <w:jc w:val="center"/>
              <w:rPr>
                <w:rFonts w:eastAsia="Times New Roman"/>
                <w:sz w:val="20"/>
                <w:szCs w:val="20"/>
              </w:rPr>
            </w:pPr>
            <w:r>
              <w:rPr>
                <w:rFonts w:eastAsia="Times New Roman"/>
                <w:sz w:val="20"/>
                <w:szCs w:val="20"/>
              </w:rPr>
              <w:t>16</w:t>
            </w:r>
          </w:p>
        </w:tc>
      </w:tr>
      <w:tr w:rsidR="002B5D06" w14:paraId="5A1D1EC5" w14:textId="77777777">
        <w:trPr>
          <w:divId w:val="1684360448"/>
          <w:trHeight w:val="225"/>
          <w:tblCellSpacing w:w="15" w:type="dxa"/>
          <w:jc w:val="center"/>
        </w:trPr>
        <w:tc>
          <w:tcPr>
            <w:tcW w:w="0" w:type="auto"/>
            <w:vAlign w:val="center"/>
            <w:hideMark/>
          </w:tcPr>
          <w:p w14:paraId="73CEA858" w14:textId="77777777" w:rsidR="002B5D06" w:rsidRDefault="002B5D06">
            <w:pPr>
              <w:rPr>
                <w:rFonts w:eastAsia="Times New Roman"/>
                <w:sz w:val="20"/>
                <w:szCs w:val="20"/>
              </w:rPr>
            </w:pPr>
          </w:p>
        </w:tc>
      </w:tr>
      <w:tr w:rsidR="002B5D06" w14:paraId="66D3EA7C" w14:textId="77777777">
        <w:trPr>
          <w:divId w:val="1684360448"/>
          <w:trHeight w:val="225"/>
          <w:tblCellSpacing w:w="15" w:type="dxa"/>
          <w:jc w:val="center"/>
        </w:trPr>
        <w:tc>
          <w:tcPr>
            <w:tcW w:w="0" w:type="auto"/>
            <w:vAlign w:val="center"/>
            <w:hideMark/>
          </w:tcPr>
          <w:p w14:paraId="2A324D80" w14:textId="77777777" w:rsidR="002B5D06" w:rsidRDefault="002B5D06">
            <w:pPr>
              <w:rPr>
                <w:rFonts w:eastAsia="Times New Roman"/>
                <w:sz w:val="20"/>
                <w:szCs w:val="20"/>
              </w:rPr>
            </w:pPr>
          </w:p>
        </w:tc>
      </w:tr>
    </w:tbl>
    <w:p w14:paraId="6AD77FB8"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684BAC87" w14:textId="77777777" w:rsidR="002B5D06" w:rsidRDefault="000B69DD">
      <w:pPr>
        <w:pStyle w:val="NormalWeb"/>
        <w:spacing w:before="0" w:beforeAutospacing="0" w:after="0" w:afterAutospacing="0"/>
        <w:divId w:val="1684360448"/>
        <w:rPr>
          <w:sz w:val="20"/>
          <w:szCs w:val="20"/>
        </w:rPr>
      </w:pPr>
      <w:r>
        <w:rPr>
          <w:sz w:val="20"/>
          <w:szCs w:val="20"/>
        </w:rPr>
        <w:t> </w:t>
      </w:r>
    </w:p>
    <w:p w14:paraId="3A26AC75" w14:textId="77777777" w:rsidR="002B5D06" w:rsidRDefault="000B69DD">
      <w:pPr>
        <w:pStyle w:val="NormalWeb"/>
        <w:spacing w:before="0" w:beforeAutospacing="0" w:after="0" w:afterAutospacing="0"/>
        <w:jc w:val="both"/>
        <w:divId w:val="1684360448"/>
        <w:rPr>
          <w:sz w:val="20"/>
          <w:szCs w:val="20"/>
        </w:rPr>
      </w:pPr>
      <w:r>
        <w:rPr>
          <w:rStyle w:val="Strong"/>
          <w:i/>
          <w:iCs/>
          <w:sz w:val="20"/>
          <w:szCs w:val="20"/>
        </w:rPr>
        <w:t>Management’s Report on Internal Control Over Financial Reporting</w:t>
      </w:r>
    </w:p>
    <w:p w14:paraId="78B2D02E"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EE96014" w14:textId="77777777" w:rsidR="002B5D06" w:rsidRDefault="000B69DD">
      <w:pPr>
        <w:pStyle w:val="NormalWeb"/>
        <w:spacing w:before="0" w:beforeAutospacing="0" w:after="0" w:afterAutospacing="0"/>
        <w:jc w:val="both"/>
        <w:divId w:val="1684360448"/>
        <w:rPr>
          <w:sz w:val="20"/>
          <w:szCs w:val="20"/>
        </w:rPr>
      </w:pPr>
      <w:r>
        <w:rPr>
          <w:sz w:val="20"/>
          <w:szCs w:val="20"/>
        </w:rPr>
        <w:t>Our management is responsible for establishing and maintaining adequate internal control over financial reporting (as defined in Rules 13a-15(f) and 15d-15(f) under the Securities Exchange Act of 1934). Our internal control over financial reporting is designed to provide reasonable assurance regarding the reliability of financial reporting and the preparation of consolidated financial statements for external purposes in accordance with generally accepted accounting principles.</w:t>
      </w:r>
    </w:p>
    <w:p w14:paraId="5A17EAB5"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293FCF1" w14:textId="77777777" w:rsidR="002B5D06" w:rsidRDefault="000B69DD">
      <w:pPr>
        <w:pStyle w:val="NormalWeb"/>
        <w:spacing w:before="0" w:beforeAutospacing="0" w:after="0" w:afterAutospacing="0"/>
        <w:jc w:val="both"/>
        <w:divId w:val="1684360448"/>
        <w:rPr>
          <w:sz w:val="20"/>
          <w:szCs w:val="20"/>
        </w:rPr>
      </w:pPr>
      <w:r>
        <w:rPr>
          <w:sz w:val="20"/>
          <w:szCs w:val="20"/>
        </w:rPr>
        <w:t>Under the supervision and with the participation of our management, including our principal executive officer and principal financial officer, we conducted an evaluation of the effectiveness of our internal control over financial reporting based on the framework set forth in Internal Control - Integrated Framework issued by the Committee of Sponsoring Organizations of the Treadway Commission (COSO-2013). Based on our evaluation under the framework set forth in Internal Control - Integrated Framework, our management concluded that our internal control over financial reporting was not effective as of June 30, 2025.</w:t>
      </w:r>
    </w:p>
    <w:p w14:paraId="625B8590"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C1FC13F" w14:textId="77777777" w:rsidR="002B5D06" w:rsidRDefault="000B69DD">
      <w:pPr>
        <w:pStyle w:val="NormalWeb"/>
        <w:spacing w:before="0" w:beforeAutospacing="0" w:after="0" w:afterAutospacing="0"/>
        <w:jc w:val="both"/>
        <w:divId w:val="1684360448"/>
        <w:rPr>
          <w:sz w:val="20"/>
          <w:szCs w:val="20"/>
        </w:rPr>
      </w:pPr>
      <w:r>
        <w:rPr>
          <w:rStyle w:val="Strong"/>
          <w:i/>
          <w:iCs/>
          <w:sz w:val="20"/>
          <w:szCs w:val="20"/>
        </w:rPr>
        <w:t>Inherent Limitations on Effectiveness of Controls</w:t>
      </w:r>
    </w:p>
    <w:p w14:paraId="19458939"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BAE0296" w14:textId="77777777" w:rsidR="002B5D06" w:rsidRDefault="000B69DD">
      <w:pPr>
        <w:pStyle w:val="NormalWeb"/>
        <w:spacing w:before="0" w:beforeAutospacing="0" w:after="0" w:afterAutospacing="0"/>
        <w:jc w:val="both"/>
        <w:divId w:val="1684360448"/>
        <w:rPr>
          <w:sz w:val="20"/>
          <w:szCs w:val="20"/>
        </w:rPr>
      </w:pPr>
      <w:r>
        <w:rPr>
          <w:sz w:val="20"/>
          <w:szCs w:val="20"/>
        </w:rPr>
        <w:t>Our management, including our Chief Executive Officer and Chief Financial Officer, does not expect that our disclosure controls and procedures or our internal controls will prevent all errors and all fraud. The term “disclosure controls and procedures,” as defined in Rules 13a-15(e) and 15d-15(e) under the Securities and Exchange Act of 1934, as amended (“Exchange Act”), means controls and other procedures of a company that are designed to ensure that information required to be disclosed by the company in the reports it files or submits under the Exchange Act is recorded, processed, summarized and reported, within the time periods specified in the Securities and Exchange Commission’s rules and forms. Disclosure controls and procedures also include, without limitation, controls and procedures designed to ensure that information required to be disclosed by a company in the reports that it files or submits under the Exchange Act is accumulated and communicated to the company’s management, including its principal executive and principal financial officers, or persons performing similar functions, as appropriate, to allow timely decisions regarding required disclosure. A control system, no matter how well conceived and operated, can provide only reasonable, not absolute, assurance that the objectives of the control system are met. Further, the design of a control system must reflect the fact that there are resource constraints, and the benefits of controls must be considered relative to their costs. Our disclosure controls and procedures and our internal controls over financial reporting have been designed to provide reasonable assurance of achieving their objectives. Because of the inherent limitations in all control systems, no evaluation of controls can provide absolute assurance that all control issues and instances of fraud, if any, have been detected.</w:t>
      </w:r>
    </w:p>
    <w:p w14:paraId="7DA5F4C7"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2AC70A6" w14:textId="77777777" w:rsidR="002B5D06" w:rsidRDefault="000B69DD">
      <w:pPr>
        <w:pStyle w:val="NormalWeb"/>
        <w:spacing w:before="0" w:beforeAutospacing="0" w:after="0" w:afterAutospacing="0"/>
        <w:jc w:val="both"/>
        <w:divId w:val="1684360448"/>
        <w:rPr>
          <w:sz w:val="20"/>
          <w:szCs w:val="20"/>
        </w:rPr>
      </w:pPr>
      <w:r>
        <w:rPr>
          <w:rStyle w:val="Strong"/>
          <w:i/>
          <w:iCs/>
          <w:sz w:val="20"/>
          <w:szCs w:val="20"/>
        </w:rPr>
        <w:t xml:space="preserve">Changes in Internal Control over Financial Reporting </w:t>
      </w:r>
    </w:p>
    <w:p w14:paraId="0C6A81F9"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D08F5FC" w14:textId="77777777" w:rsidR="002B5D06" w:rsidRDefault="000B69DD">
      <w:pPr>
        <w:pStyle w:val="NormalWeb"/>
        <w:spacing w:before="0" w:beforeAutospacing="0" w:after="0" w:afterAutospacing="0"/>
        <w:jc w:val="both"/>
        <w:divId w:val="1684360448"/>
        <w:rPr>
          <w:sz w:val="20"/>
          <w:szCs w:val="20"/>
        </w:rPr>
      </w:pPr>
      <w:r>
        <w:rPr>
          <w:sz w:val="20"/>
          <w:szCs w:val="20"/>
        </w:rPr>
        <w:t>During the twelve-month period ended June 30, 2025, there were no changes in our internal control over financial reporting identified in connection with managements evaluation of the effectiveness of our internal control over the financial reporting that have materially affected, or are reasonably likely to materially affect, our internal control over financial reporting as defined in Rules 13a-15(f) and 15d-15(f) under the Exchange Act.</w:t>
      </w:r>
    </w:p>
    <w:p w14:paraId="0BD1BE29"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0878D6E2" w14:textId="77777777" w:rsidR="002B5D06" w:rsidRDefault="000B69DD">
      <w:pPr>
        <w:pStyle w:val="NormalWeb"/>
        <w:spacing w:before="0" w:beforeAutospacing="0" w:after="0" w:afterAutospacing="0"/>
        <w:jc w:val="both"/>
        <w:divId w:val="1684360448"/>
        <w:rPr>
          <w:sz w:val="20"/>
          <w:szCs w:val="20"/>
        </w:rPr>
      </w:pPr>
      <w:r>
        <w:rPr>
          <w:rStyle w:val="atag"/>
          <w:b/>
          <w:bCs/>
          <w:i/>
          <w:iCs/>
          <w:sz w:val="20"/>
          <w:szCs w:val="20"/>
        </w:rPr>
        <w:t>ITEM 9B. OTHER INFORMATION.</w:t>
      </w:r>
    </w:p>
    <w:p w14:paraId="1ED8411E"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 </w:t>
      </w:r>
    </w:p>
    <w:p w14:paraId="6946EB65" w14:textId="77777777" w:rsidR="002B5D06" w:rsidRDefault="000B69DD">
      <w:pPr>
        <w:pStyle w:val="NormalWeb"/>
        <w:spacing w:before="0" w:beforeAutospacing="0" w:after="0" w:afterAutospacing="0"/>
        <w:jc w:val="both"/>
        <w:divId w:val="1684360448"/>
        <w:rPr>
          <w:sz w:val="20"/>
          <w:szCs w:val="20"/>
        </w:rPr>
      </w:pPr>
      <w:r>
        <w:rPr>
          <w:sz w:val="20"/>
          <w:szCs w:val="20"/>
        </w:rPr>
        <w:t>Not applicable.</w:t>
      </w:r>
    </w:p>
    <w:p w14:paraId="60C1772D"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742F744F" w14:textId="77777777">
        <w:trPr>
          <w:divId w:val="1684360448"/>
          <w:trHeight w:val="225"/>
          <w:tblCellSpacing w:w="15" w:type="dxa"/>
          <w:jc w:val="center"/>
        </w:trPr>
        <w:tc>
          <w:tcPr>
            <w:tcW w:w="0" w:type="auto"/>
            <w:vAlign w:val="center"/>
            <w:hideMark/>
          </w:tcPr>
          <w:p w14:paraId="7905F25B" w14:textId="77777777" w:rsidR="002B5D06" w:rsidRDefault="000B69DD">
            <w:pPr>
              <w:rPr>
                <w:rFonts w:eastAsia="Times New Roman"/>
                <w:sz w:val="20"/>
                <w:szCs w:val="20"/>
              </w:rPr>
            </w:pPr>
            <w:r>
              <w:rPr>
                <w:rFonts w:eastAsia="Times New Roman"/>
                <w:sz w:val="20"/>
                <w:szCs w:val="20"/>
              </w:rPr>
              <w:t> </w:t>
            </w:r>
          </w:p>
        </w:tc>
      </w:tr>
      <w:tr w:rsidR="002B5D06" w14:paraId="6CDFEFB4" w14:textId="77777777">
        <w:trPr>
          <w:divId w:val="1684360448"/>
          <w:trHeight w:val="225"/>
          <w:tblCellSpacing w:w="15" w:type="dxa"/>
          <w:jc w:val="center"/>
        </w:trPr>
        <w:tc>
          <w:tcPr>
            <w:tcW w:w="0" w:type="auto"/>
            <w:tcBorders>
              <w:bottom w:val="single" w:sz="6" w:space="0" w:color="000000"/>
            </w:tcBorders>
            <w:vAlign w:val="center"/>
            <w:hideMark/>
          </w:tcPr>
          <w:p w14:paraId="5B8DE03A" w14:textId="77777777" w:rsidR="002B5D06" w:rsidRDefault="000B69DD">
            <w:pPr>
              <w:jc w:val="center"/>
              <w:rPr>
                <w:rFonts w:eastAsia="Times New Roman"/>
                <w:sz w:val="20"/>
                <w:szCs w:val="20"/>
              </w:rPr>
            </w:pPr>
            <w:r>
              <w:rPr>
                <w:rFonts w:eastAsia="Times New Roman"/>
                <w:sz w:val="20"/>
                <w:szCs w:val="20"/>
              </w:rPr>
              <w:t>17</w:t>
            </w:r>
          </w:p>
        </w:tc>
      </w:tr>
      <w:tr w:rsidR="002B5D06" w14:paraId="04837BF9" w14:textId="77777777">
        <w:trPr>
          <w:divId w:val="1684360448"/>
          <w:trHeight w:val="225"/>
          <w:tblCellSpacing w:w="15" w:type="dxa"/>
          <w:jc w:val="center"/>
        </w:trPr>
        <w:tc>
          <w:tcPr>
            <w:tcW w:w="0" w:type="auto"/>
            <w:vAlign w:val="center"/>
            <w:hideMark/>
          </w:tcPr>
          <w:p w14:paraId="65FBB60A" w14:textId="77777777" w:rsidR="002B5D06" w:rsidRDefault="002B5D06">
            <w:pPr>
              <w:rPr>
                <w:rFonts w:eastAsia="Times New Roman"/>
                <w:sz w:val="20"/>
                <w:szCs w:val="20"/>
              </w:rPr>
            </w:pPr>
          </w:p>
        </w:tc>
      </w:tr>
      <w:tr w:rsidR="002B5D06" w14:paraId="49098151" w14:textId="77777777">
        <w:trPr>
          <w:divId w:val="1684360448"/>
          <w:trHeight w:val="225"/>
          <w:tblCellSpacing w:w="15" w:type="dxa"/>
          <w:jc w:val="center"/>
        </w:trPr>
        <w:tc>
          <w:tcPr>
            <w:tcW w:w="0" w:type="auto"/>
            <w:vAlign w:val="center"/>
            <w:hideMark/>
          </w:tcPr>
          <w:p w14:paraId="4337A6DF" w14:textId="77777777" w:rsidR="002B5D06" w:rsidRDefault="002B5D06">
            <w:pPr>
              <w:rPr>
                <w:rFonts w:eastAsia="Times New Roman"/>
                <w:sz w:val="20"/>
                <w:szCs w:val="20"/>
              </w:rPr>
            </w:pPr>
          </w:p>
        </w:tc>
      </w:tr>
    </w:tbl>
    <w:p w14:paraId="0CB2E522"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460D019F" w14:textId="77777777" w:rsidR="002B5D06" w:rsidRDefault="000B69DD">
      <w:pPr>
        <w:pStyle w:val="NormalWeb"/>
        <w:spacing w:before="0" w:beforeAutospacing="0" w:after="0" w:afterAutospacing="0"/>
        <w:divId w:val="1684360448"/>
        <w:rPr>
          <w:sz w:val="20"/>
          <w:szCs w:val="20"/>
        </w:rPr>
      </w:pPr>
      <w:r>
        <w:rPr>
          <w:sz w:val="20"/>
          <w:szCs w:val="20"/>
        </w:rPr>
        <w:t> </w:t>
      </w:r>
    </w:p>
    <w:p w14:paraId="7C041A68" w14:textId="77777777" w:rsidR="002B5D06" w:rsidRDefault="000B69DD">
      <w:pPr>
        <w:pStyle w:val="NormalWeb"/>
        <w:spacing w:before="0" w:beforeAutospacing="0" w:after="0" w:afterAutospacing="0"/>
        <w:jc w:val="both"/>
        <w:divId w:val="1684360448"/>
        <w:rPr>
          <w:sz w:val="20"/>
          <w:szCs w:val="20"/>
        </w:rPr>
      </w:pPr>
      <w:r>
        <w:rPr>
          <w:rStyle w:val="atag"/>
          <w:b/>
          <w:bCs/>
          <w:sz w:val="20"/>
          <w:szCs w:val="20"/>
        </w:rPr>
        <w:t>PART III</w:t>
      </w:r>
    </w:p>
    <w:p w14:paraId="44760C54"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 </w:t>
      </w:r>
    </w:p>
    <w:p w14:paraId="7FC3D8CA" w14:textId="77777777" w:rsidR="002B5D06" w:rsidRDefault="000B69DD">
      <w:pPr>
        <w:pStyle w:val="NormalWeb"/>
        <w:spacing w:before="0" w:beforeAutospacing="0" w:after="0" w:afterAutospacing="0"/>
        <w:jc w:val="both"/>
        <w:divId w:val="1684360448"/>
        <w:rPr>
          <w:sz w:val="20"/>
          <w:szCs w:val="20"/>
        </w:rPr>
      </w:pPr>
      <w:r>
        <w:rPr>
          <w:rStyle w:val="atag"/>
          <w:b/>
          <w:bCs/>
          <w:i/>
          <w:iCs/>
          <w:sz w:val="20"/>
          <w:szCs w:val="20"/>
        </w:rPr>
        <w:t>ITEM 10. DIRECTORS, EXECUTIVE OFFICERS, PROMOTERS, CONTROL PERSONS AND CORPORATE GOVERNANCE: COMPLIANCE WITH SECTION 16(A) OF THE EXCHANGE ACT</w:t>
      </w:r>
    </w:p>
    <w:p w14:paraId="1760BB44"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 </w:t>
      </w:r>
    </w:p>
    <w:p w14:paraId="74FCD92C" w14:textId="77777777" w:rsidR="002B5D06" w:rsidRDefault="000B69DD">
      <w:pPr>
        <w:pStyle w:val="NormalWeb"/>
        <w:spacing w:before="0" w:beforeAutospacing="0" w:after="0" w:afterAutospacing="0"/>
        <w:jc w:val="both"/>
        <w:divId w:val="1684360448"/>
        <w:rPr>
          <w:sz w:val="20"/>
          <w:szCs w:val="20"/>
        </w:rPr>
      </w:pPr>
      <w:r>
        <w:rPr>
          <w:sz w:val="20"/>
          <w:szCs w:val="20"/>
        </w:rPr>
        <w:t>Set forth below is information regarding the Company’s directors and executive officers, including information furnished by them as to their principal occupations for the last five years, other directorships held by them and their ages as of June 30, 2025. All directors are elected for one-year terms, which expire as of the date of the Company’s annual meeting.</w:t>
      </w:r>
    </w:p>
    <w:p w14:paraId="2324530A"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2200"/>
        <w:gridCol w:w="121"/>
        <w:gridCol w:w="488"/>
        <w:gridCol w:w="121"/>
        <w:gridCol w:w="4370"/>
        <w:gridCol w:w="121"/>
        <w:gridCol w:w="1803"/>
        <w:gridCol w:w="136"/>
      </w:tblGrid>
      <w:tr w:rsidR="002B5D06" w14:paraId="0AE30EAA" w14:textId="77777777">
        <w:trPr>
          <w:divId w:val="1684360448"/>
          <w:trHeight w:val="225"/>
          <w:tblCellSpacing w:w="15" w:type="dxa"/>
          <w:jc w:val="center"/>
        </w:trPr>
        <w:tc>
          <w:tcPr>
            <w:tcW w:w="0" w:type="auto"/>
            <w:tcBorders>
              <w:bottom w:val="single" w:sz="6" w:space="0" w:color="auto"/>
            </w:tcBorders>
            <w:vAlign w:val="bottom"/>
            <w:hideMark/>
          </w:tcPr>
          <w:p w14:paraId="43926965" w14:textId="77777777" w:rsidR="002B5D06" w:rsidRDefault="000B69DD">
            <w:pPr>
              <w:pStyle w:val="NormalWeb"/>
              <w:spacing w:before="0" w:beforeAutospacing="0" w:after="0" w:afterAutospacing="0"/>
              <w:rPr>
                <w:sz w:val="20"/>
                <w:szCs w:val="20"/>
              </w:rPr>
            </w:pPr>
            <w:r>
              <w:rPr>
                <w:rStyle w:val="Strong"/>
                <w:sz w:val="20"/>
                <w:szCs w:val="20"/>
              </w:rPr>
              <w:t>Name</w:t>
            </w:r>
          </w:p>
        </w:tc>
        <w:tc>
          <w:tcPr>
            <w:tcW w:w="50" w:type="pct"/>
            <w:vAlign w:val="center"/>
            <w:hideMark/>
          </w:tcPr>
          <w:p w14:paraId="62E21B76" w14:textId="77777777" w:rsidR="002B5D06" w:rsidRDefault="000B69DD">
            <w:pPr>
              <w:pStyle w:val="NormalWeb"/>
              <w:spacing w:before="0" w:beforeAutospacing="0" w:after="0" w:afterAutospacing="0"/>
              <w:rPr>
                <w:sz w:val="20"/>
                <w:szCs w:val="20"/>
              </w:rPr>
            </w:pPr>
            <w:r>
              <w:rPr>
                <w:sz w:val="20"/>
                <w:szCs w:val="20"/>
              </w:rPr>
              <w:t> </w:t>
            </w:r>
          </w:p>
        </w:tc>
        <w:tc>
          <w:tcPr>
            <w:tcW w:w="0" w:type="auto"/>
            <w:tcBorders>
              <w:bottom w:val="single" w:sz="6" w:space="0" w:color="auto"/>
            </w:tcBorders>
            <w:vAlign w:val="center"/>
            <w:hideMark/>
          </w:tcPr>
          <w:p w14:paraId="17445A8E" w14:textId="77777777" w:rsidR="002B5D06" w:rsidRDefault="000B69DD">
            <w:pPr>
              <w:pStyle w:val="NormalWeb"/>
              <w:spacing w:before="0" w:beforeAutospacing="0" w:after="0" w:afterAutospacing="0"/>
              <w:jc w:val="center"/>
              <w:rPr>
                <w:sz w:val="20"/>
                <w:szCs w:val="20"/>
              </w:rPr>
            </w:pPr>
            <w:r>
              <w:rPr>
                <w:rStyle w:val="Strong"/>
                <w:sz w:val="20"/>
                <w:szCs w:val="20"/>
              </w:rPr>
              <w:t>Age</w:t>
            </w:r>
          </w:p>
        </w:tc>
        <w:tc>
          <w:tcPr>
            <w:tcW w:w="50" w:type="pct"/>
            <w:vAlign w:val="center"/>
            <w:hideMark/>
          </w:tcPr>
          <w:p w14:paraId="3452C783" w14:textId="77777777" w:rsidR="002B5D06" w:rsidRDefault="000B69DD">
            <w:pPr>
              <w:pStyle w:val="NormalWeb"/>
              <w:spacing w:before="0" w:beforeAutospacing="0" w:after="0" w:afterAutospacing="0"/>
              <w:rPr>
                <w:sz w:val="20"/>
                <w:szCs w:val="20"/>
              </w:rPr>
            </w:pPr>
            <w:r>
              <w:rPr>
                <w:sz w:val="20"/>
                <w:szCs w:val="20"/>
              </w:rPr>
              <w:t> </w:t>
            </w:r>
          </w:p>
        </w:tc>
        <w:tc>
          <w:tcPr>
            <w:tcW w:w="0" w:type="auto"/>
            <w:tcBorders>
              <w:bottom w:val="single" w:sz="6" w:space="0" w:color="auto"/>
            </w:tcBorders>
            <w:vAlign w:val="bottom"/>
            <w:hideMark/>
          </w:tcPr>
          <w:p w14:paraId="66BCC2D5" w14:textId="77777777" w:rsidR="002B5D06" w:rsidRDefault="000B69DD">
            <w:pPr>
              <w:pStyle w:val="NormalWeb"/>
              <w:spacing w:before="0" w:beforeAutospacing="0" w:after="0" w:afterAutospacing="0"/>
              <w:jc w:val="center"/>
              <w:rPr>
                <w:sz w:val="20"/>
                <w:szCs w:val="20"/>
              </w:rPr>
            </w:pPr>
            <w:r>
              <w:rPr>
                <w:rStyle w:val="Strong"/>
                <w:sz w:val="20"/>
                <w:szCs w:val="20"/>
              </w:rPr>
              <w:t>Position</w:t>
            </w:r>
          </w:p>
        </w:tc>
        <w:tc>
          <w:tcPr>
            <w:tcW w:w="50" w:type="pct"/>
            <w:vAlign w:val="center"/>
            <w:hideMark/>
          </w:tcPr>
          <w:p w14:paraId="728B41D6" w14:textId="77777777" w:rsidR="002B5D06" w:rsidRDefault="000B69DD">
            <w:pPr>
              <w:pStyle w:val="NormalWeb"/>
              <w:spacing w:before="0" w:beforeAutospacing="0" w:after="0" w:afterAutospacing="0"/>
              <w:rPr>
                <w:sz w:val="20"/>
                <w:szCs w:val="20"/>
              </w:rPr>
            </w:pPr>
            <w:r>
              <w:rPr>
                <w:sz w:val="20"/>
                <w:szCs w:val="20"/>
              </w:rPr>
              <w:t> </w:t>
            </w:r>
          </w:p>
        </w:tc>
        <w:tc>
          <w:tcPr>
            <w:tcW w:w="0" w:type="auto"/>
            <w:tcBorders>
              <w:bottom w:val="single" w:sz="6" w:space="0" w:color="auto"/>
            </w:tcBorders>
            <w:vAlign w:val="center"/>
            <w:hideMark/>
          </w:tcPr>
          <w:p w14:paraId="6369B47D" w14:textId="77777777" w:rsidR="002B5D06" w:rsidRDefault="000B69DD">
            <w:pPr>
              <w:pStyle w:val="NormalWeb"/>
              <w:spacing w:before="0" w:beforeAutospacing="0" w:after="0" w:afterAutospacing="0"/>
              <w:jc w:val="center"/>
              <w:rPr>
                <w:sz w:val="20"/>
                <w:szCs w:val="20"/>
              </w:rPr>
            </w:pPr>
            <w:r>
              <w:rPr>
                <w:rStyle w:val="Strong"/>
                <w:sz w:val="20"/>
                <w:szCs w:val="20"/>
              </w:rPr>
              <w:t>Director Since:</w:t>
            </w:r>
          </w:p>
        </w:tc>
        <w:tc>
          <w:tcPr>
            <w:tcW w:w="50" w:type="pct"/>
            <w:tcBorders>
              <w:bottom w:val="single" w:sz="6" w:space="0" w:color="auto"/>
            </w:tcBorders>
            <w:vAlign w:val="center"/>
            <w:hideMark/>
          </w:tcPr>
          <w:p w14:paraId="693E0217" w14:textId="77777777" w:rsidR="002B5D06" w:rsidRDefault="000B69DD">
            <w:pPr>
              <w:pStyle w:val="NormalWeb"/>
              <w:spacing w:before="0" w:beforeAutospacing="0" w:after="0" w:afterAutospacing="0"/>
              <w:jc w:val="center"/>
              <w:rPr>
                <w:sz w:val="20"/>
                <w:szCs w:val="20"/>
              </w:rPr>
            </w:pPr>
            <w:r>
              <w:rPr>
                <w:sz w:val="20"/>
                <w:szCs w:val="20"/>
              </w:rPr>
              <w:t> </w:t>
            </w:r>
          </w:p>
        </w:tc>
      </w:tr>
      <w:tr w:rsidR="002B5D06" w14:paraId="2A514CD0" w14:textId="77777777">
        <w:trPr>
          <w:divId w:val="1684360448"/>
          <w:trHeight w:val="225"/>
          <w:tblCellSpacing w:w="15" w:type="dxa"/>
          <w:jc w:val="center"/>
        </w:trPr>
        <w:tc>
          <w:tcPr>
            <w:tcW w:w="0" w:type="auto"/>
            <w:shd w:val="clear" w:color="auto" w:fill="CCEEFF"/>
            <w:vAlign w:val="bottom"/>
            <w:hideMark/>
          </w:tcPr>
          <w:p w14:paraId="43B64F39" w14:textId="77777777" w:rsidR="002B5D06" w:rsidRDefault="000B69DD">
            <w:pPr>
              <w:pStyle w:val="NormalWeb"/>
              <w:spacing w:before="0" w:beforeAutospacing="0" w:after="0" w:afterAutospacing="0"/>
              <w:rPr>
                <w:sz w:val="20"/>
                <w:szCs w:val="20"/>
              </w:rPr>
            </w:pPr>
            <w:r>
              <w:rPr>
                <w:sz w:val="20"/>
                <w:szCs w:val="20"/>
              </w:rPr>
              <w:t>Robert E. Wolfe</w:t>
            </w:r>
          </w:p>
        </w:tc>
        <w:tc>
          <w:tcPr>
            <w:tcW w:w="0" w:type="auto"/>
            <w:shd w:val="clear" w:color="auto" w:fill="CCEEFF"/>
            <w:vAlign w:val="center"/>
            <w:hideMark/>
          </w:tcPr>
          <w:p w14:paraId="440A11C7"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5158D17D" w14:textId="77777777" w:rsidR="002B5D06" w:rsidRDefault="000B69DD">
            <w:pPr>
              <w:pStyle w:val="NormalWeb"/>
              <w:spacing w:before="0" w:beforeAutospacing="0" w:after="0" w:afterAutospacing="0"/>
              <w:jc w:val="center"/>
              <w:rPr>
                <w:sz w:val="20"/>
                <w:szCs w:val="20"/>
              </w:rPr>
            </w:pPr>
            <w:r>
              <w:rPr>
                <w:sz w:val="20"/>
                <w:szCs w:val="20"/>
              </w:rPr>
              <w:t>62</w:t>
            </w:r>
          </w:p>
        </w:tc>
        <w:tc>
          <w:tcPr>
            <w:tcW w:w="0" w:type="auto"/>
            <w:shd w:val="clear" w:color="auto" w:fill="CCEEFF"/>
            <w:vAlign w:val="center"/>
            <w:hideMark/>
          </w:tcPr>
          <w:p w14:paraId="57698C37"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0734F1BA" w14:textId="77777777" w:rsidR="002B5D06" w:rsidRDefault="000B69DD">
            <w:pPr>
              <w:pStyle w:val="NormalWeb"/>
              <w:spacing w:before="0" w:beforeAutospacing="0" w:after="0" w:afterAutospacing="0"/>
              <w:rPr>
                <w:sz w:val="20"/>
                <w:szCs w:val="20"/>
              </w:rPr>
            </w:pPr>
            <w:r>
              <w:rPr>
                <w:sz w:val="20"/>
                <w:szCs w:val="20"/>
              </w:rPr>
              <w:t>Chairman of the Board, CEO, and CFO</w:t>
            </w:r>
          </w:p>
        </w:tc>
        <w:tc>
          <w:tcPr>
            <w:tcW w:w="0" w:type="auto"/>
            <w:shd w:val="clear" w:color="auto" w:fill="CCEEFF"/>
            <w:vAlign w:val="center"/>
            <w:hideMark/>
          </w:tcPr>
          <w:p w14:paraId="152A1496"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0A6471D2" w14:textId="77777777" w:rsidR="002B5D06" w:rsidRDefault="000B69DD">
            <w:pPr>
              <w:pStyle w:val="NormalWeb"/>
              <w:spacing w:before="0" w:beforeAutospacing="0" w:after="0" w:afterAutospacing="0"/>
              <w:jc w:val="center"/>
              <w:rPr>
                <w:sz w:val="20"/>
                <w:szCs w:val="20"/>
              </w:rPr>
            </w:pPr>
            <w:r>
              <w:rPr>
                <w:sz w:val="20"/>
                <w:szCs w:val="20"/>
              </w:rPr>
              <w:t>1997</w:t>
            </w:r>
          </w:p>
        </w:tc>
        <w:tc>
          <w:tcPr>
            <w:tcW w:w="0" w:type="auto"/>
            <w:shd w:val="clear" w:color="auto" w:fill="CCEEFF"/>
            <w:vAlign w:val="center"/>
            <w:hideMark/>
          </w:tcPr>
          <w:p w14:paraId="4A6F4906" w14:textId="77777777" w:rsidR="002B5D06" w:rsidRDefault="000B69DD">
            <w:pPr>
              <w:pStyle w:val="NormalWeb"/>
              <w:spacing w:before="0" w:beforeAutospacing="0" w:after="0" w:afterAutospacing="0"/>
              <w:rPr>
                <w:sz w:val="20"/>
                <w:szCs w:val="20"/>
              </w:rPr>
            </w:pPr>
            <w:r>
              <w:rPr>
                <w:sz w:val="20"/>
                <w:szCs w:val="20"/>
              </w:rPr>
              <w:t> </w:t>
            </w:r>
          </w:p>
        </w:tc>
      </w:tr>
      <w:tr w:rsidR="002B5D06" w14:paraId="020A1190" w14:textId="77777777">
        <w:trPr>
          <w:divId w:val="1684360448"/>
          <w:trHeight w:val="225"/>
          <w:tblCellSpacing w:w="15" w:type="dxa"/>
          <w:jc w:val="center"/>
        </w:trPr>
        <w:tc>
          <w:tcPr>
            <w:tcW w:w="0" w:type="auto"/>
            <w:shd w:val="clear" w:color="auto" w:fill="FFFFFF"/>
            <w:vAlign w:val="bottom"/>
            <w:hideMark/>
          </w:tcPr>
          <w:p w14:paraId="0BFC950B" w14:textId="77777777" w:rsidR="002B5D06" w:rsidRDefault="000B69DD">
            <w:pPr>
              <w:pStyle w:val="NormalWeb"/>
              <w:spacing w:before="0" w:beforeAutospacing="0" w:after="0" w:afterAutospacing="0"/>
              <w:rPr>
                <w:sz w:val="20"/>
                <w:szCs w:val="20"/>
              </w:rPr>
            </w:pPr>
            <w:r>
              <w:rPr>
                <w:sz w:val="20"/>
                <w:szCs w:val="20"/>
              </w:rPr>
              <w:t>Lawrence Donofrio</w:t>
            </w:r>
          </w:p>
        </w:tc>
        <w:tc>
          <w:tcPr>
            <w:tcW w:w="0" w:type="auto"/>
            <w:shd w:val="clear" w:color="auto" w:fill="FFFFFF"/>
            <w:vAlign w:val="center"/>
            <w:hideMark/>
          </w:tcPr>
          <w:p w14:paraId="73EE736D"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bottom"/>
            <w:hideMark/>
          </w:tcPr>
          <w:p w14:paraId="1DCF11CA" w14:textId="77777777" w:rsidR="002B5D06" w:rsidRDefault="000B69DD">
            <w:pPr>
              <w:pStyle w:val="NormalWeb"/>
              <w:spacing w:before="0" w:beforeAutospacing="0" w:after="0" w:afterAutospacing="0"/>
              <w:jc w:val="center"/>
              <w:rPr>
                <w:sz w:val="20"/>
                <w:szCs w:val="20"/>
              </w:rPr>
            </w:pPr>
            <w:r>
              <w:rPr>
                <w:sz w:val="20"/>
                <w:szCs w:val="20"/>
              </w:rPr>
              <w:t>74</w:t>
            </w:r>
          </w:p>
        </w:tc>
        <w:tc>
          <w:tcPr>
            <w:tcW w:w="0" w:type="auto"/>
            <w:shd w:val="clear" w:color="auto" w:fill="FFFFFF"/>
            <w:vAlign w:val="center"/>
            <w:hideMark/>
          </w:tcPr>
          <w:p w14:paraId="2BEA2928"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bottom"/>
            <w:hideMark/>
          </w:tcPr>
          <w:p w14:paraId="5139B4E7" w14:textId="77777777" w:rsidR="002B5D06" w:rsidRDefault="000B69DD">
            <w:pPr>
              <w:pStyle w:val="NormalWeb"/>
              <w:spacing w:before="0" w:beforeAutospacing="0" w:after="0" w:afterAutospacing="0"/>
              <w:rPr>
                <w:sz w:val="20"/>
                <w:szCs w:val="20"/>
              </w:rPr>
            </w:pPr>
            <w:r>
              <w:rPr>
                <w:sz w:val="20"/>
                <w:szCs w:val="20"/>
              </w:rPr>
              <w:t>Director</w:t>
            </w:r>
          </w:p>
        </w:tc>
        <w:tc>
          <w:tcPr>
            <w:tcW w:w="0" w:type="auto"/>
            <w:shd w:val="clear" w:color="auto" w:fill="FFFFFF"/>
            <w:vAlign w:val="center"/>
            <w:hideMark/>
          </w:tcPr>
          <w:p w14:paraId="2DDDE5CC"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bottom"/>
            <w:hideMark/>
          </w:tcPr>
          <w:p w14:paraId="34C5A1D2" w14:textId="77777777" w:rsidR="002B5D06" w:rsidRDefault="000B69DD">
            <w:pPr>
              <w:pStyle w:val="NormalWeb"/>
              <w:spacing w:before="0" w:beforeAutospacing="0" w:after="0" w:afterAutospacing="0"/>
              <w:jc w:val="center"/>
              <w:rPr>
                <w:sz w:val="20"/>
                <w:szCs w:val="20"/>
              </w:rPr>
            </w:pPr>
            <w:r>
              <w:rPr>
                <w:sz w:val="20"/>
                <w:szCs w:val="20"/>
              </w:rPr>
              <w:t>2003</w:t>
            </w:r>
          </w:p>
        </w:tc>
        <w:tc>
          <w:tcPr>
            <w:tcW w:w="0" w:type="auto"/>
            <w:shd w:val="clear" w:color="auto" w:fill="FFFFFF"/>
            <w:vAlign w:val="center"/>
            <w:hideMark/>
          </w:tcPr>
          <w:p w14:paraId="1CDDBF8C" w14:textId="77777777" w:rsidR="002B5D06" w:rsidRDefault="000B69DD">
            <w:pPr>
              <w:pStyle w:val="NormalWeb"/>
              <w:spacing w:before="0" w:beforeAutospacing="0" w:after="0" w:afterAutospacing="0"/>
              <w:rPr>
                <w:sz w:val="20"/>
                <w:szCs w:val="20"/>
              </w:rPr>
            </w:pPr>
            <w:r>
              <w:rPr>
                <w:sz w:val="20"/>
                <w:szCs w:val="20"/>
              </w:rPr>
              <w:t> </w:t>
            </w:r>
          </w:p>
        </w:tc>
      </w:tr>
    </w:tbl>
    <w:p w14:paraId="57508186"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685E512" w14:textId="77777777" w:rsidR="002B5D06" w:rsidRDefault="000B69DD">
      <w:pPr>
        <w:pStyle w:val="NormalWeb"/>
        <w:spacing w:before="0" w:beforeAutospacing="0" w:after="0" w:afterAutospacing="0"/>
        <w:jc w:val="both"/>
        <w:divId w:val="1684360448"/>
        <w:rPr>
          <w:sz w:val="20"/>
          <w:szCs w:val="20"/>
        </w:rPr>
      </w:pPr>
      <w:r>
        <w:rPr>
          <w:sz w:val="20"/>
          <w:szCs w:val="20"/>
        </w:rPr>
        <w:t>Robert Wolfe has been the Chairman and CEO for Advanced Oxygen Technologies Inc. since 1997. Concurrently he has been the President and CEO of Crossfield, Inc. a corporate consulting company. Renovaro Inc., formerly Enochian Biosciences, Inc. (NASDAQ: “RENB”), a company that engages in the research and development, manufacturing and clinical trials of pharmaceutical and biological products for the human treatment of cancer using the dendritic cell technology appointed Robert Wolfe as the CFO from July 11, 2017 to January 9, 2019 and as the CFO and Director from January 1, 2014 to April 28, 2015. From 1992-1993 he was Vice President and partner for CFI, NY Ltd. A Subsidiary of Corporate Financial Investments, PLC, London.</w:t>
      </w:r>
    </w:p>
    <w:p w14:paraId="19B1C9E5"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49B0E50" w14:textId="77777777" w:rsidR="002B5D06" w:rsidRDefault="000B69DD">
      <w:pPr>
        <w:pStyle w:val="NormalWeb"/>
        <w:spacing w:before="0" w:beforeAutospacing="0" w:after="0" w:afterAutospacing="0"/>
        <w:jc w:val="both"/>
        <w:divId w:val="1684360448"/>
        <w:rPr>
          <w:sz w:val="20"/>
          <w:szCs w:val="20"/>
        </w:rPr>
      </w:pPr>
      <w:r>
        <w:rPr>
          <w:sz w:val="20"/>
          <w:szCs w:val="20"/>
        </w:rPr>
        <w:t>Lawrence Donofrio has been a director of the Company and a member of the Compensation Committee since March 2003. He graduated from Hamilton College with a BA in English studies. He then worked at Citibank for three years as a financial analyst, and five years as a private financial consultant. He then took a position with Bankers Trust for two years and since 1982 has been a private consultant in the financial industry.</w:t>
      </w:r>
    </w:p>
    <w:p w14:paraId="5B80EEC6"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C55085A"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Compliance with Section 16(a) of the Exchange Act</w:t>
      </w:r>
    </w:p>
    <w:p w14:paraId="652E7082"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19F2955" w14:textId="77777777" w:rsidR="002B5D06" w:rsidRDefault="000B69DD">
      <w:pPr>
        <w:pStyle w:val="NormalWeb"/>
        <w:spacing w:before="0" w:beforeAutospacing="0" w:after="0" w:afterAutospacing="0"/>
        <w:jc w:val="both"/>
        <w:divId w:val="1684360448"/>
        <w:rPr>
          <w:sz w:val="20"/>
          <w:szCs w:val="20"/>
        </w:rPr>
      </w:pPr>
      <w:r>
        <w:rPr>
          <w:sz w:val="20"/>
          <w:szCs w:val="20"/>
        </w:rPr>
        <w:t>Section 16(a) of the Securities Exchange Act of 1934, as amended, requires our directors, executive officers and persons who beneficially own more than 10% of a registered class of our securities to file with the SEC reports of ownership and changes in ownership of the common stock and other equity securities. Officers, directors and greater than 10% beneficial owners are required by SEC regulations to furnish us with copies of all Section 16(a) forms they file. No officer, director or Section 16(a) officer has sold or acquired any of our stock during the last calendar year, thus not requiring any reports under Section 16(a) to be filed.</w:t>
      </w:r>
    </w:p>
    <w:p w14:paraId="12017042"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C3C474D"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Audit Committee Financial Expert</w:t>
      </w:r>
    </w:p>
    <w:p w14:paraId="0F883F13"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8E8772B" w14:textId="77777777" w:rsidR="002B5D06" w:rsidRDefault="000B69DD">
      <w:pPr>
        <w:pStyle w:val="NormalWeb"/>
        <w:spacing w:before="0" w:beforeAutospacing="0" w:after="0" w:afterAutospacing="0"/>
        <w:jc w:val="both"/>
        <w:divId w:val="1684360448"/>
        <w:rPr>
          <w:sz w:val="20"/>
          <w:szCs w:val="20"/>
        </w:rPr>
      </w:pPr>
      <w:r>
        <w:rPr>
          <w:sz w:val="20"/>
          <w:szCs w:val="20"/>
        </w:rPr>
        <w:t>As of June 30, 2025, we do not have an audit committee financial expert, as that term is defined in Item 407(d)(5) of Regulation S-B, because at this time our current level of operations and the cost of retaining such a financial expert are prohibitive. The Board of Directors as a whole fulfilled the duties normally assigned to an audit committee.</w:t>
      </w:r>
    </w:p>
    <w:p w14:paraId="0930A077"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988A1D1"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Code of Ethics</w:t>
      </w:r>
    </w:p>
    <w:p w14:paraId="79B48552"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D6B960C" w14:textId="77777777" w:rsidR="002B5D06" w:rsidRDefault="000B69DD">
      <w:pPr>
        <w:pStyle w:val="NormalWeb"/>
        <w:spacing w:before="0" w:beforeAutospacing="0" w:after="0" w:afterAutospacing="0"/>
        <w:jc w:val="both"/>
        <w:divId w:val="1684360448"/>
        <w:rPr>
          <w:sz w:val="20"/>
          <w:szCs w:val="20"/>
        </w:rPr>
      </w:pPr>
      <w:r>
        <w:rPr>
          <w:sz w:val="20"/>
          <w:szCs w:val="20"/>
        </w:rPr>
        <w:t>As of June 30, 2025, we have a code of ethics that applies to our Principal Executive Officer and Principal Financial and Accounting Officer(s) and to all of our staff. While we are a small company, we believe that our code of ethics directs the Company to practice its business in an ethical way.</w:t>
      </w:r>
    </w:p>
    <w:p w14:paraId="43681C8E"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36516F12" w14:textId="77777777">
        <w:trPr>
          <w:divId w:val="1684360448"/>
          <w:trHeight w:val="225"/>
          <w:tblCellSpacing w:w="15" w:type="dxa"/>
          <w:jc w:val="center"/>
        </w:trPr>
        <w:tc>
          <w:tcPr>
            <w:tcW w:w="0" w:type="auto"/>
            <w:vAlign w:val="center"/>
            <w:hideMark/>
          </w:tcPr>
          <w:p w14:paraId="0C1C5765" w14:textId="77777777" w:rsidR="002B5D06" w:rsidRDefault="000B69DD">
            <w:pPr>
              <w:rPr>
                <w:rFonts w:eastAsia="Times New Roman"/>
                <w:sz w:val="20"/>
                <w:szCs w:val="20"/>
              </w:rPr>
            </w:pPr>
            <w:r>
              <w:rPr>
                <w:rFonts w:eastAsia="Times New Roman"/>
                <w:sz w:val="20"/>
                <w:szCs w:val="20"/>
              </w:rPr>
              <w:t> </w:t>
            </w:r>
          </w:p>
        </w:tc>
      </w:tr>
      <w:tr w:rsidR="002B5D06" w14:paraId="52B491B2" w14:textId="77777777">
        <w:trPr>
          <w:divId w:val="1684360448"/>
          <w:trHeight w:val="225"/>
          <w:tblCellSpacing w:w="15" w:type="dxa"/>
          <w:jc w:val="center"/>
        </w:trPr>
        <w:tc>
          <w:tcPr>
            <w:tcW w:w="0" w:type="auto"/>
            <w:tcBorders>
              <w:bottom w:val="single" w:sz="6" w:space="0" w:color="000000"/>
            </w:tcBorders>
            <w:vAlign w:val="center"/>
            <w:hideMark/>
          </w:tcPr>
          <w:p w14:paraId="6D1ED3E9" w14:textId="77777777" w:rsidR="002B5D06" w:rsidRDefault="000B69DD">
            <w:pPr>
              <w:jc w:val="center"/>
              <w:rPr>
                <w:rFonts w:eastAsia="Times New Roman"/>
                <w:sz w:val="20"/>
                <w:szCs w:val="20"/>
              </w:rPr>
            </w:pPr>
            <w:r>
              <w:rPr>
                <w:rFonts w:eastAsia="Times New Roman"/>
                <w:sz w:val="20"/>
                <w:szCs w:val="20"/>
              </w:rPr>
              <w:t>18</w:t>
            </w:r>
          </w:p>
        </w:tc>
      </w:tr>
      <w:tr w:rsidR="002B5D06" w14:paraId="46A55158" w14:textId="77777777">
        <w:trPr>
          <w:divId w:val="1684360448"/>
          <w:trHeight w:val="225"/>
          <w:tblCellSpacing w:w="15" w:type="dxa"/>
          <w:jc w:val="center"/>
        </w:trPr>
        <w:tc>
          <w:tcPr>
            <w:tcW w:w="0" w:type="auto"/>
            <w:vAlign w:val="center"/>
            <w:hideMark/>
          </w:tcPr>
          <w:p w14:paraId="744643D6" w14:textId="77777777" w:rsidR="002B5D06" w:rsidRDefault="002B5D06">
            <w:pPr>
              <w:rPr>
                <w:rFonts w:eastAsia="Times New Roman"/>
                <w:sz w:val="20"/>
                <w:szCs w:val="20"/>
              </w:rPr>
            </w:pPr>
          </w:p>
        </w:tc>
      </w:tr>
      <w:tr w:rsidR="002B5D06" w14:paraId="42185153" w14:textId="77777777">
        <w:trPr>
          <w:divId w:val="1684360448"/>
          <w:trHeight w:val="225"/>
          <w:tblCellSpacing w:w="15" w:type="dxa"/>
          <w:jc w:val="center"/>
        </w:trPr>
        <w:tc>
          <w:tcPr>
            <w:tcW w:w="0" w:type="auto"/>
            <w:vAlign w:val="center"/>
            <w:hideMark/>
          </w:tcPr>
          <w:p w14:paraId="4F2E6653" w14:textId="77777777" w:rsidR="002B5D06" w:rsidRDefault="002B5D06">
            <w:pPr>
              <w:rPr>
                <w:rFonts w:eastAsia="Times New Roman"/>
                <w:sz w:val="20"/>
                <w:szCs w:val="20"/>
              </w:rPr>
            </w:pPr>
          </w:p>
        </w:tc>
      </w:tr>
    </w:tbl>
    <w:p w14:paraId="39F4A875"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79EF5908" w14:textId="77777777" w:rsidR="002B5D06" w:rsidRDefault="000B69DD">
      <w:pPr>
        <w:pStyle w:val="NormalWeb"/>
        <w:spacing w:before="0" w:beforeAutospacing="0" w:after="0" w:afterAutospacing="0"/>
        <w:divId w:val="1684360448"/>
        <w:rPr>
          <w:sz w:val="20"/>
          <w:szCs w:val="20"/>
        </w:rPr>
      </w:pPr>
      <w:r>
        <w:rPr>
          <w:sz w:val="20"/>
          <w:szCs w:val="20"/>
        </w:rPr>
        <w:t> </w:t>
      </w:r>
    </w:p>
    <w:p w14:paraId="6E378183" w14:textId="77777777" w:rsidR="002B5D06" w:rsidRDefault="000B69DD">
      <w:pPr>
        <w:pStyle w:val="NormalWeb"/>
        <w:spacing w:before="0" w:beforeAutospacing="0" w:after="0" w:afterAutospacing="0"/>
        <w:divId w:val="1684360448"/>
        <w:rPr>
          <w:sz w:val="20"/>
          <w:szCs w:val="20"/>
        </w:rPr>
      </w:pPr>
      <w:r>
        <w:rPr>
          <w:rStyle w:val="Strong"/>
          <w:sz w:val="20"/>
          <w:szCs w:val="20"/>
        </w:rPr>
        <w:t xml:space="preserve">Procedure for Nominating Directors </w:t>
      </w:r>
    </w:p>
    <w:p w14:paraId="6270774C"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0F9D906E" w14:textId="77777777" w:rsidR="002B5D06" w:rsidRDefault="000B69DD">
      <w:pPr>
        <w:pStyle w:val="NormalWeb"/>
        <w:spacing w:before="0" w:beforeAutospacing="0" w:after="0" w:afterAutospacing="0"/>
        <w:jc w:val="both"/>
        <w:divId w:val="1684360448"/>
        <w:rPr>
          <w:sz w:val="20"/>
          <w:szCs w:val="20"/>
        </w:rPr>
      </w:pPr>
      <w:r>
        <w:rPr>
          <w:sz w:val="20"/>
          <w:szCs w:val="20"/>
        </w:rPr>
        <w:t>We have not made any material changes to the procedures by which security holders may recommend nominees to our Board of Directors. The Board does not have a written policy or charter regarding how director candidates are evaluated or nominated for the Board. Our directors annually review all director performance over the prior year and make recommendations to the Board of Directors for future nominations.</w:t>
      </w:r>
    </w:p>
    <w:p w14:paraId="2ABA7C11"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F36632E" w14:textId="77777777" w:rsidR="002B5D06" w:rsidRDefault="000B69DD">
      <w:pPr>
        <w:pStyle w:val="NormalWeb"/>
        <w:spacing w:before="0" w:beforeAutospacing="0" w:after="0" w:afterAutospacing="0"/>
        <w:jc w:val="both"/>
        <w:divId w:val="1684360448"/>
        <w:rPr>
          <w:sz w:val="20"/>
          <w:szCs w:val="20"/>
        </w:rPr>
      </w:pPr>
      <w:r>
        <w:rPr>
          <w:rStyle w:val="atag"/>
          <w:b/>
          <w:bCs/>
          <w:i/>
          <w:iCs/>
          <w:sz w:val="20"/>
          <w:szCs w:val="20"/>
        </w:rPr>
        <w:t>ITEM 11. EXECUTIVE COMPENSATION</w:t>
      </w:r>
    </w:p>
    <w:p w14:paraId="7487AEBB"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4471FAB" w14:textId="77777777" w:rsidR="002B5D06" w:rsidRDefault="000B69DD">
      <w:pPr>
        <w:pStyle w:val="NormalWeb"/>
        <w:spacing w:before="0" w:beforeAutospacing="0" w:after="0" w:afterAutospacing="0"/>
        <w:jc w:val="both"/>
        <w:divId w:val="1684360448"/>
        <w:rPr>
          <w:sz w:val="20"/>
          <w:szCs w:val="20"/>
        </w:rPr>
      </w:pPr>
      <w:r>
        <w:rPr>
          <w:sz w:val="20"/>
          <w:szCs w:val="20"/>
        </w:rPr>
        <w:t>Robert Wolfe, Chairman, CEO and CFO waived his $500,000 annual salary for the year ending June 30, 2025 and 2024. No other officer or director received any compensation from the Company during the last fiscal year. The Company paid no bonuses in the last three fiscal years ended June 30, 2025 and 2024 to officers or other employees.</w:t>
      </w:r>
    </w:p>
    <w:p w14:paraId="07968D9C"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5C34CC6" w14:textId="77777777" w:rsidR="002B5D06" w:rsidRDefault="000B69DD">
      <w:pPr>
        <w:pStyle w:val="NormalWeb"/>
        <w:spacing w:before="0" w:beforeAutospacing="0" w:after="0" w:afterAutospacing="0"/>
        <w:jc w:val="both"/>
        <w:divId w:val="1684360448"/>
        <w:rPr>
          <w:sz w:val="20"/>
          <w:szCs w:val="20"/>
        </w:rPr>
      </w:pPr>
      <w:r>
        <w:rPr>
          <w:sz w:val="20"/>
          <w:szCs w:val="20"/>
        </w:rPr>
        <w:t>The following table sets forth the total compensation paid or accrued to its Chief Executive Officer and Chief Financial Officer, Robert E. Wolfe during the fiscal year ending June 30, 2025 and 2024. There were no other corporate officers in any of the last three fiscal years.</w:t>
      </w:r>
    </w:p>
    <w:p w14:paraId="20651D20"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21B1C41"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EXECUTIVE COMPENSATION</w:t>
      </w:r>
    </w:p>
    <w:p w14:paraId="4517DC54"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3335"/>
        <w:gridCol w:w="82"/>
        <w:gridCol w:w="508"/>
        <w:gridCol w:w="82"/>
        <w:gridCol w:w="106"/>
        <w:gridCol w:w="484"/>
        <w:gridCol w:w="82"/>
        <w:gridCol w:w="82"/>
        <w:gridCol w:w="102"/>
        <w:gridCol w:w="488"/>
        <w:gridCol w:w="82"/>
        <w:gridCol w:w="82"/>
        <w:gridCol w:w="202"/>
        <w:gridCol w:w="1062"/>
        <w:gridCol w:w="82"/>
        <w:gridCol w:w="83"/>
        <w:gridCol w:w="121"/>
        <w:gridCol w:w="576"/>
        <w:gridCol w:w="83"/>
        <w:gridCol w:w="83"/>
        <w:gridCol w:w="121"/>
        <w:gridCol w:w="576"/>
        <w:gridCol w:w="83"/>
        <w:gridCol w:w="83"/>
        <w:gridCol w:w="99"/>
        <w:gridCol w:w="493"/>
        <w:gridCol w:w="98"/>
      </w:tblGrid>
      <w:tr w:rsidR="002B5D06" w14:paraId="39D980FF" w14:textId="77777777">
        <w:trPr>
          <w:divId w:val="1684360448"/>
          <w:trHeight w:val="225"/>
          <w:tblCellSpacing w:w="15" w:type="dxa"/>
          <w:jc w:val="center"/>
        </w:trPr>
        <w:tc>
          <w:tcPr>
            <w:tcW w:w="0" w:type="auto"/>
            <w:tcBorders>
              <w:bottom w:val="single" w:sz="6" w:space="0" w:color="auto"/>
            </w:tcBorders>
            <w:vAlign w:val="bottom"/>
            <w:hideMark/>
          </w:tcPr>
          <w:p w14:paraId="3F6C5FE0" w14:textId="77777777" w:rsidR="002B5D06" w:rsidRDefault="000B69DD">
            <w:pPr>
              <w:pStyle w:val="NormalWeb"/>
              <w:spacing w:before="0" w:beforeAutospacing="0" w:after="0" w:afterAutospacing="0"/>
              <w:rPr>
                <w:sz w:val="20"/>
                <w:szCs w:val="20"/>
              </w:rPr>
            </w:pPr>
            <w:r>
              <w:rPr>
                <w:rStyle w:val="Strong"/>
                <w:sz w:val="20"/>
                <w:szCs w:val="20"/>
              </w:rPr>
              <w:t>Name</w:t>
            </w:r>
          </w:p>
        </w:tc>
        <w:tc>
          <w:tcPr>
            <w:tcW w:w="0" w:type="auto"/>
            <w:noWrap/>
            <w:vAlign w:val="center"/>
            <w:hideMark/>
          </w:tcPr>
          <w:p w14:paraId="3BA6FAA7" w14:textId="77777777" w:rsidR="002B5D06" w:rsidRDefault="000B69DD">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vAlign w:val="bottom"/>
            <w:hideMark/>
          </w:tcPr>
          <w:p w14:paraId="0FEAB030" w14:textId="77777777" w:rsidR="002B5D06" w:rsidRDefault="000B69DD">
            <w:pPr>
              <w:pStyle w:val="NormalWeb"/>
              <w:spacing w:before="0" w:beforeAutospacing="0" w:after="0" w:afterAutospacing="0"/>
              <w:jc w:val="center"/>
              <w:rPr>
                <w:sz w:val="20"/>
                <w:szCs w:val="20"/>
              </w:rPr>
            </w:pPr>
            <w:r>
              <w:rPr>
                <w:rStyle w:val="Strong"/>
                <w:sz w:val="20"/>
                <w:szCs w:val="20"/>
              </w:rPr>
              <w:t>Year</w:t>
            </w:r>
          </w:p>
        </w:tc>
        <w:tc>
          <w:tcPr>
            <w:tcW w:w="0" w:type="auto"/>
            <w:noWrap/>
            <w:vAlign w:val="center"/>
            <w:hideMark/>
          </w:tcPr>
          <w:p w14:paraId="3975DAE9" w14:textId="77777777" w:rsidR="002B5D06" w:rsidRDefault="000B69DD">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795BDC55" w14:textId="77777777" w:rsidR="002B5D06" w:rsidRDefault="000B69DD">
            <w:pPr>
              <w:pStyle w:val="NormalWeb"/>
              <w:spacing w:before="0" w:beforeAutospacing="0" w:after="0" w:afterAutospacing="0"/>
              <w:jc w:val="center"/>
              <w:rPr>
                <w:sz w:val="20"/>
                <w:szCs w:val="20"/>
              </w:rPr>
            </w:pPr>
            <w:r>
              <w:rPr>
                <w:rStyle w:val="Strong"/>
                <w:sz w:val="20"/>
                <w:szCs w:val="20"/>
              </w:rPr>
              <w:t>Salary</w:t>
            </w:r>
          </w:p>
        </w:tc>
        <w:tc>
          <w:tcPr>
            <w:tcW w:w="0" w:type="auto"/>
            <w:noWrap/>
            <w:tcMar>
              <w:top w:w="0" w:type="dxa"/>
              <w:left w:w="0" w:type="dxa"/>
              <w:bottom w:w="15" w:type="dxa"/>
              <w:right w:w="0" w:type="dxa"/>
            </w:tcMar>
            <w:vAlign w:val="center"/>
            <w:hideMark/>
          </w:tcPr>
          <w:p w14:paraId="542091DA"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00884479" w14:textId="77777777" w:rsidR="002B5D06" w:rsidRDefault="000B69DD">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06B77522" w14:textId="77777777" w:rsidR="002B5D06" w:rsidRDefault="000B69DD">
            <w:pPr>
              <w:pStyle w:val="NormalWeb"/>
              <w:spacing w:before="0" w:beforeAutospacing="0" w:after="0" w:afterAutospacing="0"/>
              <w:jc w:val="center"/>
              <w:rPr>
                <w:sz w:val="20"/>
                <w:szCs w:val="20"/>
              </w:rPr>
            </w:pPr>
            <w:r>
              <w:rPr>
                <w:rStyle w:val="Strong"/>
                <w:sz w:val="20"/>
                <w:szCs w:val="20"/>
              </w:rPr>
              <w:t>Bonus</w:t>
            </w:r>
          </w:p>
        </w:tc>
        <w:tc>
          <w:tcPr>
            <w:tcW w:w="0" w:type="auto"/>
            <w:noWrap/>
            <w:tcMar>
              <w:top w:w="0" w:type="dxa"/>
              <w:left w:w="0" w:type="dxa"/>
              <w:bottom w:w="15" w:type="dxa"/>
              <w:right w:w="0" w:type="dxa"/>
            </w:tcMar>
            <w:vAlign w:val="center"/>
            <w:hideMark/>
          </w:tcPr>
          <w:p w14:paraId="47153C0B"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14AD5B29" w14:textId="77777777" w:rsidR="002B5D06" w:rsidRDefault="000B69DD">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598EF7EE" w14:textId="77777777" w:rsidR="002B5D06" w:rsidRDefault="000B69DD">
            <w:pPr>
              <w:pStyle w:val="NormalWeb"/>
              <w:spacing w:before="0" w:beforeAutospacing="0" w:after="0" w:afterAutospacing="0"/>
              <w:jc w:val="center"/>
              <w:rPr>
                <w:sz w:val="20"/>
                <w:szCs w:val="20"/>
              </w:rPr>
            </w:pPr>
            <w:r>
              <w:rPr>
                <w:rStyle w:val="Strong"/>
                <w:sz w:val="20"/>
                <w:szCs w:val="20"/>
              </w:rPr>
              <w:t>Compensation</w:t>
            </w:r>
          </w:p>
        </w:tc>
        <w:tc>
          <w:tcPr>
            <w:tcW w:w="0" w:type="auto"/>
            <w:noWrap/>
            <w:tcMar>
              <w:top w:w="0" w:type="dxa"/>
              <w:left w:w="0" w:type="dxa"/>
              <w:bottom w:w="15" w:type="dxa"/>
              <w:right w:w="0" w:type="dxa"/>
            </w:tcMar>
            <w:vAlign w:val="center"/>
            <w:hideMark/>
          </w:tcPr>
          <w:p w14:paraId="5CCA3C9A"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5583C34D" w14:textId="77777777" w:rsidR="002B5D06" w:rsidRDefault="000B69DD">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3AE83545" w14:textId="77777777" w:rsidR="002B5D06" w:rsidRDefault="000B69DD">
            <w:pPr>
              <w:pStyle w:val="NormalWeb"/>
              <w:spacing w:before="0" w:beforeAutospacing="0" w:after="0" w:afterAutospacing="0"/>
              <w:jc w:val="center"/>
              <w:rPr>
                <w:sz w:val="20"/>
                <w:szCs w:val="20"/>
              </w:rPr>
            </w:pPr>
            <w:r>
              <w:rPr>
                <w:rStyle w:val="Strong"/>
                <w:sz w:val="20"/>
                <w:szCs w:val="20"/>
              </w:rPr>
              <w:t>Awards</w:t>
            </w:r>
          </w:p>
        </w:tc>
        <w:tc>
          <w:tcPr>
            <w:tcW w:w="0" w:type="auto"/>
            <w:noWrap/>
            <w:tcMar>
              <w:top w:w="0" w:type="dxa"/>
              <w:left w:w="0" w:type="dxa"/>
              <w:bottom w:w="15" w:type="dxa"/>
              <w:right w:w="0" w:type="dxa"/>
            </w:tcMar>
            <w:vAlign w:val="center"/>
            <w:hideMark/>
          </w:tcPr>
          <w:p w14:paraId="795058CD"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1A6BAE48" w14:textId="77777777" w:rsidR="002B5D06" w:rsidRDefault="000B69DD">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3009B2BC" w14:textId="77777777" w:rsidR="002B5D06" w:rsidRDefault="000B69DD">
            <w:pPr>
              <w:pStyle w:val="NormalWeb"/>
              <w:spacing w:before="0" w:beforeAutospacing="0" w:after="0" w:afterAutospacing="0"/>
              <w:jc w:val="center"/>
              <w:rPr>
                <w:sz w:val="20"/>
                <w:szCs w:val="20"/>
              </w:rPr>
            </w:pPr>
            <w:r>
              <w:rPr>
                <w:rStyle w:val="Strong"/>
                <w:sz w:val="20"/>
                <w:szCs w:val="20"/>
              </w:rPr>
              <w:t>Awards</w:t>
            </w:r>
          </w:p>
        </w:tc>
        <w:tc>
          <w:tcPr>
            <w:tcW w:w="0" w:type="auto"/>
            <w:noWrap/>
            <w:tcMar>
              <w:top w:w="0" w:type="dxa"/>
              <w:left w:w="0" w:type="dxa"/>
              <w:bottom w:w="15" w:type="dxa"/>
              <w:right w:w="0" w:type="dxa"/>
            </w:tcMar>
            <w:vAlign w:val="center"/>
            <w:hideMark/>
          </w:tcPr>
          <w:p w14:paraId="7F1AA112"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3BA23A62" w14:textId="77777777" w:rsidR="002B5D06" w:rsidRDefault="000B69DD">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59A68B68" w14:textId="77777777" w:rsidR="002B5D06" w:rsidRDefault="000B69DD">
            <w:pPr>
              <w:pStyle w:val="NormalWeb"/>
              <w:spacing w:before="0" w:beforeAutospacing="0" w:after="0" w:afterAutospacing="0"/>
              <w:jc w:val="center"/>
              <w:rPr>
                <w:sz w:val="20"/>
                <w:szCs w:val="20"/>
              </w:rPr>
            </w:pPr>
            <w:r>
              <w:rPr>
                <w:rStyle w:val="Strong"/>
                <w:sz w:val="20"/>
                <w:szCs w:val="20"/>
              </w:rPr>
              <w:t>Other</w:t>
            </w:r>
          </w:p>
        </w:tc>
        <w:tc>
          <w:tcPr>
            <w:tcW w:w="0" w:type="auto"/>
            <w:noWrap/>
            <w:tcMar>
              <w:top w:w="0" w:type="dxa"/>
              <w:left w:w="0" w:type="dxa"/>
              <w:bottom w:w="15" w:type="dxa"/>
              <w:right w:w="0" w:type="dxa"/>
            </w:tcMar>
            <w:vAlign w:val="center"/>
            <w:hideMark/>
          </w:tcPr>
          <w:p w14:paraId="653EEB65" w14:textId="77777777" w:rsidR="002B5D06" w:rsidRDefault="000B69DD">
            <w:pPr>
              <w:pStyle w:val="NormalWeb"/>
              <w:spacing w:before="0" w:beforeAutospacing="0" w:after="0" w:afterAutospacing="0"/>
              <w:rPr>
                <w:sz w:val="20"/>
                <w:szCs w:val="20"/>
              </w:rPr>
            </w:pPr>
            <w:r>
              <w:rPr>
                <w:sz w:val="20"/>
                <w:szCs w:val="20"/>
              </w:rPr>
              <w:t> </w:t>
            </w:r>
          </w:p>
        </w:tc>
      </w:tr>
      <w:tr w:rsidR="002B5D06" w14:paraId="48F4551E" w14:textId="77777777">
        <w:trPr>
          <w:divId w:val="1684360448"/>
          <w:trHeight w:val="225"/>
          <w:tblCellSpacing w:w="15" w:type="dxa"/>
          <w:jc w:val="center"/>
        </w:trPr>
        <w:tc>
          <w:tcPr>
            <w:tcW w:w="0" w:type="auto"/>
            <w:vAlign w:val="center"/>
            <w:hideMark/>
          </w:tcPr>
          <w:p w14:paraId="6836816A"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0E0FA3FD" w14:textId="77777777" w:rsidR="002B5D06" w:rsidRDefault="000B69DD">
            <w:pPr>
              <w:pStyle w:val="NormalWeb"/>
              <w:spacing w:before="0" w:beforeAutospacing="0" w:after="0" w:afterAutospacing="0"/>
              <w:rPr>
                <w:sz w:val="20"/>
                <w:szCs w:val="20"/>
              </w:rPr>
            </w:pPr>
            <w:r>
              <w:rPr>
                <w:sz w:val="20"/>
                <w:szCs w:val="20"/>
              </w:rPr>
              <w:t> </w:t>
            </w:r>
          </w:p>
        </w:tc>
        <w:tc>
          <w:tcPr>
            <w:tcW w:w="300" w:type="pct"/>
            <w:vAlign w:val="center"/>
            <w:hideMark/>
          </w:tcPr>
          <w:p w14:paraId="0912EAA5"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35C0653A" w14:textId="77777777" w:rsidR="002B5D06" w:rsidRDefault="000B69DD">
            <w:pPr>
              <w:pStyle w:val="NormalWeb"/>
              <w:spacing w:before="0" w:beforeAutospacing="0" w:after="0" w:afterAutospacing="0"/>
              <w:rPr>
                <w:sz w:val="20"/>
                <w:szCs w:val="20"/>
              </w:rPr>
            </w:pPr>
            <w:r>
              <w:rPr>
                <w:sz w:val="20"/>
                <w:szCs w:val="20"/>
              </w:rPr>
              <w:t> </w:t>
            </w:r>
          </w:p>
        </w:tc>
        <w:tc>
          <w:tcPr>
            <w:tcW w:w="300" w:type="pct"/>
            <w:gridSpan w:val="2"/>
            <w:vAlign w:val="center"/>
            <w:hideMark/>
          </w:tcPr>
          <w:p w14:paraId="30F83F22"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3E9AC5C1"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52A1651D" w14:textId="77777777" w:rsidR="002B5D06" w:rsidRDefault="000B69DD">
            <w:pPr>
              <w:pStyle w:val="NormalWeb"/>
              <w:spacing w:before="0" w:beforeAutospacing="0" w:after="0" w:afterAutospacing="0"/>
              <w:rPr>
                <w:sz w:val="20"/>
                <w:szCs w:val="20"/>
              </w:rPr>
            </w:pPr>
            <w:r>
              <w:rPr>
                <w:sz w:val="20"/>
                <w:szCs w:val="20"/>
              </w:rPr>
              <w:t> </w:t>
            </w:r>
          </w:p>
        </w:tc>
        <w:tc>
          <w:tcPr>
            <w:tcW w:w="300" w:type="pct"/>
            <w:gridSpan w:val="2"/>
            <w:vAlign w:val="center"/>
            <w:hideMark/>
          </w:tcPr>
          <w:p w14:paraId="14B0E7DF"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61BC23C9"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09B5C4B1" w14:textId="77777777" w:rsidR="002B5D06" w:rsidRDefault="000B69DD">
            <w:pPr>
              <w:pStyle w:val="NormalWeb"/>
              <w:spacing w:before="0" w:beforeAutospacing="0" w:after="0" w:afterAutospacing="0"/>
              <w:rPr>
                <w:sz w:val="20"/>
                <w:szCs w:val="20"/>
              </w:rPr>
            </w:pPr>
            <w:r>
              <w:rPr>
                <w:sz w:val="20"/>
                <w:szCs w:val="20"/>
              </w:rPr>
              <w:t> </w:t>
            </w:r>
          </w:p>
        </w:tc>
        <w:tc>
          <w:tcPr>
            <w:tcW w:w="300" w:type="pct"/>
            <w:gridSpan w:val="2"/>
            <w:vAlign w:val="center"/>
            <w:hideMark/>
          </w:tcPr>
          <w:p w14:paraId="1D4778A5"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59EC0A36"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4F50A344" w14:textId="77777777" w:rsidR="002B5D06" w:rsidRDefault="000B69DD">
            <w:pPr>
              <w:pStyle w:val="NormalWeb"/>
              <w:spacing w:before="0" w:beforeAutospacing="0" w:after="0" w:afterAutospacing="0"/>
              <w:rPr>
                <w:sz w:val="20"/>
                <w:szCs w:val="20"/>
              </w:rPr>
            </w:pPr>
            <w:r>
              <w:rPr>
                <w:sz w:val="20"/>
                <w:szCs w:val="20"/>
              </w:rPr>
              <w:t> </w:t>
            </w:r>
          </w:p>
        </w:tc>
        <w:tc>
          <w:tcPr>
            <w:tcW w:w="300" w:type="pct"/>
            <w:gridSpan w:val="2"/>
            <w:vAlign w:val="center"/>
            <w:hideMark/>
          </w:tcPr>
          <w:p w14:paraId="639445E3"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4A49FBAB"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13489FAC" w14:textId="77777777" w:rsidR="002B5D06" w:rsidRDefault="000B69DD">
            <w:pPr>
              <w:pStyle w:val="NormalWeb"/>
              <w:spacing w:before="0" w:beforeAutospacing="0" w:after="0" w:afterAutospacing="0"/>
              <w:rPr>
                <w:sz w:val="20"/>
                <w:szCs w:val="20"/>
              </w:rPr>
            </w:pPr>
            <w:r>
              <w:rPr>
                <w:sz w:val="20"/>
                <w:szCs w:val="20"/>
              </w:rPr>
              <w:t> </w:t>
            </w:r>
          </w:p>
        </w:tc>
        <w:tc>
          <w:tcPr>
            <w:tcW w:w="300" w:type="pct"/>
            <w:gridSpan w:val="2"/>
            <w:vAlign w:val="center"/>
            <w:hideMark/>
          </w:tcPr>
          <w:p w14:paraId="64224713"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120D8995"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2C63DF43" w14:textId="77777777" w:rsidR="002B5D06" w:rsidRDefault="000B69DD">
            <w:pPr>
              <w:pStyle w:val="NormalWeb"/>
              <w:spacing w:before="0" w:beforeAutospacing="0" w:after="0" w:afterAutospacing="0"/>
              <w:rPr>
                <w:sz w:val="20"/>
                <w:szCs w:val="20"/>
              </w:rPr>
            </w:pPr>
            <w:r>
              <w:rPr>
                <w:sz w:val="20"/>
                <w:szCs w:val="20"/>
              </w:rPr>
              <w:t> </w:t>
            </w:r>
          </w:p>
        </w:tc>
        <w:tc>
          <w:tcPr>
            <w:tcW w:w="300" w:type="pct"/>
            <w:gridSpan w:val="2"/>
            <w:vAlign w:val="center"/>
            <w:hideMark/>
          </w:tcPr>
          <w:p w14:paraId="0E78E7C8"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4F60A059" w14:textId="77777777" w:rsidR="002B5D06" w:rsidRDefault="000B69DD">
            <w:pPr>
              <w:pStyle w:val="NormalWeb"/>
              <w:spacing w:before="0" w:beforeAutospacing="0" w:after="0" w:afterAutospacing="0"/>
              <w:rPr>
                <w:sz w:val="20"/>
                <w:szCs w:val="20"/>
              </w:rPr>
            </w:pPr>
            <w:r>
              <w:rPr>
                <w:sz w:val="20"/>
                <w:szCs w:val="20"/>
              </w:rPr>
              <w:t> </w:t>
            </w:r>
          </w:p>
        </w:tc>
      </w:tr>
      <w:tr w:rsidR="000B69DD" w14:paraId="3D297702" w14:textId="77777777">
        <w:trPr>
          <w:divId w:val="1684360448"/>
          <w:trHeight w:val="225"/>
          <w:tblCellSpacing w:w="15" w:type="dxa"/>
          <w:jc w:val="center"/>
        </w:trPr>
        <w:tc>
          <w:tcPr>
            <w:tcW w:w="0" w:type="auto"/>
            <w:shd w:val="clear" w:color="auto" w:fill="CCEEFF"/>
            <w:hideMark/>
          </w:tcPr>
          <w:p w14:paraId="6072311E" w14:textId="77777777" w:rsidR="002B5D06" w:rsidRDefault="000B69DD">
            <w:pPr>
              <w:pStyle w:val="NormalWeb"/>
              <w:spacing w:before="0" w:beforeAutospacing="0" w:after="0" w:afterAutospacing="0"/>
              <w:rPr>
                <w:sz w:val="20"/>
                <w:szCs w:val="20"/>
              </w:rPr>
            </w:pPr>
            <w:r>
              <w:rPr>
                <w:sz w:val="20"/>
                <w:szCs w:val="20"/>
              </w:rPr>
              <w:t>Robert E. Wolfe</w:t>
            </w:r>
          </w:p>
        </w:tc>
        <w:tc>
          <w:tcPr>
            <w:tcW w:w="50" w:type="pct"/>
            <w:shd w:val="clear" w:color="auto" w:fill="CCEEFF"/>
            <w:noWrap/>
            <w:vAlign w:val="center"/>
            <w:hideMark/>
          </w:tcPr>
          <w:p w14:paraId="17D34835"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vAlign w:val="center"/>
            <w:hideMark/>
          </w:tcPr>
          <w:p w14:paraId="1F85D9D8" w14:textId="77777777" w:rsidR="002B5D06" w:rsidRDefault="000B69DD">
            <w:pPr>
              <w:pStyle w:val="NormalWeb"/>
              <w:spacing w:before="0" w:beforeAutospacing="0" w:after="0" w:afterAutospacing="0"/>
              <w:jc w:val="right"/>
              <w:rPr>
                <w:sz w:val="20"/>
                <w:szCs w:val="20"/>
              </w:rPr>
            </w:pPr>
            <w:r>
              <w:rPr>
                <w:sz w:val="20"/>
                <w:szCs w:val="20"/>
              </w:rPr>
              <w:t>2025</w:t>
            </w:r>
          </w:p>
        </w:tc>
        <w:tc>
          <w:tcPr>
            <w:tcW w:w="50" w:type="pct"/>
            <w:shd w:val="clear" w:color="auto" w:fill="CCEEFF"/>
            <w:noWrap/>
            <w:vAlign w:val="center"/>
            <w:hideMark/>
          </w:tcPr>
          <w:p w14:paraId="6D02FCF9"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6AFBD91"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3F0826BD"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36C2E9F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E958EC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A925189"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5A4EE34A"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F7264B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28EFB0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2420680"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7A00421A"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76F4DBF9"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AA7DB7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49B2F63"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5075A38F"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C10807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01C1A3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1265512"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769A6A01"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CE199B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5D36E0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B30ED3D"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4F0A302D"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54E7014B" w14:textId="77777777" w:rsidR="002B5D06" w:rsidRDefault="000B69DD">
            <w:pPr>
              <w:pStyle w:val="NormalWeb"/>
              <w:spacing w:before="0" w:beforeAutospacing="0" w:after="0" w:afterAutospacing="0"/>
              <w:rPr>
                <w:sz w:val="20"/>
                <w:szCs w:val="20"/>
              </w:rPr>
            </w:pPr>
            <w:r>
              <w:rPr>
                <w:sz w:val="20"/>
                <w:szCs w:val="20"/>
              </w:rPr>
              <w:t> </w:t>
            </w:r>
          </w:p>
        </w:tc>
      </w:tr>
      <w:tr w:rsidR="000B69DD" w14:paraId="27486748" w14:textId="77777777">
        <w:trPr>
          <w:divId w:val="1684360448"/>
          <w:trHeight w:val="225"/>
          <w:tblCellSpacing w:w="15" w:type="dxa"/>
          <w:jc w:val="center"/>
        </w:trPr>
        <w:tc>
          <w:tcPr>
            <w:tcW w:w="0" w:type="auto"/>
            <w:shd w:val="clear" w:color="auto" w:fill="FFFFFF"/>
            <w:vAlign w:val="center"/>
            <w:hideMark/>
          </w:tcPr>
          <w:p w14:paraId="7AC75C9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D3911E2"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216FE7F1" w14:textId="77777777" w:rsidR="002B5D06" w:rsidRDefault="000B69DD">
            <w:pPr>
              <w:pStyle w:val="NormalWeb"/>
              <w:spacing w:before="0" w:beforeAutospacing="0" w:after="0" w:afterAutospacing="0"/>
              <w:jc w:val="right"/>
              <w:rPr>
                <w:sz w:val="20"/>
                <w:szCs w:val="20"/>
              </w:rPr>
            </w:pPr>
            <w:r>
              <w:rPr>
                <w:sz w:val="20"/>
                <w:szCs w:val="20"/>
              </w:rPr>
              <w:t>2024</w:t>
            </w:r>
          </w:p>
        </w:tc>
        <w:tc>
          <w:tcPr>
            <w:tcW w:w="50" w:type="pct"/>
            <w:shd w:val="clear" w:color="auto" w:fill="FFFFFF"/>
            <w:noWrap/>
            <w:vAlign w:val="center"/>
            <w:hideMark/>
          </w:tcPr>
          <w:p w14:paraId="5D21BE0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284C6B8"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6AC8846A"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298CD53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ADC587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23A19D5"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59FDC2FD"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72E501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6C400B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85D1FE9"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579E11E6"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66217FB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E2E7809"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7BFCD35"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24303F3A"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69F646C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806D8D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9B8F2E4"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374ADF4F"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4E65A24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C10648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BEE4360"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4E9B7EA9"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3E56E97E" w14:textId="77777777" w:rsidR="002B5D06" w:rsidRDefault="000B69DD">
            <w:pPr>
              <w:pStyle w:val="NormalWeb"/>
              <w:spacing w:before="0" w:beforeAutospacing="0" w:after="0" w:afterAutospacing="0"/>
              <w:rPr>
                <w:sz w:val="20"/>
                <w:szCs w:val="20"/>
              </w:rPr>
            </w:pPr>
            <w:r>
              <w:rPr>
                <w:sz w:val="20"/>
                <w:szCs w:val="20"/>
              </w:rPr>
              <w:t> </w:t>
            </w:r>
          </w:p>
        </w:tc>
      </w:tr>
    </w:tbl>
    <w:p w14:paraId="1FAF0D33"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99A216A"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EMPLOYMENT AGREEMENTS</w:t>
      </w:r>
    </w:p>
    <w:p w14:paraId="4900A8B6"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95539B7" w14:textId="77777777" w:rsidR="002B5D06" w:rsidRDefault="000B69DD">
      <w:pPr>
        <w:pStyle w:val="NormalWeb"/>
        <w:spacing w:before="0" w:beforeAutospacing="0" w:after="0" w:afterAutospacing="0"/>
        <w:jc w:val="both"/>
        <w:divId w:val="1684360448"/>
        <w:rPr>
          <w:sz w:val="20"/>
          <w:szCs w:val="20"/>
        </w:rPr>
      </w:pPr>
      <w:r>
        <w:rPr>
          <w:sz w:val="20"/>
          <w:szCs w:val="20"/>
        </w:rPr>
        <w:t>We do not currently have any oral or written employment contracts, severance or change-in-control agreements with any of our executive officers.</w:t>
      </w:r>
    </w:p>
    <w:p w14:paraId="1593F507"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82BD552"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OPTION GRANTS DURING 2025; VALUE OF OPTIONS AT YEAR-END</w:t>
      </w:r>
    </w:p>
    <w:p w14:paraId="74A3AB70"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5F4E32B" w14:textId="77777777" w:rsidR="002B5D06" w:rsidRDefault="000B69DD">
      <w:pPr>
        <w:pStyle w:val="NormalWeb"/>
        <w:spacing w:before="0" w:beforeAutospacing="0" w:after="0" w:afterAutospacing="0"/>
        <w:jc w:val="both"/>
        <w:divId w:val="1684360448"/>
        <w:rPr>
          <w:sz w:val="20"/>
          <w:szCs w:val="20"/>
        </w:rPr>
      </w:pPr>
      <w:r>
        <w:rPr>
          <w:sz w:val="20"/>
          <w:szCs w:val="20"/>
        </w:rPr>
        <w:t>The following tables set forth certain information covering the grant of options to the Company’s Chief Executive Officer and Chief Financial Officer, Robert E. Wolfe during the fiscal year ended June 30, 2025 and unexercised options held as of that date. Mr. Wolfe did not exercise any options during fiscal 2025.</w:t>
      </w:r>
    </w:p>
    <w:p w14:paraId="5EBBCFA5"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3494"/>
        <w:gridCol w:w="86"/>
        <w:gridCol w:w="111"/>
        <w:gridCol w:w="758"/>
        <w:gridCol w:w="87"/>
        <w:gridCol w:w="87"/>
        <w:gridCol w:w="95"/>
        <w:gridCol w:w="775"/>
        <w:gridCol w:w="87"/>
        <w:gridCol w:w="87"/>
        <w:gridCol w:w="88"/>
        <w:gridCol w:w="782"/>
        <w:gridCol w:w="87"/>
        <w:gridCol w:w="87"/>
        <w:gridCol w:w="100"/>
        <w:gridCol w:w="770"/>
        <w:gridCol w:w="87"/>
        <w:gridCol w:w="87"/>
        <w:gridCol w:w="175"/>
        <w:gridCol w:w="1328"/>
        <w:gridCol w:w="102"/>
      </w:tblGrid>
      <w:tr w:rsidR="002B5D06" w14:paraId="0FDAA82F" w14:textId="77777777">
        <w:trPr>
          <w:divId w:val="1684360448"/>
          <w:trHeight w:val="225"/>
          <w:tblCellSpacing w:w="15" w:type="dxa"/>
          <w:jc w:val="center"/>
        </w:trPr>
        <w:tc>
          <w:tcPr>
            <w:tcW w:w="0" w:type="auto"/>
            <w:tcBorders>
              <w:bottom w:val="single" w:sz="6" w:space="0" w:color="auto"/>
            </w:tcBorders>
            <w:vAlign w:val="bottom"/>
            <w:hideMark/>
          </w:tcPr>
          <w:p w14:paraId="6619E3C7" w14:textId="77777777" w:rsidR="002B5D06" w:rsidRDefault="000B69DD">
            <w:pPr>
              <w:pStyle w:val="NormalWeb"/>
              <w:spacing w:before="0" w:beforeAutospacing="0" w:after="0" w:afterAutospacing="0"/>
              <w:rPr>
                <w:sz w:val="20"/>
                <w:szCs w:val="20"/>
              </w:rPr>
            </w:pPr>
            <w:r>
              <w:rPr>
                <w:rStyle w:val="Strong"/>
                <w:sz w:val="20"/>
                <w:szCs w:val="20"/>
              </w:rPr>
              <w:t>Name</w:t>
            </w:r>
          </w:p>
        </w:tc>
        <w:tc>
          <w:tcPr>
            <w:tcW w:w="0" w:type="auto"/>
            <w:noWrap/>
            <w:vAlign w:val="center"/>
            <w:hideMark/>
          </w:tcPr>
          <w:p w14:paraId="0A442648"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737D5B97" w14:textId="77777777" w:rsidR="002B5D06" w:rsidRDefault="000B69DD">
            <w:pPr>
              <w:pStyle w:val="NormalWeb"/>
              <w:spacing w:before="0" w:beforeAutospacing="0" w:after="0" w:afterAutospacing="0"/>
              <w:jc w:val="center"/>
              <w:rPr>
                <w:sz w:val="20"/>
                <w:szCs w:val="20"/>
              </w:rPr>
            </w:pPr>
            <w:r>
              <w:rPr>
                <w:rStyle w:val="Strong"/>
                <w:sz w:val="20"/>
                <w:szCs w:val="20"/>
              </w:rPr>
              <w:t># of Securities</w:t>
            </w:r>
          </w:p>
        </w:tc>
        <w:tc>
          <w:tcPr>
            <w:tcW w:w="0" w:type="auto"/>
            <w:noWrap/>
            <w:tcMar>
              <w:top w:w="0" w:type="dxa"/>
              <w:left w:w="0" w:type="dxa"/>
              <w:bottom w:w="15" w:type="dxa"/>
              <w:right w:w="0" w:type="dxa"/>
            </w:tcMar>
            <w:vAlign w:val="center"/>
            <w:hideMark/>
          </w:tcPr>
          <w:p w14:paraId="2B2F9BFB"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5C7FA3DB"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7BDE0D3" w14:textId="77777777" w:rsidR="002B5D06" w:rsidRDefault="000B69DD">
            <w:pPr>
              <w:pStyle w:val="NormalWeb"/>
              <w:spacing w:before="0" w:beforeAutospacing="0" w:after="0" w:afterAutospacing="0"/>
              <w:jc w:val="center"/>
              <w:rPr>
                <w:sz w:val="20"/>
                <w:szCs w:val="20"/>
              </w:rPr>
            </w:pPr>
            <w:r>
              <w:rPr>
                <w:rStyle w:val="Strong"/>
                <w:sz w:val="20"/>
                <w:szCs w:val="20"/>
              </w:rPr>
              <w:t>% Total Options</w:t>
            </w:r>
          </w:p>
        </w:tc>
        <w:tc>
          <w:tcPr>
            <w:tcW w:w="0" w:type="auto"/>
            <w:noWrap/>
            <w:tcMar>
              <w:top w:w="0" w:type="dxa"/>
              <w:left w:w="0" w:type="dxa"/>
              <w:bottom w:w="15" w:type="dxa"/>
              <w:right w:w="0" w:type="dxa"/>
            </w:tcMar>
            <w:vAlign w:val="center"/>
            <w:hideMark/>
          </w:tcPr>
          <w:p w14:paraId="3A66D771"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1663ED42"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291C356" w14:textId="77777777" w:rsidR="002B5D06" w:rsidRDefault="000B69DD">
            <w:pPr>
              <w:pStyle w:val="NormalWeb"/>
              <w:spacing w:before="0" w:beforeAutospacing="0" w:after="0" w:afterAutospacing="0"/>
              <w:jc w:val="center"/>
              <w:rPr>
                <w:sz w:val="20"/>
                <w:szCs w:val="20"/>
              </w:rPr>
            </w:pPr>
            <w:r>
              <w:rPr>
                <w:rStyle w:val="Strong"/>
                <w:sz w:val="20"/>
                <w:szCs w:val="20"/>
              </w:rPr>
              <w:t>Option Price</w:t>
            </w:r>
          </w:p>
        </w:tc>
        <w:tc>
          <w:tcPr>
            <w:tcW w:w="0" w:type="auto"/>
            <w:noWrap/>
            <w:tcMar>
              <w:top w:w="0" w:type="dxa"/>
              <w:left w:w="0" w:type="dxa"/>
              <w:bottom w:w="15" w:type="dxa"/>
              <w:right w:w="0" w:type="dxa"/>
            </w:tcMar>
            <w:vAlign w:val="center"/>
            <w:hideMark/>
          </w:tcPr>
          <w:p w14:paraId="7CFF8338"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7159F865"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39B410A" w14:textId="77777777" w:rsidR="002B5D06" w:rsidRDefault="000B69DD">
            <w:pPr>
              <w:pStyle w:val="NormalWeb"/>
              <w:spacing w:before="0" w:beforeAutospacing="0" w:after="0" w:afterAutospacing="0"/>
              <w:jc w:val="center"/>
              <w:rPr>
                <w:sz w:val="20"/>
                <w:szCs w:val="20"/>
              </w:rPr>
            </w:pPr>
            <w:r>
              <w:rPr>
                <w:rStyle w:val="Strong"/>
                <w:sz w:val="20"/>
                <w:szCs w:val="20"/>
              </w:rPr>
              <w:t xml:space="preserve">Exercise </w:t>
            </w:r>
          </w:p>
          <w:p w14:paraId="161AEA56" w14:textId="77777777" w:rsidR="002B5D06" w:rsidRDefault="000B69DD">
            <w:pPr>
              <w:pStyle w:val="NormalWeb"/>
              <w:spacing w:before="0" w:beforeAutospacing="0" w:after="0" w:afterAutospacing="0"/>
              <w:jc w:val="center"/>
              <w:rPr>
                <w:sz w:val="20"/>
                <w:szCs w:val="20"/>
              </w:rPr>
            </w:pPr>
            <w:r>
              <w:rPr>
                <w:rStyle w:val="Strong"/>
                <w:sz w:val="20"/>
                <w:szCs w:val="20"/>
              </w:rPr>
              <w:t>Price</w:t>
            </w:r>
          </w:p>
        </w:tc>
        <w:tc>
          <w:tcPr>
            <w:tcW w:w="0" w:type="auto"/>
            <w:noWrap/>
            <w:tcMar>
              <w:top w:w="0" w:type="dxa"/>
              <w:left w:w="0" w:type="dxa"/>
              <w:bottom w:w="15" w:type="dxa"/>
              <w:right w:w="0" w:type="dxa"/>
            </w:tcMar>
            <w:vAlign w:val="center"/>
            <w:hideMark/>
          </w:tcPr>
          <w:p w14:paraId="219CA695"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11AF6498"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0B2D31E" w14:textId="77777777" w:rsidR="002B5D06" w:rsidRDefault="000B69DD">
            <w:pPr>
              <w:pStyle w:val="NormalWeb"/>
              <w:spacing w:before="0" w:beforeAutospacing="0" w:after="0" w:afterAutospacing="0"/>
              <w:jc w:val="center"/>
              <w:rPr>
                <w:sz w:val="20"/>
                <w:szCs w:val="20"/>
              </w:rPr>
            </w:pPr>
            <w:r>
              <w:rPr>
                <w:rStyle w:val="Strong"/>
                <w:sz w:val="20"/>
                <w:szCs w:val="20"/>
              </w:rPr>
              <w:t>Expiration   Date</w:t>
            </w:r>
          </w:p>
        </w:tc>
        <w:tc>
          <w:tcPr>
            <w:tcW w:w="0" w:type="auto"/>
            <w:noWrap/>
            <w:tcMar>
              <w:top w:w="0" w:type="dxa"/>
              <w:left w:w="0" w:type="dxa"/>
              <w:bottom w:w="15" w:type="dxa"/>
              <w:right w:w="0" w:type="dxa"/>
            </w:tcMar>
            <w:vAlign w:val="center"/>
            <w:hideMark/>
          </w:tcPr>
          <w:p w14:paraId="3759ECB5" w14:textId="77777777" w:rsidR="002B5D06" w:rsidRDefault="000B69DD">
            <w:pPr>
              <w:pStyle w:val="NormalWeb"/>
              <w:spacing w:before="0" w:beforeAutospacing="0" w:after="0" w:afterAutospacing="0"/>
              <w:rPr>
                <w:sz w:val="20"/>
                <w:szCs w:val="20"/>
              </w:rPr>
            </w:pPr>
            <w:r>
              <w:rPr>
                <w:sz w:val="20"/>
                <w:szCs w:val="20"/>
              </w:rPr>
              <w:t> </w:t>
            </w:r>
          </w:p>
        </w:tc>
      </w:tr>
      <w:tr w:rsidR="002B5D06" w14:paraId="764A46E5" w14:textId="77777777">
        <w:trPr>
          <w:divId w:val="1684360448"/>
          <w:trHeight w:val="225"/>
          <w:tblCellSpacing w:w="15" w:type="dxa"/>
          <w:jc w:val="center"/>
        </w:trPr>
        <w:tc>
          <w:tcPr>
            <w:tcW w:w="0" w:type="auto"/>
            <w:shd w:val="clear" w:color="auto" w:fill="CCEEFF"/>
            <w:hideMark/>
          </w:tcPr>
          <w:p w14:paraId="5272D10A" w14:textId="77777777" w:rsidR="002B5D06" w:rsidRDefault="000B69DD">
            <w:pPr>
              <w:pStyle w:val="NormalWeb"/>
              <w:spacing w:before="0" w:beforeAutospacing="0" w:after="0" w:afterAutospacing="0"/>
              <w:rPr>
                <w:sz w:val="20"/>
                <w:szCs w:val="20"/>
              </w:rPr>
            </w:pPr>
            <w:r>
              <w:rPr>
                <w:sz w:val="20"/>
                <w:szCs w:val="20"/>
              </w:rPr>
              <w:t>Robert E. Wolfe</w:t>
            </w:r>
          </w:p>
        </w:tc>
        <w:tc>
          <w:tcPr>
            <w:tcW w:w="50" w:type="pct"/>
            <w:shd w:val="clear" w:color="auto" w:fill="CCEEFF"/>
            <w:noWrap/>
            <w:vAlign w:val="center"/>
            <w:hideMark/>
          </w:tcPr>
          <w:p w14:paraId="19CA4EC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13D7347"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2D7C20BE"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E00EA7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42FF3F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EAE4DC9"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FEB0977"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6D6CDD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9A42A2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9F284C4"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7DC488B"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78D7C13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81BD76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F22AF3B"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60A94219"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5859A6D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262D70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4DF2B17"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2084D026"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2321487" w14:textId="77777777" w:rsidR="002B5D06" w:rsidRDefault="000B69DD">
            <w:pPr>
              <w:pStyle w:val="NormalWeb"/>
              <w:spacing w:before="0" w:beforeAutospacing="0" w:after="0" w:afterAutospacing="0"/>
              <w:rPr>
                <w:sz w:val="20"/>
                <w:szCs w:val="20"/>
              </w:rPr>
            </w:pPr>
            <w:r>
              <w:rPr>
                <w:sz w:val="20"/>
                <w:szCs w:val="20"/>
              </w:rPr>
              <w:t> </w:t>
            </w:r>
          </w:p>
        </w:tc>
      </w:tr>
    </w:tbl>
    <w:p w14:paraId="1A8EC6D0"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7DD21717" w14:textId="77777777">
        <w:trPr>
          <w:divId w:val="1684360448"/>
          <w:trHeight w:val="225"/>
          <w:tblCellSpacing w:w="15" w:type="dxa"/>
          <w:jc w:val="center"/>
        </w:trPr>
        <w:tc>
          <w:tcPr>
            <w:tcW w:w="0" w:type="auto"/>
            <w:vAlign w:val="center"/>
            <w:hideMark/>
          </w:tcPr>
          <w:p w14:paraId="726DEAB5" w14:textId="77777777" w:rsidR="002B5D06" w:rsidRDefault="000B69DD">
            <w:pPr>
              <w:rPr>
                <w:rFonts w:eastAsia="Times New Roman"/>
                <w:sz w:val="20"/>
                <w:szCs w:val="20"/>
              </w:rPr>
            </w:pPr>
            <w:r>
              <w:rPr>
                <w:rFonts w:eastAsia="Times New Roman"/>
                <w:sz w:val="20"/>
                <w:szCs w:val="20"/>
              </w:rPr>
              <w:t> </w:t>
            </w:r>
          </w:p>
        </w:tc>
      </w:tr>
      <w:tr w:rsidR="002B5D06" w14:paraId="6BD1DCE8" w14:textId="77777777">
        <w:trPr>
          <w:divId w:val="1684360448"/>
          <w:trHeight w:val="225"/>
          <w:tblCellSpacing w:w="15" w:type="dxa"/>
          <w:jc w:val="center"/>
        </w:trPr>
        <w:tc>
          <w:tcPr>
            <w:tcW w:w="0" w:type="auto"/>
            <w:tcBorders>
              <w:bottom w:val="single" w:sz="6" w:space="0" w:color="000000"/>
            </w:tcBorders>
            <w:vAlign w:val="center"/>
            <w:hideMark/>
          </w:tcPr>
          <w:p w14:paraId="7FCCB893" w14:textId="77777777" w:rsidR="002B5D06" w:rsidRDefault="000B69DD">
            <w:pPr>
              <w:jc w:val="center"/>
              <w:rPr>
                <w:rFonts w:eastAsia="Times New Roman"/>
                <w:sz w:val="20"/>
                <w:szCs w:val="20"/>
              </w:rPr>
            </w:pPr>
            <w:r>
              <w:rPr>
                <w:rFonts w:eastAsia="Times New Roman"/>
                <w:sz w:val="20"/>
                <w:szCs w:val="20"/>
              </w:rPr>
              <w:t>19</w:t>
            </w:r>
          </w:p>
        </w:tc>
      </w:tr>
      <w:tr w:rsidR="002B5D06" w14:paraId="49738874" w14:textId="77777777">
        <w:trPr>
          <w:divId w:val="1684360448"/>
          <w:trHeight w:val="225"/>
          <w:tblCellSpacing w:w="15" w:type="dxa"/>
          <w:jc w:val="center"/>
        </w:trPr>
        <w:tc>
          <w:tcPr>
            <w:tcW w:w="0" w:type="auto"/>
            <w:vAlign w:val="center"/>
            <w:hideMark/>
          </w:tcPr>
          <w:p w14:paraId="6D1493B5" w14:textId="77777777" w:rsidR="002B5D06" w:rsidRDefault="002B5D06">
            <w:pPr>
              <w:rPr>
                <w:rFonts w:eastAsia="Times New Roman"/>
                <w:sz w:val="20"/>
                <w:szCs w:val="20"/>
              </w:rPr>
            </w:pPr>
          </w:p>
        </w:tc>
      </w:tr>
      <w:tr w:rsidR="002B5D06" w14:paraId="637A89EB" w14:textId="77777777">
        <w:trPr>
          <w:divId w:val="1684360448"/>
          <w:trHeight w:val="225"/>
          <w:tblCellSpacing w:w="15" w:type="dxa"/>
          <w:jc w:val="center"/>
        </w:trPr>
        <w:tc>
          <w:tcPr>
            <w:tcW w:w="0" w:type="auto"/>
            <w:vAlign w:val="center"/>
            <w:hideMark/>
          </w:tcPr>
          <w:p w14:paraId="7046B429" w14:textId="77777777" w:rsidR="002B5D06" w:rsidRDefault="002B5D06">
            <w:pPr>
              <w:rPr>
                <w:rFonts w:eastAsia="Times New Roman"/>
                <w:sz w:val="20"/>
                <w:szCs w:val="20"/>
              </w:rPr>
            </w:pPr>
          </w:p>
        </w:tc>
      </w:tr>
    </w:tbl>
    <w:p w14:paraId="6F09F47B"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6BF4F30A" w14:textId="77777777" w:rsidR="002B5D06" w:rsidRDefault="000B69DD">
      <w:pPr>
        <w:pStyle w:val="NormalWeb"/>
        <w:spacing w:before="0" w:beforeAutospacing="0" w:after="0" w:afterAutospacing="0"/>
        <w:divId w:val="1684360448"/>
        <w:rPr>
          <w:sz w:val="20"/>
          <w:szCs w:val="20"/>
        </w:rPr>
      </w:pPr>
      <w:r>
        <w:rPr>
          <w:sz w:val="20"/>
          <w:szCs w:val="20"/>
        </w:rPr>
        <w:t>  </w:t>
      </w:r>
    </w:p>
    <w:p w14:paraId="2F1CB740" w14:textId="77777777" w:rsidR="002B5D06" w:rsidRDefault="000B69DD">
      <w:pPr>
        <w:pStyle w:val="NormalWeb"/>
        <w:spacing w:before="0" w:beforeAutospacing="0" w:after="0" w:afterAutospacing="0"/>
        <w:jc w:val="both"/>
        <w:divId w:val="1684360448"/>
        <w:rPr>
          <w:sz w:val="20"/>
          <w:szCs w:val="20"/>
        </w:rPr>
      </w:pPr>
      <w:r>
        <w:rPr>
          <w:rStyle w:val="Strong"/>
          <w:i/>
          <w:iCs/>
          <w:sz w:val="20"/>
          <w:szCs w:val="20"/>
        </w:rPr>
        <w:t>Compensation Committee Report</w:t>
      </w:r>
    </w:p>
    <w:p w14:paraId="7BAEEC63"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00AF7F84" w14:textId="77777777" w:rsidR="002B5D06" w:rsidRDefault="000B69DD">
      <w:pPr>
        <w:pStyle w:val="NormalWeb"/>
        <w:spacing w:before="0" w:beforeAutospacing="0" w:after="0" w:afterAutospacing="0"/>
        <w:jc w:val="both"/>
        <w:divId w:val="1684360448"/>
        <w:rPr>
          <w:sz w:val="20"/>
          <w:szCs w:val="20"/>
        </w:rPr>
      </w:pPr>
      <w:r>
        <w:rPr>
          <w:sz w:val="20"/>
          <w:szCs w:val="20"/>
        </w:rPr>
        <w:t>The Compensation Committee of the Board of Directors was responsible for reviewing and approving the Company’s compensation policies and the compensation paid to executive officers. Mr. Wolfe and Mr. Donofrio, who comprise the Compensation Committee are employee and non-employee directors respectively.</w:t>
      </w:r>
    </w:p>
    <w:p w14:paraId="67BB8DA5"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135D09B"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Compensation Philosophy</w:t>
      </w:r>
    </w:p>
    <w:p w14:paraId="28908B33"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C38E28B" w14:textId="77777777" w:rsidR="002B5D06" w:rsidRDefault="000B69DD">
      <w:pPr>
        <w:pStyle w:val="NormalWeb"/>
        <w:spacing w:before="0" w:beforeAutospacing="0" w:after="0" w:afterAutospacing="0"/>
        <w:jc w:val="both"/>
        <w:divId w:val="1684360448"/>
        <w:rPr>
          <w:sz w:val="20"/>
          <w:szCs w:val="20"/>
        </w:rPr>
      </w:pPr>
      <w:r>
        <w:rPr>
          <w:sz w:val="20"/>
          <w:szCs w:val="20"/>
        </w:rPr>
        <w:t>The general philosophy of the Company’s compensation program, which has been reviewed and endorsed by the Committee, was to provide overall competitive compensation based on each executive’s individual performance and the Company’s overall performance.</w:t>
      </w:r>
    </w:p>
    <w:p w14:paraId="3D57BF1F"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A4BCCD2" w14:textId="77777777" w:rsidR="002B5D06" w:rsidRDefault="000B69DD">
      <w:pPr>
        <w:pStyle w:val="NormalWeb"/>
        <w:spacing w:before="0" w:beforeAutospacing="0" w:after="0" w:afterAutospacing="0"/>
        <w:jc w:val="both"/>
        <w:divId w:val="1684360448"/>
        <w:rPr>
          <w:sz w:val="20"/>
          <w:szCs w:val="20"/>
        </w:rPr>
      </w:pPr>
      <w:r>
        <w:rPr>
          <w:sz w:val="20"/>
          <w:szCs w:val="20"/>
        </w:rPr>
        <w:t>There are two basic components in the Company’s executive compensation program: (i) base salary and (ii) stock option awards.</w:t>
      </w:r>
    </w:p>
    <w:p w14:paraId="78FD75D8"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E9ECC57"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Base Salary</w:t>
      </w:r>
    </w:p>
    <w:p w14:paraId="1D11FC9A"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6144F00" w14:textId="77777777" w:rsidR="002B5D06" w:rsidRDefault="000B69DD">
      <w:pPr>
        <w:pStyle w:val="NormalWeb"/>
        <w:spacing w:before="0" w:beforeAutospacing="0" w:after="0" w:afterAutospacing="0"/>
        <w:jc w:val="both"/>
        <w:divId w:val="1684360448"/>
        <w:rPr>
          <w:sz w:val="20"/>
          <w:szCs w:val="20"/>
        </w:rPr>
      </w:pPr>
      <w:r>
        <w:rPr>
          <w:sz w:val="20"/>
          <w:szCs w:val="20"/>
        </w:rPr>
        <w:t>Executive Officers’ salaries are targeted at the median range for rates paid by competitors in comparably sized companies. The Company recognizes the need to attract and retain highly skilled and motivated executives through a competitive base salary program, while at the same time considering the overall performance of the Company and returns to stockholders.</w:t>
      </w:r>
    </w:p>
    <w:p w14:paraId="64278F89"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CBA611F"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Stock Option Awards</w:t>
      </w:r>
    </w:p>
    <w:p w14:paraId="752CC0BE"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0EB3B19" w14:textId="77777777" w:rsidR="002B5D06" w:rsidRDefault="000B69DD">
      <w:pPr>
        <w:pStyle w:val="NormalWeb"/>
        <w:spacing w:before="0" w:beforeAutospacing="0" w:after="0" w:afterAutospacing="0"/>
        <w:jc w:val="both"/>
        <w:divId w:val="1684360448"/>
        <w:rPr>
          <w:sz w:val="20"/>
          <w:szCs w:val="20"/>
        </w:rPr>
      </w:pPr>
      <w:r>
        <w:rPr>
          <w:sz w:val="20"/>
          <w:szCs w:val="20"/>
        </w:rPr>
        <w:t>With respect to executive officers, stock options are generally granted on an annual basis, usually at the commencement of the new fiscal year. Generally, stock options vest ratably over a four-year period and the executive must be employed by the Company in order to vest the options. The Compensation Committee believes that the stock option grants provide an incentive that focuses the executives’ attention on managing the Company from the perspective of an owner with an equity stake in the business. The option grants are issued at no less than 85% of the market price of the stock at the date of grant, hence there is incentive on the executive’s part to enhance the value of the stock through the overall performance of the Company.</w:t>
      </w:r>
    </w:p>
    <w:p w14:paraId="6B471482"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0EAA4AF" w14:textId="77777777" w:rsidR="002B5D06" w:rsidRDefault="000B69DD">
      <w:pPr>
        <w:pStyle w:val="NormalWeb"/>
        <w:spacing w:before="0" w:beforeAutospacing="0" w:after="0" w:afterAutospacing="0"/>
        <w:jc w:val="both"/>
        <w:divId w:val="1684360448"/>
        <w:rPr>
          <w:sz w:val="20"/>
          <w:szCs w:val="20"/>
        </w:rPr>
      </w:pPr>
      <w:r>
        <w:rPr>
          <w:sz w:val="20"/>
          <w:szCs w:val="20"/>
        </w:rPr>
        <w:t>Compensation Pursuant to Plans</w:t>
      </w:r>
    </w:p>
    <w:p w14:paraId="64BC7EF3"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E5F2504" w14:textId="77777777" w:rsidR="002B5D06" w:rsidRDefault="000B69DD">
      <w:pPr>
        <w:pStyle w:val="NormalWeb"/>
        <w:spacing w:before="0" w:beforeAutospacing="0" w:after="0" w:afterAutospacing="0"/>
        <w:jc w:val="both"/>
        <w:divId w:val="1684360448"/>
        <w:rPr>
          <w:sz w:val="20"/>
          <w:szCs w:val="20"/>
        </w:rPr>
      </w:pPr>
      <w:r>
        <w:rPr>
          <w:sz w:val="20"/>
          <w:szCs w:val="20"/>
        </w:rPr>
        <w:t>The Company has three plans (the “Plans”) under which its directors, executive officers and employees may receive compensation. The principal features of the 1981 Long-Term Incentive Plan (the “1981 Plan”), the 1988 Stock Option Plan (the “1988 Plan”), and the Non-Employee Director Plan (the “Director Plan”) are described below. During the fiscal year ended June 30, 1994, the Company terminated its tax qualified cash or deferred profit-sharing plan (the “401(k) Plan”). During fiscal 2025, no executive officer received compensation pursuant to any of the Plans.</w:t>
      </w:r>
    </w:p>
    <w:p w14:paraId="131BE425"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00C232E" w14:textId="77777777" w:rsidR="002B5D06" w:rsidRDefault="000B69DD">
      <w:pPr>
        <w:pStyle w:val="NormalWeb"/>
        <w:spacing w:before="0" w:beforeAutospacing="0" w:after="0" w:afterAutospacing="0"/>
        <w:jc w:val="both"/>
        <w:divId w:val="1684360448"/>
        <w:rPr>
          <w:sz w:val="20"/>
          <w:szCs w:val="20"/>
        </w:rPr>
      </w:pPr>
      <w:r>
        <w:rPr>
          <w:sz w:val="20"/>
          <w:szCs w:val="20"/>
        </w:rPr>
        <w:t>The 1981 and 1988 Plans</w:t>
      </w:r>
    </w:p>
    <w:p w14:paraId="5CAE56FA"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74BA8A9" w14:textId="77777777" w:rsidR="002B5D06" w:rsidRDefault="000B69DD">
      <w:pPr>
        <w:pStyle w:val="NormalWeb"/>
        <w:spacing w:before="0" w:beforeAutospacing="0" w:after="0" w:afterAutospacing="0"/>
        <w:jc w:val="both"/>
        <w:divId w:val="1684360448"/>
        <w:rPr>
          <w:sz w:val="20"/>
          <w:szCs w:val="20"/>
        </w:rPr>
      </w:pPr>
      <w:r>
        <w:rPr>
          <w:sz w:val="20"/>
          <w:szCs w:val="20"/>
        </w:rPr>
        <w:t>The purpose of the 1981 Plan and 1988 Plan (the “Option Plans”) is to provide an incentive to eligible directors, consultants and employees whose present and potential contributions to the Company are or will be important to the success of the Company by affording them an opportunity to acquire a proprietary interest in the Company and to enable the Company to enlist and retain in its employ the best available talent for the successful conduct of its business.</w:t>
      </w:r>
    </w:p>
    <w:p w14:paraId="1C922E31"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F02DCA0" w14:textId="77777777" w:rsidR="002B5D06" w:rsidRDefault="000B69DD">
      <w:pPr>
        <w:pStyle w:val="NormalWeb"/>
        <w:spacing w:before="0" w:beforeAutospacing="0" w:after="0" w:afterAutospacing="0"/>
        <w:jc w:val="both"/>
        <w:divId w:val="1684360448"/>
        <w:rPr>
          <w:sz w:val="20"/>
          <w:szCs w:val="20"/>
        </w:rPr>
      </w:pPr>
      <w:r>
        <w:rPr>
          <w:sz w:val="20"/>
          <w:szCs w:val="20"/>
        </w:rPr>
        <w:t>The 1981 Plan</w:t>
      </w:r>
    </w:p>
    <w:p w14:paraId="1BD6C343"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90DB2B7" w14:textId="77777777" w:rsidR="002B5D06" w:rsidRDefault="000B69DD">
      <w:pPr>
        <w:pStyle w:val="NormalWeb"/>
        <w:spacing w:before="0" w:beforeAutospacing="0" w:after="0" w:afterAutospacing="0"/>
        <w:jc w:val="both"/>
        <w:divId w:val="1684360448"/>
        <w:rPr>
          <w:sz w:val="20"/>
          <w:szCs w:val="20"/>
        </w:rPr>
      </w:pPr>
      <w:r>
        <w:rPr>
          <w:sz w:val="20"/>
          <w:szCs w:val="20"/>
        </w:rPr>
        <w:t>The 1981 Plan was adopted by the Board of Directors in May 1981 and approved by the Company’s stockholders in March 1982. A total of 500,000 shares have been authorized for issuance under the 1981 Plan. With the adoption of the 1988 Plan, no additional awards may be made under the 1981 Plan. As a result, the shares remaining under the 1981 Plan are now available solely under the 1988 Plan. Prior to its termination, the 1981 Plan provided for the grant of the following five types of awards to employees (including officers and directors) of the Company and any subsidiaries: (a) incentive stock rights, (b) incentive stock options, (c) non-statutory stock options, (d) stock appreciation rights, and (e) restricted stock. The 1981 Plan is administered by the Compensation Committee of the Board of Directors.</w:t>
      </w:r>
    </w:p>
    <w:p w14:paraId="3D8DD3FF"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07E86C97" w14:textId="77777777">
        <w:trPr>
          <w:divId w:val="1684360448"/>
          <w:trHeight w:val="225"/>
          <w:tblCellSpacing w:w="15" w:type="dxa"/>
          <w:jc w:val="center"/>
        </w:trPr>
        <w:tc>
          <w:tcPr>
            <w:tcW w:w="0" w:type="auto"/>
            <w:vAlign w:val="center"/>
            <w:hideMark/>
          </w:tcPr>
          <w:p w14:paraId="050ABC5A" w14:textId="77777777" w:rsidR="002B5D06" w:rsidRDefault="000B69DD">
            <w:pPr>
              <w:rPr>
                <w:rFonts w:eastAsia="Times New Roman"/>
                <w:sz w:val="20"/>
                <w:szCs w:val="20"/>
              </w:rPr>
            </w:pPr>
            <w:r>
              <w:rPr>
                <w:rFonts w:eastAsia="Times New Roman"/>
                <w:sz w:val="20"/>
                <w:szCs w:val="20"/>
              </w:rPr>
              <w:t> </w:t>
            </w:r>
          </w:p>
        </w:tc>
      </w:tr>
      <w:tr w:rsidR="002B5D06" w14:paraId="16A87E2A" w14:textId="77777777">
        <w:trPr>
          <w:divId w:val="1684360448"/>
          <w:trHeight w:val="225"/>
          <w:tblCellSpacing w:w="15" w:type="dxa"/>
          <w:jc w:val="center"/>
        </w:trPr>
        <w:tc>
          <w:tcPr>
            <w:tcW w:w="0" w:type="auto"/>
            <w:tcBorders>
              <w:bottom w:val="single" w:sz="6" w:space="0" w:color="000000"/>
            </w:tcBorders>
            <w:vAlign w:val="center"/>
            <w:hideMark/>
          </w:tcPr>
          <w:p w14:paraId="7A9A908E" w14:textId="77777777" w:rsidR="002B5D06" w:rsidRDefault="000B69DD">
            <w:pPr>
              <w:jc w:val="center"/>
              <w:rPr>
                <w:rFonts w:eastAsia="Times New Roman"/>
                <w:sz w:val="20"/>
                <w:szCs w:val="20"/>
              </w:rPr>
            </w:pPr>
            <w:r>
              <w:rPr>
                <w:rFonts w:eastAsia="Times New Roman"/>
                <w:sz w:val="20"/>
                <w:szCs w:val="20"/>
              </w:rPr>
              <w:t>20</w:t>
            </w:r>
          </w:p>
        </w:tc>
      </w:tr>
      <w:tr w:rsidR="002B5D06" w14:paraId="77EB45BC" w14:textId="77777777">
        <w:trPr>
          <w:divId w:val="1684360448"/>
          <w:trHeight w:val="225"/>
          <w:tblCellSpacing w:w="15" w:type="dxa"/>
          <w:jc w:val="center"/>
        </w:trPr>
        <w:tc>
          <w:tcPr>
            <w:tcW w:w="0" w:type="auto"/>
            <w:vAlign w:val="center"/>
            <w:hideMark/>
          </w:tcPr>
          <w:p w14:paraId="58FCDE5C" w14:textId="77777777" w:rsidR="002B5D06" w:rsidRDefault="002B5D06">
            <w:pPr>
              <w:rPr>
                <w:rFonts w:eastAsia="Times New Roman"/>
                <w:sz w:val="20"/>
                <w:szCs w:val="20"/>
              </w:rPr>
            </w:pPr>
          </w:p>
        </w:tc>
      </w:tr>
      <w:tr w:rsidR="002B5D06" w14:paraId="6BB718B1" w14:textId="77777777">
        <w:trPr>
          <w:divId w:val="1684360448"/>
          <w:trHeight w:val="225"/>
          <w:tblCellSpacing w:w="15" w:type="dxa"/>
          <w:jc w:val="center"/>
        </w:trPr>
        <w:tc>
          <w:tcPr>
            <w:tcW w:w="0" w:type="auto"/>
            <w:vAlign w:val="center"/>
            <w:hideMark/>
          </w:tcPr>
          <w:p w14:paraId="17DF4718" w14:textId="77777777" w:rsidR="002B5D06" w:rsidRDefault="002B5D06">
            <w:pPr>
              <w:rPr>
                <w:rFonts w:eastAsia="Times New Roman"/>
                <w:sz w:val="20"/>
                <w:szCs w:val="20"/>
              </w:rPr>
            </w:pPr>
          </w:p>
        </w:tc>
      </w:tr>
    </w:tbl>
    <w:p w14:paraId="6A3B283F"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7A83F317" w14:textId="77777777" w:rsidR="002B5D06" w:rsidRDefault="000B69DD">
      <w:pPr>
        <w:pStyle w:val="NormalWeb"/>
        <w:spacing w:before="0" w:beforeAutospacing="0" w:after="0" w:afterAutospacing="0"/>
        <w:divId w:val="1684360448"/>
        <w:rPr>
          <w:sz w:val="20"/>
          <w:szCs w:val="20"/>
        </w:rPr>
      </w:pPr>
      <w:r>
        <w:rPr>
          <w:sz w:val="20"/>
          <w:szCs w:val="20"/>
        </w:rPr>
        <w:t>  </w:t>
      </w:r>
    </w:p>
    <w:p w14:paraId="3311C360" w14:textId="77777777" w:rsidR="002B5D06" w:rsidRDefault="000B69DD">
      <w:pPr>
        <w:pStyle w:val="NormalWeb"/>
        <w:spacing w:before="0" w:beforeAutospacing="0" w:after="0" w:afterAutospacing="0"/>
        <w:jc w:val="both"/>
        <w:divId w:val="1684360448"/>
        <w:rPr>
          <w:sz w:val="20"/>
          <w:szCs w:val="20"/>
        </w:rPr>
      </w:pPr>
      <w:r>
        <w:rPr>
          <w:sz w:val="20"/>
          <w:szCs w:val="20"/>
        </w:rPr>
        <w:t>The 1988 Plan</w:t>
      </w:r>
    </w:p>
    <w:p w14:paraId="4B8103D4"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F7CC092" w14:textId="77777777" w:rsidR="002B5D06" w:rsidRDefault="000B69DD">
      <w:pPr>
        <w:pStyle w:val="NormalWeb"/>
        <w:spacing w:before="0" w:beforeAutospacing="0" w:after="0" w:afterAutospacing="0"/>
        <w:jc w:val="both"/>
        <w:divId w:val="1684360448"/>
        <w:rPr>
          <w:sz w:val="20"/>
          <w:szCs w:val="20"/>
        </w:rPr>
      </w:pPr>
      <w:r>
        <w:rPr>
          <w:sz w:val="20"/>
          <w:szCs w:val="20"/>
        </w:rPr>
        <w:t>The 1988 Plan provides for the grant of options to purchase Common Stock to employees (including officers) and consultants of the Company and any parent or subsidiary corporation. The aggregate number of shares which remained available for issuance under the 1981 plan as of the effective date of the 1988 Plan plus an additional 500,000 shares of Common Stock.</w:t>
      </w:r>
    </w:p>
    <w:p w14:paraId="5FF471BC"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FBC2B30" w14:textId="77777777" w:rsidR="002B5D06" w:rsidRDefault="000B69DD">
      <w:pPr>
        <w:pStyle w:val="NormalWeb"/>
        <w:spacing w:before="0" w:beforeAutospacing="0" w:after="0" w:afterAutospacing="0"/>
        <w:jc w:val="both"/>
        <w:divId w:val="1684360448"/>
        <w:rPr>
          <w:sz w:val="20"/>
          <w:szCs w:val="20"/>
        </w:rPr>
      </w:pPr>
      <w:r>
        <w:rPr>
          <w:sz w:val="20"/>
          <w:szCs w:val="20"/>
        </w:rPr>
        <w:t>Options granted under the 1988 Plan may either be immediately exercisable for the full number of shares purchasable thereunder or may become exercisable in cumulative increments over a period of months or years as determined by the Compensation Committee. The exercise price of options granted under the 1988 Plan may not be less than 85% of the fair market value of the Common Stock on the date of the grant and the maximum period during which any option may be paid in cash, in shares if the Company’s Common Stock or through a broker-dealer same-day sale program involving a cash-less exercise of the option. One or more optionees may also be allowed to finance their option exercises through Company loans, subject to the approval of the Compensation Committee.</w:t>
      </w:r>
    </w:p>
    <w:p w14:paraId="30D1ADE0"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7083141" w14:textId="77777777" w:rsidR="002B5D06" w:rsidRDefault="000B69DD">
      <w:pPr>
        <w:pStyle w:val="NormalWeb"/>
        <w:spacing w:before="0" w:beforeAutospacing="0" w:after="0" w:afterAutospacing="0"/>
        <w:jc w:val="both"/>
        <w:divId w:val="1684360448"/>
        <w:rPr>
          <w:sz w:val="20"/>
          <w:szCs w:val="20"/>
        </w:rPr>
      </w:pPr>
      <w:r>
        <w:rPr>
          <w:sz w:val="20"/>
          <w:szCs w:val="20"/>
        </w:rPr>
        <w:t>Issuable Shares</w:t>
      </w:r>
    </w:p>
    <w:p w14:paraId="10568460"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22110CB" w14:textId="77777777" w:rsidR="002B5D06" w:rsidRDefault="000B69DD">
      <w:pPr>
        <w:pStyle w:val="NormalWeb"/>
        <w:spacing w:before="0" w:beforeAutospacing="0" w:after="0" w:afterAutospacing="0"/>
        <w:jc w:val="both"/>
        <w:divId w:val="1684360448"/>
        <w:rPr>
          <w:sz w:val="20"/>
          <w:szCs w:val="20"/>
        </w:rPr>
      </w:pPr>
      <w:r>
        <w:rPr>
          <w:sz w:val="20"/>
          <w:szCs w:val="20"/>
        </w:rPr>
        <w:t>As of September 20, 1995, approximately 374,000 shares of Common Stock had been issued upon the exercise of options granted under the Option Plans, no shares of Common Stock were subject to outstanding options under the Options Plans and 626,000 shares of Common Stock were available for issuance under future option grants. From July 1, 1991 to September 20, 1995, options were granted at exercise prices ranging from $1.22 to $8.15 per share. The exercise price of each option was equal to 85% of the closing bid price of Company’s Common Stock as reported on the NASDAQ Over the Counter Bulletin Board Exchange. Due to employee terminations, all options became void in August 1995. As of September 30, 2001, 1,000,000 shares of Common Stock were available for issuance under future option grants and were still available at June 30, 2025.</w:t>
      </w:r>
    </w:p>
    <w:p w14:paraId="298E253F"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D37B222"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Board of Directors Compensation</w:t>
      </w:r>
    </w:p>
    <w:p w14:paraId="6CB9B0CB"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AC051E9" w14:textId="77777777" w:rsidR="002B5D06" w:rsidRDefault="000B69DD">
      <w:pPr>
        <w:pStyle w:val="NormalWeb"/>
        <w:spacing w:before="0" w:beforeAutospacing="0" w:after="0" w:afterAutospacing="0"/>
        <w:jc w:val="both"/>
        <w:divId w:val="1684360448"/>
        <w:rPr>
          <w:sz w:val="20"/>
          <w:szCs w:val="20"/>
        </w:rPr>
      </w:pPr>
      <w:r>
        <w:rPr>
          <w:sz w:val="20"/>
          <w:szCs w:val="20"/>
        </w:rPr>
        <w:t>As of June 30, 2025, the directors did not receive any compensation for serving as members of the Board.</w:t>
      </w:r>
    </w:p>
    <w:p w14:paraId="2F131C5B"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0B339831" w14:textId="77777777" w:rsidR="002B5D06" w:rsidRDefault="000B69DD">
      <w:pPr>
        <w:pStyle w:val="NormalWeb"/>
        <w:spacing w:before="0" w:beforeAutospacing="0" w:after="0" w:afterAutospacing="0"/>
        <w:jc w:val="both"/>
        <w:divId w:val="1684360448"/>
        <w:rPr>
          <w:sz w:val="20"/>
          <w:szCs w:val="20"/>
        </w:rPr>
      </w:pPr>
      <w:r>
        <w:rPr>
          <w:sz w:val="20"/>
          <w:szCs w:val="20"/>
        </w:rPr>
        <w:t>In addition to any cash compensation, non-employee directors also are eligible to participate in the Non-Employee Director Stock Option Plan and to receive automatic option grants thereunder. The Director Plan provides for periodic automatic option grants to non-employee members of the Board. An individual who is first elected or appointed as a non-employee Board member receives an annual automatic grant of 25,000 shares plus the first annual grant of 5,000 shares, and will be eligible for subsequent 5,000 share grants at the second Annual Meeting following the date of his initial election or appointment as a non-employee Board member.</w:t>
      </w:r>
    </w:p>
    <w:p w14:paraId="55624E11"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759B9D8" w14:textId="77777777" w:rsidR="002B5D06" w:rsidRDefault="000B69DD">
      <w:pPr>
        <w:pStyle w:val="NormalWeb"/>
        <w:spacing w:before="0" w:beforeAutospacing="0" w:after="0" w:afterAutospacing="0"/>
        <w:jc w:val="both"/>
        <w:divId w:val="1684360448"/>
        <w:rPr>
          <w:sz w:val="20"/>
          <w:szCs w:val="20"/>
        </w:rPr>
      </w:pPr>
      <w:r>
        <w:rPr>
          <w:sz w:val="20"/>
          <w:szCs w:val="20"/>
        </w:rPr>
        <w:t>During the fiscal year ended June 30, 2025, no options were granted to non-employee Board members.</w:t>
      </w:r>
    </w:p>
    <w:p w14:paraId="083B5AE1"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81A212F" w14:textId="77777777" w:rsidR="002B5D06" w:rsidRDefault="000B69DD">
      <w:pPr>
        <w:pStyle w:val="NormalWeb"/>
        <w:spacing w:before="0" w:beforeAutospacing="0" w:after="0" w:afterAutospacing="0"/>
        <w:jc w:val="both"/>
        <w:divId w:val="1684360448"/>
        <w:rPr>
          <w:sz w:val="20"/>
          <w:szCs w:val="20"/>
        </w:rPr>
      </w:pPr>
      <w:r>
        <w:rPr>
          <w:rStyle w:val="atag"/>
          <w:b/>
          <w:bCs/>
          <w:i/>
          <w:iCs/>
          <w:sz w:val="20"/>
          <w:szCs w:val="20"/>
        </w:rPr>
        <w:t>ITEM 12. SECURITY OWNERSHIP OF CERTAIN BENEFICIAL OWNERS AND MANAGEMENT AND RELATED STOCKHOLDER MATTERS</w:t>
      </w:r>
    </w:p>
    <w:p w14:paraId="4D77F1CC"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 </w:t>
      </w:r>
    </w:p>
    <w:p w14:paraId="0D840444" w14:textId="77777777" w:rsidR="002B5D06" w:rsidRDefault="000B69DD">
      <w:pPr>
        <w:pStyle w:val="NormalWeb"/>
        <w:spacing w:before="0" w:beforeAutospacing="0" w:after="0" w:afterAutospacing="0"/>
        <w:jc w:val="both"/>
        <w:divId w:val="1684360448"/>
        <w:rPr>
          <w:sz w:val="20"/>
          <w:szCs w:val="20"/>
        </w:rPr>
      </w:pPr>
      <w:r>
        <w:rPr>
          <w:sz w:val="20"/>
          <w:szCs w:val="20"/>
        </w:rPr>
        <w:t>The following table sets forth certain information regarding the beneficial ownership of the Company’s Common Stock as of June 30, 2025, by (i) all those known by the Company to be beneficial owners of more than 5% of its Common Stock; (ii) all directors; and (iii) all officers and directors of the Company as a group.</w:t>
      </w:r>
    </w:p>
    <w:p w14:paraId="1CA4606C"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3A8B3EF7" w14:textId="77777777">
        <w:trPr>
          <w:divId w:val="1684360448"/>
          <w:trHeight w:val="225"/>
          <w:tblCellSpacing w:w="15" w:type="dxa"/>
          <w:jc w:val="center"/>
        </w:trPr>
        <w:tc>
          <w:tcPr>
            <w:tcW w:w="0" w:type="auto"/>
            <w:vAlign w:val="center"/>
            <w:hideMark/>
          </w:tcPr>
          <w:p w14:paraId="6913E028" w14:textId="77777777" w:rsidR="002B5D06" w:rsidRDefault="000B69DD">
            <w:pPr>
              <w:rPr>
                <w:rFonts w:eastAsia="Times New Roman"/>
                <w:sz w:val="20"/>
                <w:szCs w:val="20"/>
              </w:rPr>
            </w:pPr>
            <w:r>
              <w:rPr>
                <w:rFonts w:eastAsia="Times New Roman"/>
                <w:sz w:val="20"/>
                <w:szCs w:val="20"/>
              </w:rPr>
              <w:t> </w:t>
            </w:r>
          </w:p>
        </w:tc>
      </w:tr>
      <w:tr w:rsidR="002B5D06" w14:paraId="67D758D7" w14:textId="77777777">
        <w:trPr>
          <w:divId w:val="1684360448"/>
          <w:trHeight w:val="225"/>
          <w:tblCellSpacing w:w="15" w:type="dxa"/>
          <w:jc w:val="center"/>
        </w:trPr>
        <w:tc>
          <w:tcPr>
            <w:tcW w:w="0" w:type="auto"/>
            <w:tcBorders>
              <w:bottom w:val="single" w:sz="6" w:space="0" w:color="000000"/>
            </w:tcBorders>
            <w:vAlign w:val="center"/>
            <w:hideMark/>
          </w:tcPr>
          <w:p w14:paraId="0AFB5ACE" w14:textId="77777777" w:rsidR="002B5D06" w:rsidRDefault="000B69DD">
            <w:pPr>
              <w:jc w:val="center"/>
              <w:rPr>
                <w:rFonts w:eastAsia="Times New Roman"/>
                <w:sz w:val="20"/>
                <w:szCs w:val="20"/>
              </w:rPr>
            </w:pPr>
            <w:r>
              <w:rPr>
                <w:rFonts w:eastAsia="Times New Roman"/>
                <w:sz w:val="20"/>
                <w:szCs w:val="20"/>
              </w:rPr>
              <w:t>21</w:t>
            </w:r>
          </w:p>
        </w:tc>
      </w:tr>
      <w:tr w:rsidR="002B5D06" w14:paraId="5A5595BA" w14:textId="77777777">
        <w:trPr>
          <w:divId w:val="1684360448"/>
          <w:trHeight w:val="225"/>
          <w:tblCellSpacing w:w="15" w:type="dxa"/>
          <w:jc w:val="center"/>
        </w:trPr>
        <w:tc>
          <w:tcPr>
            <w:tcW w:w="0" w:type="auto"/>
            <w:vAlign w:val="center"/>
            <w:hideMark/>
          </w:tcPr>
          <w:p w14:paraId="4B781F4C" w14:textId="77777777" w:rsidR="002B5D06" w:rsidRDefault="002B5D06">
            <w:pPr>
              <w:rPr>
                <w:rFonts w:eastAsia="Times New Roman"/>
                <w:sz w:val="20"/>
                <w:szCs w:val="20"/>
              </w:rPr>
            </w:pPr>
          </w:p>
        </w:tc>
      </w:tr>
      <w:tr w:rsidR="002B5D06" w14:paraId="4DB5C71D" w14:textId="77777777">
        <w:trPr>
          <w:divId w:val="1684360448"/>
          <w:trHeight w:val="225"/>
          <w:tblCellSpacing w:w="15" w:type="dxa"/>
          <w:jc w:val="center"/>
        </w:trPr>
        <w:tc>
          <w:tcPr>
            <w:tcW w:w="0" w:type="auto"/>
            <w:vAlign w:val="center"/>
            <w:hideMark/>
          </w:tcPr>
          <w:p w14:paraId="205DE8B9" w14:textId="77777777" w:rsidR="002B5D06" w:rsidRDefault="002B5D06">
            <w:pPr>
              <w:rPr>
                <w:rFonts w:eastAsia="Times New Roman"/>
                <w:sz w:val="20"/>
                <w:szCs w:val="20"/>
              </w:rPr>
            </w:pPr>
          </w:p>
        </w:tc>
      </w:tr>
    </w:tbl>
    <w:p w14:paraId="51A48F6E"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311F5E61" w14:textId="77777777" w:rsidR="002B5D06" w:rsidRDefault="000B69DD">
      <w:pPr>
        <w:pStyle w:val="NormalWeb"/>
        <w:spacing w:before="0" w:beforeAutospacing="0" w:after="0" w:afterAutospacing="0"/>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1"/>
        <w:gridCol w:w="111"/>
        <w:gridCol w:w="111"/>
        <w:gridCol w:w="835"/>
        <w:gridCol w:w="111"/>
        <w:gridCol w:w="111"/>
        <w:gridCol w:w="116"/>
        <w:gridCol w:w="832"/>
        <w:gridCol w:w="212"/>
      </w:tblGrid>
      <w:tr w:rsidR="002B5D06" w14:paraId="7B0C4218" w14:textId="77777777">
        <w:trPr>
          <w:divId w:val="1684360448"/>
          <w:trHeight w:val="225"/>
          <w:tblCellSpacing w:w="15" w:type="dxa"/>
          <w:jc w:val="center"/>
        </w:trPr>
        <w:tc>
          <w:tcPr>
            <w:tcW w:w="0" w:type="auto"/>
            <w:tcBorders>
              <w:bottom w:val="single" w:sz="6" w:space="0" w:color="auto"/>
            </w:tcBorders>
            <w:vAlign w:val="bottom"/>
            <w:hideMark/>
          </w:tcPr>
          <w:p w14:paraId="1B748CE7" w14:textId="77777777" w:rsidR="002B5D06" w:rsidRDefault="000B69DD">
            <w:pPr>
              <w:pStyle w:val="NormalWeb"/>
              <w:spacing w:before="0" w:beforeAutospacing="0" w:after="0" w:afterAutospacing="0"/>
              <w:rPr>
                <w:sz w:val="20"/>
                <w:szCs w:val="20"/>
              </w:rPr>
            </w:pPr>
            <w:r>
              <w:rPr>
                <w:rStyle w:val="Strong"/>
                <w:sz w:val="20"/>
                <w:szCs w:val="20"/>
              </w:rPr>
              <w:t>Name and Address of Beneficial Owner</w:t>
            </w:r>
          </w:p>
        </w:tc>
        <w:tc>
          <w:tcPr>
            <w:tcW w:w="0" w:type="auto"/>
            <w:noWrap/>
            <w:vAlign w:val="center"/>
            <w:hideMark/>
          </w:tcPr>
          <w:p w14:paraId="614E2F57"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0F7B0A01" w14:textId="77777777" w:rsidR="002B5D06" w:rsidRDefault="000B69DD">
            <w:pPr>
              <w:pStyle w:val="NormalWeb"/>
              <w:spacing w:before="0" w:beforeAutospacing="0" w:after="0" w:afterAutospacing="0"/>
              <w:jc w:val="center"/>
              <w:rPr>
                <w:sz w:val="20"/>
                <w:szCs w:val="20"/>
              </w:rPr>
            </w:pPr>
            <w:r>
              <w:rPr>
                <w:rStyle w:val="Strong"/>
                <w:sz w:val="20"/>
                <w:szCs w:val="20"/>
              </w:rPr>
              <w:t xml:space="preserve">No. Shares </w:t>
            </w:r>
          </w:p>
          <w:p w14:paraId="7E3B8354" w14:textId="77777777" w:rsidR="002B5D06" w:rsidRDefault="000B69DD">
            <w:pPr>
              <w:pStyle w:val="NormalWeb"/>
              <w:spacing w:before="0" w:beforeAutospacing="0" w:after="0" w:afterAutospacing="0"/>
              <w:jc w:val="center"/>
              <w:rPr>
                <w:sz w:val="20"/>
                <w:szCs w:val="20"/>
              </w:rPr>
            </w:pPr>
            <w:r>
              <w:rPr>
                <w:rStyle w:val="Strong"/>
                <w:sz w:val="20"/>
                <w:szCs w:val="20"/>
              </w:rPr>
              <w:t>fully diluted</w:t>
            </w:r>
          </w:p>
        </w:tc>
        <w:tc>
          <w:tcPr>
            <w:tcW w:w="0" w:type="auto"/>
            <w:noWrap/>
            <w:tcMar>
              <w:top w:w="0" w:type="dxa"/>
              <w:left w:w="0" w:type="dxa"/>
              <w:bottom w:w="15" w:type="dxa"/>
              <w:right w:w="0" w:type="dxa"/>
            </w:tcMar>
            <w:vAlign w:val="center"/>
            <w:hideMark/>
          </w:tcPr>
          <w:p w14:paraId="4C2A2BD8"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08E0E0E7"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3620B2D1" w14:textId="77777777" w:rsidR="002B5D06" w:rsidRDefault="000B69DD">
            <w:pPr>
              <w:pStyle w:val="NormalWeb"/>
              <w:spacing w:before="0" w:beforeAutospacing="0" w:after="0" w:afterAutospacing="0"/>
              <w:jc w:val="center"/>
              <w:rPr>
                <w:sz w:val="20"/>
                <w:szCs w:val="20"/>
              </w:rPr>
            </w:pPr>
            <w:r>
              <w:rPr>
                <w:rStyle w:val="Strong"/>
                <w:sz w:val="20"/>
                <w:szCs w:val="20"/>
              </w:rPr>
              <w:t>Percent ownership</w:t>
            </w:r>
          </w:p>
        </w:tc>
        <w:tc>
          <w:tcPr>
            <w:tcW w:w="0" w:type="auto"/>
            <w:noWrap/>
            <w:tcMar>
              <w:top w:w="0" w:type="dxa"/>
              <w:left w:w="0" w:type="dxa"/>
              <w:bottom w:w="15" w:type="dxa"/>
              <w:right w:w="0" w:type="dxa"/>
            </w:tcMar>
            <w:vAlign w:val="center"/>
            <w:hideMark/>
          </w:tcPr>
          <w:p w14:paraId="1F78DEE9" w14:textId="77777777" w:rsidR="002B5D06" w:rsidRDefault="000B69DD">
            <w:pPr>
              <w:pStyle w:val="NormalWeb"/>
              <w:spacing w:before="0" w:beforeAutospacing="0" w:after="0" w:afterAutospacing="0"/>
              <w:rPr>
                <w:sz w:val="20"/>
                <w:szCs w:val="20"/>
              </w:rPr>
            </w:pPr>
            <w:r>
              <w:rPr>
                <w:sz w:val="20"/>
                <w:szCs w:val="20"/>
              </w:rPr>
              <w:t> </w:t>
            </w:r>
          </w:p>
        </w:tc>
      </w:tr>
      <w:tr w:rsidR="002B5D06" w14:paraId="0AAF2B30" w14:textId="77777777">
        <w:trPr>
          <w:divId w:val="1684360448"/>
          <w:trHeight w:val="225"/>
          <w:tblCellSpacing w:w="15" w:type="dxa"/>
          <w:jc w:val="center"/>
        </w:trPr>
        <w:tc>
          <w:tcPr>
            <w:tcW w:w="0" w:type="auto"/>
            <w:shd w:val="clear" w:color="auto" w:fill="CCEEFF"/>
            <w:hideMark/>
          </w:tcPr>
          <w:p w14:paraId="20508E6D" w14:textId="77777777" w:rsidR="002B5D06" w:rsidRDefault="000B69DD">
            <w:pPr>
              <w:pStyle w:val="NormalWeb"/>
              <w:spacing w:before="0" w:beforeAutospacing="0" w:after="0" w:afterAutospacing="0"/>
              <w:rPr>
                <w:sz w:val="20"/>
                <w:szCs w:val="20"/>
              </w:rPr>
            </w:pPr>
            <w:r>
              <w:rPr>
                <w:sz w:val="20"/>
                <w:szCs w:val="20"/>
              </w:rPr>
              <w:t>Robert E. Wolfe, Randolph, VT, Chairman, CEO, CFO</w:t>
            </w:r>
          </w:p>
        </w:tc>
        <w:tc>
          <w:tcPr>
            <w:tcW w:w="50" w:type="pct"/>
            <w:shd w:val="clear" w:color="auto" w:fill="CCEEFF"/>
            <w:noWrap/>
            <w:vAlign w:val="center"/>
            <w:hideMark/>
          </w:tcPr>
          <w:p w14:paraId="4D74C13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326329B"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B7017EF" w14:textId="77777777" w:rsidR="002B5D06" w:rsidRDefault="000B69DD">
            <w:pPr>
              <w:jc w:val="right"/>
              <w:rPr>
                <w:rFonts w:eastAsia="Times New Roman"/>
                <w:sz w:val="20"/>
                <w:szCs w:val="20"/>
              </w:rPr>
            </w:pPr>
            <w:r>
              <w:rPr>
                <w:rFonts w:eastAsia="Times New Roman"/>
                <w:sz w:val="20"/>
                <w:szCs w:val="20"/>
              </w:rPr>
              <w:t>1,004,500</w:t>
            </w:r>
          </w:p>
        </w:tc>
        <w:tc>
          <w:tcPr>
            <w:tcW w:w="50" w:type="pct"/>
            <w:shd w:val="clear" w:color="auto" w:fill="CCEEFF"/>
            <w:noWrap/>
            <w:vAlign w:val="center"/>
            <w:hideMark/>
          </w:tcPr>
          <w:p w14:paraId="56530B6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AEA7279"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F365AEF"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34B478A" w14:textId="77777777" w:rsidR="002B5D06" w:rsidRDefault="000B69DD">
            <w:pPr>
              <w:jc w:val="right"/>
              <w:rPr>
                <w:rFonts w:eastAsia="Times New Roman"/>
                <w:sz w:val="20"/>
                <w:szCs w:val="20"/>
              </w:rPr>
            </w:pPr>
            <w:r>
              <w:rPr>
                <w:rFonts w:eastAsia="Times New Roman"/>
                <w:sz w:val="20"/>
                <w:szCs w:val="20"/>
              </w:rPr>
              <w:t>30.41</w:t>
            </w:r>
          </w:p>
        </w:tc>
        <w:tc>
          <w:tcPr>
            <w:tcW w:w="50" w:type="pct"/>
            <w:shd w:val="clear" w:color="auto" w:fill="CCEEFF"/>
            <w:noWrap/>
            <w:vAlign w:val="bottom"/>
            <w:hideMark/>
          </w:tcPr>
          <w:p w14:paraId="7A041BE5" w14:textId="77777777" w:rsidR="002B5D06" w:rsidRDefault="000B69DD">
            <w:pPr>
              <w:rPr>
                <w:rFonts w:eastAsia="Times New Roman"/>
                <w:sz w:val="20"/>
                <w:szCs w:val="20"/>
              </w:rPr>
            </w:pPr>
            <w:r>
              <w:rPr>
                <w:rFonts w:eastAsia="Times New Roman"/>
                <w:sz w:val="20"/>
                <w:szCs w:val="20"/>
              </w:rPr>
              <w:t>%</w:t>
            </w:r>
          </w:p>
        </w:tc>
      </w:tr>
      <w:tr w:rsidR="002B5D06" w14:paraId="76AD79D6" w14:textId="77777777">
        <w:trPr>
          <w:divId w:val="1684360448"/>
          <w:trHeight w:val="225"/>
          <w:tblCellSpacing w:w="15" w:type="dxa"/>
          <w:jc w:val="center"/>
        </w:trPr>
        <w:tc>
          <w:tcPr>
            <w:tcW w:w="0" w:type="auto"/>
            <w:shd w:val="clear" w:color="auto" w:fill="FFFFFF"/>
            <w:hideMark/>
          </w:tcPr>
          <w:p w14:paraId="7D1898BD" w14:textId="77777777" w:rsidR="002B5D06" w:rsidRDefault="000B69DD">
            <w:pPr>
              <w:pStyle w:val="NormalWeb"/>
              <w:spacing w:before="0" w:beforeAutospacing="0" w:after="0" w:afterAutospacing="0"/>
              <w:rPr>
                <w:sz w:val="20"/>
                <w:szCs w:val="20"/>
              </w:rPr>
            </w:pPr>
            <w:r>
              <w:rPr>
                <w:sz w:val="20"/>
                <w:szCs w:val="20"/>
              </w:rPr>
              <w:t>Hennistone Projects Ltd.2 Eastglade Northwood Middlesex, HA6 3LD UK</w:t>
            </w:r>
          </w:p>
        </w:tc>
        <w:tc>
          <w:tcPr>
            <w:tcW w:w="50" w:type="pct"/>
            <w:shd w:val="clear" w:color="auto" w:fill="FFFFFF"/>
            <w:noWrap/>
            <w:vAlign w:val="center"/>
            <w:hideMark/>
          </w:tcPr>
          <w:p w14:paraId="33A895B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584DF34"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3573B78A" w14:textId="77777777" w:rsidR="002B5D06" w:rsidRDefault="000B69DD">
            <w:pPr>
              <w:jc w:val="right"/>
              <w:rPr>
                <w:rFonts w:eastAsia="Times New Roman"/>
                <w:sz w:val="20"/>
                <w:szCs w:val="20"/>
              </w:rPr>
            </w:pPr>
            <w:r>
              <w:rPr>
                <w:rFonts w:eastAsia="Times New Roman"/>
                <w:sz w:val="20"/>
                <w:szCs w:val="20"/>
              </w:rPr>
              <w:t>588,000</w:t>
            </w:r>
          </w:p>
        </w:tc>
        <w:tc>
          <w:tcPr>
            <w:tcW w:w="50" w:type="pct"/>
            <w:shd w:val="clear" w:color="auto" w:fill="FFFFFF"/>
            <w:noWrap/>
            <w:vAlign w:val="center"/>
            <w:hideMark/>
          </w:tcPr>
          <w:p w14:paraId="3355075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00694A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780B508"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1FADFE3A" w14:textId="77777777" w:rsidR="002B5D06" w:rsidRDefault="000B69DD">
            <w:pPr>
              <w:jc w:val="right"/>
              <w:rPr>
                <w:rFonts w:eastAsia="Times New Roman"/>
                <w:sz w:val="20"/>
                <w:szCs w:val="20"/>
              </w:rPr>
            </w:pPr>
            <w:r>
              <w:rPr>
                <w:rFonts w:eastAsia="Times New Roman"/>
                <w:sz w:val="20"/>
                <w:szCs w:val="20"/>
              </w:rPr>
              <w:t>17.80</w:t>
            </w:r>
          </w:p>
        </w:tc>
        <w:tc>
          <w:tcPr>
            <w:tcW w:w="50" w:type="pct"/>
            <w:shd w:val="clear" w:color="auto" w:fill="FFFFFF"/>
            <w:noWrap/>
            <w:vAlign w:val="bottom"/>
            <w:hideMark/>
          </w:tcPr>
          <w:p w14:paraId="70FEB688" w14:textId="77777777" w:rsidR="002B5D06" w:rsidRDefault="000B69DD">
            <w:pPr>
              <w:rPr>
                <w:rFonts w:eastAsia="Times New Roman"/>
                <w:sz w:val="20"/>
                <w:szCs w:val="20"/>
              </w:rPr>
            </w:pPr>
            <w:r>
              <w:rPr>
                <w:rFonts w:eastAsia="Times New Roman"/>
                <w:sz w:val="20"/>
                <w:szCs w:val="20"/>
              </w:rPr>
              <w:t>%</w:t>
            </w:r>
          </w:p>
        </w:tc>
      </w:tr>
      <w:tr w:rsidR="002B5D06" w14:paraId="518685E9" w14:textId="77777777">
        <w:trPr>
          <w:divId w:val="1684360448"/>
          <w:trHeight w:val="225"/>
          <w:tblCellSpacing w:w="15" w:type="dxa"/>
          <w:jc w:val="center"/>
        </w:trPr>
        <w:tc>
          <w:tcPr>
            <w:tcW w:w="0" w:type="auto"/>
            <w:shd w:val="clear" w:color="auto" w:fill="CCEEFF"/>
            <w:hideMark/>
          </w:tcPr>
          <w:p w14:paraId="7827FF73" w14:textId="77777777" w:rsidR="002B5D06" w:rsidRDefault="000B69DD">
            <w:pPr>
              <w:pStyle w:val="NormalWeb"/>
              <w:spacing w:before="0" w:beforeAutospacing="0" w:after="0" w:afterAutospacing="0"/>
              <w:rPr>
                <w:sz w:val="20"/>
                <w:szCs w:val="20"/>
              </w:rPr>
            </w:pPr>
            <w:r>
              <w:rPr>
                <w:sz w:val="20"/>
                <w:szCs w:val="20"/>
              </w:rPr>
              <w:t>Crossland Ltd. Belize, 60 Market Square, PO Box 364, Belize City, Belize, Central America</w:t>
            </w:r>
          </w:p>
        </w:tc>
        <w:tc>
          <w:tcPr>
            <w:tcW w:w="50" w:type="pct"/>
            <w:shd w:val="clear" w:color="auto" w:fill="CCEEFF"/>
            <w:noWrap/>
            <w:vAlign w:val="center"/>
            <w:hideMark/>
          </w:tcPr>
          <w:p w14:paraId="317FD09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F722DC4"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2A5263D0" w14:textId="77777777" w:rsidR="002B5D06" w:rsidRDefault="000B69DD">
            <w:pPr>
              <w:jc w:val="right"/>
              <w:rPr>
                <w:rFonts w:eastAsia="Times New Roman"/>
                <w:sz w:val="20"/>
                <w:szCs w:val="20"/>
              </w:rPr>
            </w:pPr>
            <w:r>
              <w:rPr>
                <w:rFonts w:eastAsia="Times New Roman"/>
                <w:sz w:val="20"/>
                <w:szCs w:val="20"/>
              </w:rPr>
              <w:t>315,625</w:t>
            </w:r>
          </w:p>
        </w:tc>
        <w:tc>
          <w:tcPr>
            <w:tcW w:w="50" w:type="pct"/>
            <w:shd w:val="clear" w:color="auto" w:fill="CCEEFF"/>
            <w:noWrap/>
            <w:vAlign w:val="center"/>
            <w:hideMark/>
          </w:tcPr>
          <w:p w14:paraId="35CBF17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BFB1FF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C0660B6"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BB8E415" w14:textId="77777777" w:rsidR="002B5D06" w:rsidRDefault="000B69DD">
            <w:pPr>
              <w:jc w:val="right"/>
              <w:rPr>
                <w:rFonts w:eastAsia="Times New Roman"/>
                <w:sz w:val="20"/>
                <w:szCs w:val="20"/>
              </w:rPr>
            </w:pPr>
            <w:r>
              <w:rPr>
                <w:rFonts w:eastAsia="Times New Roman"/>
                <w:sz w:val="20"/>
                <w:szCs w:val="20"/>
              </w:rPr>
              <w:t>9.56</w:t>
            </w:r>
          </w:p>
        </w:tc>
        <w:tc>
          <w:tcPr>
            <w:tcW w:w="50" w:type="pct"/>
            <w:shd w:val="clear" w:color="auto" w:fill="CCEEFF"/>
            <w:noWrap/>
            <w:vAlign w:val="bottom"/>
            <w:hideMark/>
          </w:tcPr>
          <w:p w14:paraId="3F12DBC9" w14:textId="77777777" w:rsidR="002B5D06" w:rsidRDefault="000B69DD">
            <w:pPr>
              <w:rPr>
                <w:rFonts w:eastAsia="Times New Roman"/>
                <w:sz w:val="20"/>
                <w:szCs w:val="20"/>
              </w:rPr>
            </w:pPr>
            <w:r>
              <w:rPr>
                <w:rFonts w:eastAsia="Times New Roman"/>
                <w:sz w:val="20"/>
                <w:szCs w:val="20"/>
              </w:rPr>
              <w:t>%</w:t>
            </w:r>
          </w:p>
        </w:tc>
      </w:tr>
      <w:tr w:rsidR="002B5D06" w14:paraId="3B9610D1" w14:textId="77777777">
        <w:trPr>
          <w:divId w:val="1684360448"/>
          <w:trHeight w:val="225"/>
          <w:tblCellSpacing w:w="15" w:type="dxa"/>
          <w:jc w:val="center"/>
        </w:trPr>
        <w:tc>
          <w:tcPr>
            <w:tcW w:w="0" w:type="auto"/>
            <w:shd w:val="clear" w:color="auto" w:fill="FFFFFF"/>
            <w:hideMark/>
          </w:tcPr>
          <w:p w14:paraId="30CC17F5" w14:textId="77777777" w:rsidR="002B5D06" w:rsidRDefault="000B69DD">
            <w:pPr>
              <w:pStyle w:val="NormalWeb"/>
              <w:spacing w:before="0" w:beforeAutospacing="0" w:after="0" w:afterAutospacing="0"/>
              <w:rPr>
                <w:sz w:val="20"/>
                <w:szCs w:val="20"/>
              </w:rPr>
            </w:pPr>
            <w:r>
              <w:rPr>
                <w:sz w:val="20"/>
                <w:szCs w:val="20"/>
              </w:rPr>
              <w:t>Crossland, ltd. 104B Saffrey Square, Nassau, Bahamas</w:t>
            </w:r>
          </w:p>
        </w:tc>
        <w:tc>
          <w:tcPr>
            <w:tcW w:w="50" w:type="pct"/>
            <w:shd w:val="clear" w:color="auto" w:fill="FFFFFF"/>
            <w:noWrap/>
            <w:vAlign w:val="center"/>
            <w:hideMark/>
          </w:tcPr>
          <w:p w14:paraId="20BFE37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C859D9F"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CFCDDB7" w14:textId="77777777" w:rsidR="002B5D06" w:rsidRDefault="000B69DD">
            <w:pPr>
              <w:jc w:val="right"/>
              <w:rPr>
                <w:rFonts w:eastAsia="Times New Roman"/>
                <w:sz w:val="20"/>
                <w:szCs w:val="20"/>
              </w:rPr>
            </w:pPr>
            <w:r>
              <w:rPr>
                <w:rFonts w:eastAsia="Times New Roman"/>
                <w:sz w:val="20"/>
                <w:szCs w:val="20"/>
              </w:rPr>
              <w:t>296,875</w:t>
            </w:r>
          </w:p>
        </w:tc>
        <w:tc>
          <w:tcPr>
            <w:tcW w:w="50" w:type="pct"/>
            <w:shd w:val="clear" w:color="auto" w:fill="FFFFFF"/>
            <w:noWrap/>
            <w:vAlign w:val="center"/>
            <w:hideMark/>
          </w:tcPr>
          <w:p w14:paraId="7BD2802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58C689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6951059"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1FA0CF3F" w14:textId="77777777" w:rsidR="002B5D06" w:rsidRDefault="000B69DD">
            <w:pPr>
              <w:jc w:val="right"/>
              <w:rPr>
                <w:rFonts w:eastAsia="Times New Roman"/>
                <w:sz w:val="20"/>
                <w:szCs w:val="20"/>
              </w:rPr>
            </w:pPr>
            <w:r>
              <w:rPr>
                <w:rFonts w:eastAsia="Times New Roman"/>
                <w:sz w:val="20"/>
                <w:szCs w:val="20"/>
              </w:rPr>
              <w:t>8.99</w:t>
            </w:r>
          </w:p>
        </w:tc>
        <w:tc>
          <w:tcPr>
            <w:tcW w:w="50" w:type="pct"/>
            <w:shd w:val="clear" w:color="auto" w:fill="FFFFFF"/>
            <w:noWrap/>
            <w:vAlign w:val="bottom"/>
            <w:hideMark/>
          </w:tcPr>
          <w:p w14:paraId="773B5E1A" w14:textId="77777777" w:rsidR="002B5D06" w:rsidRDefault="000B69DD">
            <w:pPr>
              <w:rPr>
                <w:rFonts w:eastAsia="Times New Roman"/>
                <w:sz w:val="20"/>
                <w:szCs w:val="20"/>
              </w:rPr>
            </w:pPr>
            <w:r>
              <w:rPr>
                <w:rFonts w:eastAsia="Times New Roman"/>
                <w:sz w:val="20"/>
                <w:szCs w:val="20"/>
              </w:rPr>
              <w:t>%</w:t>
            </w:r>
          </w:p>
        </w:tc>
      </w:tr>
      <w:tr w:rsidR="002B5D06" w14:paraId="5FA3A158" w14:textId="77777777">
        <w:trPr>
          <w:divId w:val="1684360448"/>
          <w:trHeight w:val="225"/>
          <w:tblCellSpacing w:w="15" w:type="dxa"/>
          <w:jc w:val="center"/>
        </w:trPr>
        <w:tc>
          <w:tcPr>
            <w:tcW w:w="0" w:type="auto"/>
            <w:shd w:val="clear" w:color="auto" w:fill="CCEEFF"/>
            <w:hideMark/>
          </w:tcPr>
          <w:p w14:paraId="0710080F" w14:textId="77777777" w:rsidR="002B5D06" w:rsidRDefault="000B69DD">
            <w:pPr>
              <w:pStyle w:val="NormalWeb"/>
              <w:spacing w:before="0" w:beforeAutospacing="0" w:after="0" w:afterAutospacing="0"/>
              <w:rPr>
                <w:sz w:val="20"/>
                <w:szCs w:val="20"/>
              </w:rPr>
            </w:pPr>
            <w:r>
              <w:rPr>
                <w:sz w:val="20"/>
                <w:szCs w:val="20"/>
              </w:rPr>
              <w:t>Lawrence Donofrio, San Diego, CA, Director</w:t>
            </w:r>
          </w:p>
        </w:tc>
        <w:tc>
          <w:tcPr>
            <w:tcW w:w="50" w:type="pct"/>
            <w:shd w:val="clear" w:color="auto" w:fill="CCEEFF"/>
            <w:noWrap/>
            <w:vAlign w:val="center"/>
            <w:hideMark/>
          </w:tcPr>
          <w:p w14:paraId="0D11CAAB"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7E98C3D4"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459DA7AF"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4C36AE3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8C6D61D"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2F10F7B8"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38FC17E0" w14:textId="77777777" w:rsidR="002B5D06" w:rsidRDefault="000B69DD">
            <w:pPr>
              <w:jc w:val="right"/>
              <w:rPr>
                <w:rFonts w:eastAsia="Times New Roman"/>
                <w:sz w:val="20"/>
                <w:szCs w:val="20"/>
              </w:rPr>
            </w:pPr>
            <w:r>
              <w:rPr>
                <w:rFonts w:eastAsia="Times New Roman"/>
                <w:sz w:val="20"/>
                <w:szCs w:val="20"/>
              </w:rPr>
              <w:t>0.00</w:t>
            </w:r>
          </w:p>
        </w:tc>
        <w:tc>
          <w:tcPr>
            <w:tcW w:w="50" w:type="pct"/>
            <w:shd w:val="clear" w:color="auto" w:fill="CCEEFF"/>
            <w:noWrap/>
            <w:tcMar>
              <w:top w:w="0" w:type="dxa"/>
              <w:left w:w="0" w:type="dxa"/>
              <w:bottom w:w="15" w:type="dxa"/>
              <w:right w:w="0" w:type="dxa"/>
            </w:tcMar>
            <w:vAlign w:val="bottom"/>
            <w:hideMark/>
          </w:tcPr>
          <w:p w14:paraId="3A2CB189" w14:textId="77777777" w:rsidR="002B5D06" w:rsidRDefault="000B69DD">
            <w:pPr>
              <w:rPr>
                <w:rFonts w:eastAsia="Times New Roman"/>
                <w:sz w:val="20"/>
                <w:szCs w:val="20"/>
              </w:rPr>
            </w:pPr>
            <w:r>
              <w:rPr>
                <w:rFonts w:eastAsia="Times New Roman"/>
                <w:sz w:val="20"/>
                <w:szCs w:val="20"/>
              </w:rPr>
              <w:t>%</w:t>
            </w:r>
          </w:p>
        </w:tc>
      </w:tr>
      <w:tr w:rsidR="002B5D06" w14:paraId="79E9DCC5" w14:textId="77777777">
        <w:trPr>
          <w:divId w:val="1684360448"/>
          <w:trHeight w:val="225"/>
          <w:tblCellSpacing w:w="15" w:type="dxa"/>
          <w:jc w:val="center"/>
        </w:trPr>
        <w:tc>
          <w:tcPr>
            <w:tcW w:w="0" w:type="auto"/>
            <w:shd w:val="clear" w:color="auto" w:fill="FFFFFF"/>
            <w:hideMark/>
          </w:tcPr>
          <w:p w14:paraId="23719F3D" w14:textId="77777777" w:rsidR="002B5D06" w:rsidRDefault="000B69DD">
            <w:pPr>
              <w:pStyle w:val="NormalWeb"/>
              <w:spacing w:before="0" w:beforeAutospacing="0" w:after="0" w:afterAutospacing="0"/>
              <w:rPr>
                <w:sz w:val="20"/>
                <w:szCs w:val="20"/>
              </w:rPr>
            </w:pPr>
            <w:r>
              <w:rPr>
                <w:sz w:val="20"/>
                <w:szCs w:val="20"/>
              </w:rPr>
              <w:t>5% Shareholders Total:</w:t>
            </w:r>
          </w:p>
        </w:tc>
        <w:tc>
          <w:tcPr>
            <w:tcW w:w="50" w:type="pct"/>
            <w:shd w:val="clear" w:color="auto" w:fill="FFFFFF"/>
            <w:noWrap/>
            <w:vAlign w:val="center"/>
            <w:hideMark/>
          </w:tcPr>
          <w:p w14:paraId="58F69AB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79A10C3"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3C81B7BF" w14:textId="77777777" w:rsidR="002B5D06" w:rsidRDefault="000B69DD">
            <w:pPr>
              <w:jc w:val="right"/>
              <w:rPr>
                <w:rFonts w:eastAsia="Times New Roman"/>
                <w:sz w:val="20"/>
                <w:szCs w:val="20"/>
              </w:rPr>
            </w:pPr>
            <w:r>
              <w:rPr>
                <w:rFonts w:eastAsia="Times New Roman"/>
                <w:sz w:val="20"/>
                <w:szCs w:val="20"/>
              </w:rPr>
              <w:t>2,205,000</w:t>
            </w:r>
          </w:p>
        </w:tc>
        <w:tc>
          <w:tcPr>
            <w:tcW w:w="50" w:type="pct"/>
            <w:shd w:val="clear" w:color="auto" w:fill="FFFFFF"/>
            <w:noWrap/>
            <w:vAlign w:val="center"/>
            <w:hideMark/>
          </w:tcPr>
          <w:p w14:paraId="5772E8F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E60FA2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96914D1"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6F505264" w14:textId="77777777" w:rsidR="002B5D06" w:rsidRDefault="000B69DD">
            <w:pPr>
              <w:jc w:val="right"/>
              <w:rPr>
                <w:rFonts w:eastAsia="Times New Roman"/>
                <w:sz w:val="20"/>
                <w:szCs w:val="20"/>
              </w:rPr>
            </w:pPr>
            <w:r>
              <w:rPr>
                <w:rFonts w:eastAsia="Times New Roman"/>
                <w:sz w:val="20"/>
                <w:szCs w:val="20"/>
              </w:rPr>
              <w:t>66.76</w:t>
            </w:r>
          </w:p>
        </w:tc>
        <w:tc>
          <w:tcPr>
            <w:tcW w:w="50" w:type="pct"/>
            <w:shd w:val="clear" w:color="auto" w:fill="FFFFFF"/>
            <w:noWrap/>
            <w:vAlign w:val="bottom"/>
            <w:hideMark/>
          </w:tcPr>
          <w:p w14:paraId="7775B691" w14:textId="77777777" w:rsidR="002B5D06" w:rsidRDefault="000B69DD">
            <w:pPr>
              <w:rPr>
                <w:rFonts w:eastAsia="Times New Roman"/>
                <w:sz w:val="20"/>
                <w:szCs w:val="20"/>
              </w:rPr>
            </w:pPr>
            <w:r>
              <w:rPr>
                <w:rFonts w:eastAsia="Times New Roman"/>
                <w:sz w:val="20"/>
                <w:szCs w:val="20"/>
              </w:rPr>
              <w:t>%</w:t>
            </w:r>
          </w:p>
        </w:tc>
      </w:tr>
      <w:tr w:rsidR="002B5D06" w14:paraId="25A9A71A" w14:textId="77777777">
        <w:trPr>
          <w:divId w:val="1684360448"/>
          <w:trHeight w:val="225"/>
          <w:tblCellSpacing w:w="15" w:type="dxa"/>
          <w:jc w:val="center"/>
        </w:trPr>
        <w:tc>
          <w:tcPr>
            <w:tcW w:w="0" w:type="auto"/>
            <w:shd w:val="clear" w:color="auto" w:fill="CCEEFF"/>
            <w:vAlign w:val="center"/>
            <w:hideMark/>
          </w:tcPr>
          <w:p w14:paraId="1BC77AC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EBD54C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06AD44D"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2D5F5EA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EBFB80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C03288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03689EE"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47561C7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D8FEDFB" w14:textId="77777777" w:rsidR="002B5D06" w:rsidRDefault="000B69DD">
            <w:pPr>
              <w:pStyle w:val="NormalWeb"/>
              <w:spacing w:before="0" w:beforeAutospacing="0" w:after="0" w:afterAutospacing="0"/>
              <w:rPr>
                <w:sz w:val="20"/>
                <w:szCs w:val="20"/>
              </w:rPr>
            </w:pPr>
            <w:r>
              <w:rPr>
                <w:sz w:val="20"/>
                <w:szCs w:val="20"/>
              </w:rPr>
              <w:t> </w:t>
            </w:r>
          </w:p>
        </w:tc>
      </w:tr>
      <w:tr w:rsidR="002B5D06" w14:paraId="054BD21E" w14:textId="77777777">
        <w:trPr>
          <w:divId w:val="1684360448"/>
          <w:trHeight w:val="225"/>
          <w:tblCellSpacing w:w="15" w:type="dxa"/>
          <w:jc w:val="center"/>
        </w:trPr>
        <w:tc>
          <w:tcPr>
            <w:tcW w:w="0" w:type="auto"/>
            <w:shd w:val="clear" w:color="auto" w:fill="FFFFFF"/>
            <w:hideMark/>
          </w:tcPr>
          <w:p w14:paraId="787C6004" w14:textId="77777777" w:rsidR="002B5D06" w:rsidRDefault="000B69DD">
            <w:pPr>
              <w:pStyle w:val="NormalWeb"/>
              <w:spacing w:before="0" w:beforeAutospacing="0" w:after="0" w:afterAutospacing="0"/>
              <w:rPr>
                <w:sz w:val="20"/>
                <w:szCs w:val="20"/>
              </w:rPr>
            </w:pPr>
            <w:r>
              <w:rPr>
                <w:sz w:val="20"/>
                <w:szCs w:val="20"/>
              </w:rPr>
              <w:t>Officers and Directors</w:t>
            </w:r>
          </w:p>
        </w:tc>
        <w:tc>
          <w:tcPr>
            <w:tcW w:w="50" w:type="pct"/>
            <w:shd w:val="clear" w:color="auto" w:fill="FFFFFF"/>
            <w:noWrap/>
            <w:vAlign w:val="center"/>
            <w:hideMark/>
          </w:tcPr>
          <w:p w14:paraId="567C75E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FC43A3E"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5FB4B1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47D9BA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1C8789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2C7BB96"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37424D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9B5FA2F" w14:textId="77777777" w:rsidR="002B5D06" w:rsidRDefault="000B69DD">
            <w:pPr>
              <w:pStyle w:val="NormalWeb"/>
              <w:spacing w:before="0" w:beforeAutospacing="0" w:after="0" w:afterAutospacing="0"/>
              <w:rPr>
                <w:sz w:val="20"/>
                <w:szCs w:val="20"/>
              </w:rPr>
            </w:pPr>
            <w:r>
              <w:rPr>
                <w:sz w:val="20"/>
                <w:szCs w:val="20"/>
              </w:rPr>
              <w:t> </w:t>
            </w:r>
          </w:p>
        </w:tc>
      </w:tr>
      <w:tr w:rsidR="002B5D06" w14:paraId="6EDD29DA" w14:textId="77777777">
        <w:trPr>
          <w:divId w:val="1684360448"/>
          <w:trHeight w:val="225"/>
          <w:tblCellSpacing w:w="15" w:type="dxa"/>
          <w:jc w:val="center"/>
        </w:trPr>
        <w:tc>
          <w:tcPr>
            <w:tcW w:w="0" w:type="auto"/>
            <w:shd w:val="clear" w:color="auto" w:fill="CCEEFF"/>
            <w:hideMark/>
          </w:tcPr>
          <w:p w14:paraId="48C871BC" w14:textId="77777777" w:rsidR="002B5D06" w:rsidRDefault="000B69DD">
            <w:pPr>
              <w:pStyle w:val="NormalWeb"/>
              <w:spacing w:before="0" w:beforeAutospacing="0" w:after="0" w:afterAutospacing="0"/>
              <w:rPr>
                <w:sz w:val="20"/>
                <w:szCs w:val="20"/>
              </w:rPr>
            </w:pPr>
            <w:r>
              <w:rPr>
                <w:sz w:val="20"/>
                <w:szCs w:val="20"/>
              </w:rPr>
              <w:t>Robert E. Wolfe, Randolph, VT, Chairman, CEO, CFO</w:t>
            </w:r>
          </w:p>
        </w:tc>
        <w:tc>
          <w:tcPr>
            <w:tcW w:w="50" w:type="pct"/>
            <w:shd w:val="clear" w:color="auto" w:fill="CCEEFF"/>
            <w:noWrap/>
            <w:vAlign w:val="center"/>
            <w:hideMark/>
          </w:tcPr>
          <w:p w14:paraId="4CC012E9"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FA257C5"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20E2CAF" w14:textId="77777777" w:rsidR="002B5D06" w:rsidRDefault="000B69DD">
            <w:pPr>
              <w:jc w:val="right"/>
              <w:rPr>
                <w:rFonts w:eastAsia="Times New Roman"/>
                <w:sz w:val="20"/>
                <w:szCs w:val="20"/>
              </w:rPr>
            </w:pPr>
            <w:r>
              <w:rPr>
                <w:rFonts w:eastAsia="Times New Roman"/>
                <w:sz w:val="20"/>
                <w:szCs w:val="20"/>
              </w:rPr>
              <w:t>1,004,500</w:t>
            </w:r>
          </w:p>
        </w:tc>
        <w:tc>
          <w:tcPr>
            <w:tcW w:w="50" w:type="pct"/>
            <w:shd w:val="clear" w:color="auto" w:fill="CCEEFF"/>
            <w:noWrap/>
            <w:vAlign w:val="center"/>
            <w:hideMark/>
          </w:tcPr>
          <w:p w14:paraId="44D502D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ADA3CE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15F6B78"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24AAB69C" w14:textId="77777777" w:rsidR="002B5D06" w:rsidRDefault="000B69DD">
            <w:pPr>
              <w:jc w:val="right"/>
              <w:rPr>
                <w:rFonts w:eastAsia="Times New Roman"/>
                <w:sz w:val="20"/>
                <w:szCs w:val="20"/>
              </w:rPr>
            </w:pPr>
            <w:r>
              <w:rPr>
                <w:rFonts w:eastAsia="Times New Roman"/>
                <w:sz w:val="20"/>
                <w:szCs w:val="20"/>
              </w:rPr>
              <w:t>30.41</w:t>
            </w:r>
          </w:p>
        </w:tc>
        <w:tc>
          <w:tcPr>
            <w:tcW w:w="50" w:type="pct"/>
            <w:shd w:val="clear" w:color="auto" w:fill="CCEEFF"/>
            <w:noWrap/>
            <w:vAlign w:val="bottom"/>
            <w:hideMark/>
          </w:tcPr>
          <w:p w14:paraId="442C343F" w14:textId="77777777" w:rsidR="002B5D06" w:rsidRDefault="000B69DD">
            <w:pPr>
              <w:rPr>
                <w:rFonts w:eastAsia="Times New Roman"/>
                <w:sz w:val="20"/>
                <w:szCs w:val="20"/>
              </w:rPr>
            </w:pPr>
            <w:r>
              <w:rPr>
                <w:rFonts w:eastAsia="Times New Roman"/>
                <w:sz w:val="20"/>
                <w:szCs w:val="20"/>
              </w:rPr>
              <w:t>%</w:t>
            </w:r>
          </w:p>
        </w:tc>
      </w:tr>
      <w:tr w:rsidR="002B5D06" w14:paraId="21794F87" w14:textId="77777777">
        <w:trPr>
          <w:divId w:val="1684360448"/>
          <w:trHeight w:val="225"/>
          <w:tblCellSpacing w:w="15" w:type="dxa"/>
          <w:jc w:val="center"/>
        </w:trPr>
        <w:tc>
          <w:tcPr>
            <w:tcW w:w="0" w:type="auto"/>
            <w:shd w:val="clear" w:color="auto" w:fill="FFFFFF"/>
            <w:hideMark/>
          </w:tcPr>
          <w:p w14:paraId="359B8FA6" w14:textId="77777777" w:rsidR="002B5D06" w:rsidRDefault="000B69DD">
            <w:pPr>
              <w:pStyle w:val="NormalWeb"/>
              <w:spacing w:before="0" w:beforeAutospacing="0" w:after="0" w:afterAutospacing="0"/>
              <w:rPr>
                <w:sz w:val="20"/>
                <w:szCs w:val="20"/>
              </w:rPr>
            </w:pPr>
            <w:r>
              <w:rPr>
                <w:sz w:val="20"/>
                <w:szCs w:val="20"/>
              </w:rPr>
              <w:t>Lawrence Donofrio, San Diego, CA, Director</w:t>
            </w:r>
          </w:p>
        </w:tc>
        <w:tc>
          <w:tcPr>
            <w:tcW w:w="50" w:type="pct"/>
            <w:shd w:val="clear" w:color="auto" w:fill="FFFFFF"/>
            <w:noWrap/>
            <w:vAlign w:val="center"/>
            <w:hideMark/>
          </w:tcPr>
          <w:p w14:paraId="2BE2AC19"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31F0F7ED"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04640576"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0C32227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A61C5BC"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3EBC392"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56BA7EB2" w14:textId="77777777" w:rsidR="002B5D06" w:rsidRDefault="000B69DD">
            <w:pPr>
              <w:jc w:val="right"/>
              <w:rPr>
                <w:rFonts w:eastAsia="Times New Roman"/>
                <w:sz w:val="20"/>
                <w:szCs w:val="20"/>
              </w:rPr>
            </w:pPr>
            <w:r>
              <w:rPr>
                <w:rFonts w:eastAsia="Times New Roman"/>
                <w:sz w:val="20"/>
                <w:szCs w:val="20"/>
              </w:rPr>
              <w:t>0.00</w:t>
            </w:r>
          </w:p>
        </w:tc>
        <w:tc>
          <w:tcPr>
            <w:tcW w:w="50" w:type="pct"/>
            <w:shd w:val="clear" w:color="auto" w:fill="FFFFFF"/>
            <w:noWrap/>
            <w:tcMar>
              <w:top w:w="0" w:type="dxa"/>
              <w:left w:w="0" w:type="dxa"/>
              <w:bottom w:w="15" w:type="dxa"/>
              <w:right w:w="0" w:type="dxa"/>
            </w:tcMar>
            <w:vAlign w:val="bottom"/>
            <w:hideMark/>
          </w:tcPr>
          <w:p w14:paraId="4B9B5784" w14:textId="77777777" w:rsidR="002B5D06" w:rsidRDefault="000B69DD">
            <w:pPr>
              <w:rPr>
                <w:rFonts w:eastAsia="Times New Roman"/>
                <w:sz w:val="20"/>
                <w:szCs w:val="20"/>
              </w:rPr>
            </w:pPr>
            <w:r>
              <w:rPr>
                <w:rFonts w:eastAsia="Times New Roman"/>
                <w:sz w:val="20"/>
                <w:szCs w:val="20"/>
              </w:rPr>
              <w:t>%</w:t>
            </w:r>
          </w:p>
        </w:tc>
      </w:tr>
      <w:tr w:rsidR="002B5D06" w14:paraId="1B5190BB" w14:textId="77777777">
        <w:trPr>
          <w:divId w:val="1684360448"/>
          <w:trHeight w:val="225"/>
          <w:tblCellSpacing w:w="15" w:type="dxa"/>
          <w:jc w:val="center"/>
        </w:trPr>
        <w:tc>
          <w:tcPr>
            <w:tcW w:w="0" w:type="auto"/>
            <w:shd w:val="clear" w:color="auto" w:fill="CCEEFF"/>
            <w:hideMark/>
          </w:tcPr>
          <w:p w14:paraId="45ECA916" w14:textId="77777777" w:rsidR="002B5D06" w:rsidRDefault="000B69DD">
            <w:pPr>
              <w:pStyle w:val="NormalWeb"/>
              <w:spacing w:before="0" w:beforeAutospacing="0" w:after="0" w:afterAutospacing="0"/>
              <w:rPr>
                <w:sz w:val="20"/>
                <w:szCs w:val="20"/>
              </w:rPr>
            </w:pPr>
            <w:r>
              <w:rPr>
                <w:sz w:val="20"/>
                <w:szCs w:val="20"/>
              </w:rPr>
              <w:t>Directors and Officers Total:</w:t>
            </w:r>
          </w:p>
        </w:tc>
        <w:tc>
          <w:tcPr>
            <w:tcW w:w="50" w:type="pct"/>
            <w:shd w:val="clear" w:color="auto" w:fill="CCEEFF"/>
            <w:noWrap/>
            <w:vAlign w:val="center"/>
            <w:hideMark/>
          </w:tcPr>
          <w:p w14:paraId="231F8FE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CE15643"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BB6EFAE" w14:textId="77777777" w:rsidR="002B5D06" w:rsidRDefault="000B69DD">
            <w:pPr>
              <w:jc w:val="right"/>
              <w:rPr>
                <w:rFonts w:eastAsia="Times New Roman"/>
                <w:sz w:val="20"/>
                <w:szCs w:val="20"/>
              </w:rPr>
            </w:pPr>
            <w:r>
              <w:rPr>
                <w:rFonts w:eastAsia="Times New Roman"/>
                <w:sz w:val="20"/>
                <w:szCs w:val="20"/>
              </w:rPr>
              <w:t>1,004,500</w:t>
            </w:r>
          </w:p>
        </w:tc>
        <w:tc>
          <w:tcPr>
            <w:tcW w:w="50" w:type="pct"/>
            <w:shd w:val="clear" w:color="auto" w:fill="CCEEFF"/>
            <w:noWrap/>
            <w:vAlign w:val="center"/>
            <w:hideMark/>
          </w:tcPr>
          <w:p w14:paraId="7415A78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DC98EA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873ADE9"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48E3917F" w14:textId="77777777" w:rsidR="002B5D06" w:rsidRDefault="000B69DD">
            <w:pPr>
              <w:jc w:val="right"/>
              <w:rPr>
                <w:rFonts w:eastAsia="Times New Roman"/>
                <w:sz w:val="20"/>
                <w:szCs w:val="20"/>
              </w:rPr>
            </w:pPr>
            <w:r>
              <w:rPr>
                <w:rFonts w:eastAsia="Times New Roman"/>
                <w:sz w:val="20"/>
                <w:szCs w:val="20"/>
              </w:rPr>
              <w:t>30.41</w:t>
            </w:r>
          </w:p>
        </w:tc>
        <w:tc>
          <w:tcPr>
            <w:tcW w:w="50" w:type="pct"/>
            <w:shd w:val="clear" w:color="auto" w:fill="CCEEFF"/>
            <w:noWrap/>
            <w:vAlign w:val="bottom"/>
            <w:hideMark/>
          </w:tcPr>
          <w:p w14:paraId="5D518469" w14:textId="77777777" w:rsidR="002B5D06" w:rsidRDefault="000B69DD">
            <w:pPr>
              <w:rPr>
                <w:rFonts w:eastAsia="Times New Roman"/>
                <w:sz w:val="20"/>
                <w:szCs w:val="20"/>
              </w:rPr>
            </w:pPr>
            <w:r>
              <w:rPr>
                <w:rFonts w:eastAsia="Times New Roman"/>
                <w:sz w:val="20"/>
                <w:szCs w:val="20"/>
              </w:rPr>
              <w:t>%</w:t>
            </w:r>
          </w:p>
        </w:tc>
      </w:tr>
    </w:tbl>
    <w:p w14:paraId="232A0E95"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F7E29E5" w14:textId="77777777" w:rsidR="002B5D06" w:rsidRDefault="000B69DD">
      <w:pPr>
        <w:pStyle w:val="NormalWeb"/>
        <w:spacing w:before="0" w:beforeAutospacing="0" w:after="0" w:afterAutospacing="0"/>
        <w:jc w:val="both"/>
        <w:divId w:val="1684360448"/>
        <w:rPr>
          <w:sz w:val="20"/>
          <w:szCs w:val="20"/>
        </w:rPr>
      </w:pPr>
      <w:r>
        <w:rPr>
          <w:rStyle w:val="atag"/>
          <w:b/>
          <w:bCs/>
          <w:i/>
          <w:iCs/>
          <w:sz w:val="20"/>
          <w:szCs w:val="20"/>
        </w:rPr>
        <w:t>ITEM 13. CERTAIN RELATIONSHIPS AND RELATED TRANSACTIONS AND DIRECTOR INDEPENDENCE</w:t>
      </w:r>
    </w:p>
    <w:p w14:paraId="4619FFC5"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 </w:t>
      </w:r>
    </w:p>
    <w:p w14:paraId="6E7610A4" w14:textId="77777777" w:rsidR="002B5D06" w:rsidRDefault="000B69DD">
      <w:pPr>
        <w:pStyle w:val="NormalWeb"/>
        <w:spacing w:before="0" w:beforeAutospacing="0" w:after="0" w:afterAutospacing="0"/>
        <w:jc w:val="both"/>
        <w:divId w:val="1684360448"/>
        <w:rPr>
          <w:sz w:val="20"/>
          <w:szCs w:val="20"/>
        </w:rPr>
      </w:pPr>
      <w:r>
        <w:rPr>
          <w:sz w:val="20"/>
          <w:szCs w:val="20"/>
        </w:rPr>
        <w:t>The Company’s transactions with its officers, directors and affiliates have been and such future transactions will be, on terms no less favorable to the Company than could have been realized by the Company in arms-length transactions with non-affiliated persons and will be approved by a majority of the independent disinterested directors.</w:t>
      </w:r>
    </w:p>
    <w:p w14:paraId="426948E2"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C1DCFC1" w14:textId="77777777" w:rsidR="002B5D06" w:rsidRDefault="000B69DD">
      <w:pPr>
        <w:pStyle w:val="NormalWeb"/>
        <w:spacing w:before="0" w:beforeAutospacing="0" w:after="0" w:afterAutospacing="0"/>
        <w:jc w:val="both"/>
        <w:divId w:val="1684360448"/>
        <w:rPr>
          <w:sz w:val="20"/>
          <w:szCs w:val="20"/>
        </w:rPr>
      </w:pPr>
      <w:r>
        <w:rPr>
          <w:sz w:val="20"/>
          <w:szCs w:val="20"/>
        </w:rPr>
        <w:t>Crossfield, Inc., a company of which the CEO, Robert Wolfe is an officer and director, has made advances to the Company which are not collateralized, non-interest bearing, and payable upon demand. At June 30, 2025 and 2024, the Company had a balance of $55,974 and $128,373 respectively. During the twelve-month period ended June 30, 2025 and 2024 expenses paid on behalf of the Company were $27,419 and $25,950 respectively. The Company repaid $89,819 and $46,604 of the advancement during the year ending June 30, 2025 and 2024 respectively.</w:t>
      </w:r>
    </w:p>
    <w:p w14:paraId="7EB80E27"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603F5B6"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Director Independence</w:t>
      </w:r>
    </w:p>
    <w:p w14:paraId="10F63796"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0BF41B2" w14:textId="77777777" w:rsidR="002B5D06" w:rsidRDefault="000B69DD">
      <w:pPr>
        <w:pStyle w:val="NormalWeb"/>
        <w:spacing w:before="0" w:beforeAutospacing="0" w:after="0" w:afterAutospacing="0"/>
        <w:jc w:val="both"/>
        <w:divId w:val="1684360448"/>
        <w:rPr>
          <w:sz w:val="20"/>
          <w:szCs w:val="20"/>
        </w:rPr>
      </w:pPr>
      <w:r>
        <w:rPr>
          <w:sz w:val="20"/>
          <w:szCs w:val="20"/>
        </w:rPr>
        <w:t>During the year ended June 30, 2025, Robert Wolfe and Lawrence Donofrio served as our directors and only Mr. Donofrio is an independent director as he has no ownership, employment, or business interaction with the Company. We are currently traded on the Over-the-Counter Bulletin Board system and specifically the OTC PINK. The OTC PINK does not require that a majority of the Board be independent.</w:t>
      </w:r>
    </w:p>
    <w:p w14:paraId="54481916"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66B22B5B" w14:textId="77777777">
        <w:trPr>
          <w:divId w:val="1684360448"/>
          <w:trHeight w:val="225"/>
          <w:tblCellSpacing w:w="15" w:type="dxa"/>
          <w:jc w:val="center"/>
        </w:trPr>
        <w:tc>
          <w:tcPr>
            <w:tcW w:w="0" w:type="auto"/>
            <w:vAlign w:val="center"/>
            <w:hideMark/>
          </w:tcPr>
          <w:p w14:paraId="6CF74F82" w14:textId="77777777" w:rsidR="002B5D06" w:rsidRDefault="000B69DD">
            <w:pPr>
              <w:rPr>
                <w:rFonts w:eastAsia="Times New Roman"/>
                <w:sz w:val="20"/>
                <w:szCs w:val="20"/>
              </w:rPr>
            </w:pPr>
            <w:r>
              <w:rPr>
                <w:rFonts w:eastAsia="Times New Roman"/>
                <w:sz w:val="20"/>
                <w:szCs w:val="20"/>
              </w:rPr>
              <w:t> </w:t>
            </w:r>
          </w:p>
        </w:tc>
      </w:tr>
      <w:tr w:rsidR="002B5D06" w14:paraId="24D30178" w14:textId="77777777">
        <w:trPr>
          <w:divId w:val="1684360448"/>
          <w:trHeight w:val="225"/>
          <w:tblCellSpacing w:w="15" w:type="dxa"/>
          <w:jc w:val="center"/>
        </w:trPr>
        <w:tc>
          <w:tcPr>
            <w:tcW w:w="0" w:type="auto"/>
            <w:tcBorders>
              <w:bottom w:val="single" w:sz="6" w:space="0" w:color="000000"/>
            </w:tcBorders>
            <w:vAlign w:val="center"/>
            <w:hideMark/>
          </w:tcPr>
          <w:p w14:paraId="5C362915" w14:textId="77777777" w:rsidR="002B5D06" w:rsidRDefault="000B69DD">
            <w:pPr>
              <w:jc w:val="center"/>
              <w:rPr>
                <w:rFonts w:eastAsia="Times New Roman"/>
                <w:sz w:val="20"/>
                <w:szCs w:val="20"/>
              </w:rPr>
            </w:pPr>
            <w:r>
              <w:rPr>
                <w:rFonts w:eastAsia="Times New Roman"/>
                <w:sz w:val="20"/>
                <w:szCs w:val="20"/>
              </w:rPr>
              <w:t>22</w:t>
            </w:r>
          </w:p>
        </w:tc>
      </w:tr>
      <w:tr w:rsidR="002B5D06" w14:paraId="74109AC7" w14:textId="77777777">
        <w:trPr>
          <w:divId w:val="1684360448"/>
          <w:trHeight w:val="225"/>
          <w:tblCellSpacing w:w="15" w:type="dxa"/>
          <w:jc w:val="center"/>
        </w:trPr>
        <w:tc>
          <w:tcPr>
            <w:tcW w:w="0" w:type="auto"/>
            <w:vAlign w:val="center"/>
            <w:hideMark/>
          </w:tcPr>
          <w:p w14:paraId="4DEC0F37" w14:textId="77777777" w:rsidR="002B5D06" w:rsidRDefault="002B5D06">
            <w:pPr>
              <w:rPr>
                <w:rFonts w:eastAsia="Times New Roman"/>
                <w:sz w:val="20"/>
                <w:szCs w:val="20"/>
              </w:rPr>
            </w:pPr>
          </w:p>
        </w:tc>
      </w:tr>
      <w:tr w:rsidR="002B5D06" w14:paraId="1A92B08C" w14:textId="77777777">
        <w:trPr>
          <w:divId w:val="1684360448"/>
          <w:trHeight w:val="225"/>
          <w:tblCellSpacing w:w="15" w:type="dxa"/>
          <w:jc w:val="center"/>
        </w:trPr>
        <w:tc>
          <w:tcPr>
            <w:tcW w:w="0" w:type="auto"/>
            <w:vAlign w:val="center"/>
            <w:hideMark/>
          </w:tcPr>
          <w:p w14:paraId="3C0EB06A" w14:textId="77777777" w:rsidR="002B5D06" w:rsidRDefault="002B5D06">
            <w:pPr>
              <w:rPr>
                <w:rFonts w:eastAsia="Times New Roman"/>
                <w:sz w:val="20"/>
                <w:szCs w:val="20"/>
              </w:rPr>
            </w:pPr>
          </w:p>
        </w:tc>
      </w:tr>
    </w:tbl>
    <w:p w14:paraId="088B9CC4"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6F09BDA1" w14:textId="77777777" w:rsidR="002B5D06" w:rsidRDefault="000B69DD">
      <w:pPr>
        <w:pStyle w:val="NormalWeb"/>
        <w:spacing w:before="0" w:beforeAutospacing="0" w:after="0" w:afterAutospacing="0"/>
        <w:divId w:val="1684360448"/>
        <w:rPr>
          <w:sz w:val="20"/>
          <w:szCs w:val="20"/>
        </w:rPr>
      </w:pPr>
      <w:r>
        <w:rPr>
          <w:sz w:val="20"/>
          <w:szCs w:val="20"/>
        </w:rPr>
        <w:t> </w:t>
      </w:r>
    </w:p>
    <w:p w14:paraId="63BCACB1" w14:textId="77777777" w:rsidR="002B5D06" w:rsidRDefault="000B69DD">
      <w:pPr>
        <w:pStyle w:val="NormalWeb"/>
        <w:spacing w:before="0" w:beforeAutospacing="0" w:after="0" w:afterAutospacing="0"/>
        <w:jc w:val="both"/>
        <w:divId w:val="1684360448"/>
        <w:rPr>
          <w:sz w:val="20"/>
          <w:szCs w:val="20"/>
        </w:rPr>
      </w:pPr>
      <w:r>
        <w:rPr>
          <w:rStyle w:val="atag"/>
          <w:b/>
          <w:bCs/>
          <w:i/>
          <w:iCs/>
          <w:sz w:val="20"/>
          <w:szCs w:val="20"/>
        </w:rPr>
        <w:t>ITEM 14. PRINCIPAL ACCOUNTANT FEES AND SERVICES</w:t>
      </w:r>
    </w:p>
    <w:p w14:paraId="5839EF05"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 </w:t>
      </w:r>
    </w:p>
    <w:p w14:paraId="41938229" w14:textId="77777777" w:rsidR="002B5D06" w:rsidRDefault="000B69DD">
      <w:pPr>
        <w:pStyle w:val="NormalWeb"/>
        <w:spacing w:before="0" w:beforeAutospacing="0" w:after="0" w:afterAutospacing="0"/>
        <w:jc w:val="both"/>
        <w:divId w:val="1684360448"/>
        <w:rPr>
          <w:sz w:val="20"/>
          <w:szCs w:val="20"/>
        </w:rPr>
      </w:pPr>
      <w:r>
        <w:rPr>
          <w:sz w:val="20"/>
          <w:szCs w:val="20"/>
        </w:rPr>
        <w:t>The Company’s auditors for the periods ending June 30, 2025 and June 30, 2024 were Sadler, Gibb &amp;Associates, LLC, 344 W 13800 S, Suite 250, Draper, UT 84020. We have paid or expect to pay the following fees to Sadler, Gibb &amp; Associates, LLC for work performed for the fiscal years ending June 30, 2025, and June 30, 2024, attributable to the audits of consolidated financial statements:</w:t>
      </w:r>
    </w:p>
    <w:p w14:paraId="52F53596"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2B5D06" w14:paraId="0D820DE4" w14:textId="77777777">
        <w:trPr>
          <w:divId w:val="1684360448"/>
          <w:trHeight w:val="225"/>
          <w:tblCellSpacing w:w="15" w:type="dxa"/>
          <w:jc w:val="center"/>
        </w:trPr>
        <w:tc>
          <w:tcPr>
            <w:tcW w:w="0" w:type="auto"/>
            <w:tcBorders>
              <w:bottom w:val="single" w:sz="6" w:space="0" w:color="auto"/>
            </w:tcBorders>
            <w:vAlign w:val="bottom"/>
            <w:hideMark/>
          </w:tcPr>
          <w:p w14:paraId="24159B67" w14:textId="77777777" w:rsidR="002B5D06" w:rsidRDefault="000B69DD">
            <w:pPr>
              <w:pStyle w:val="NormalWeb"/>
              <w:spacing w:before="0" w:beforeAutospacing="0" w:after="0" w:afterAutospacing="0"/>
              <w:rPr>
                <w:sz w:val="20"/>
                <w:szCs w:val="20"/>
              </w:rPr>
            </w:pPr>
            <w:r>
              <w:rPr>
                <w:rStyle w:val="Strong"/>
                <w:sz w:val="20"/>
                <w:szCs w:val="20"/>
              </w:rPr>
              <w:t>Year ending June 30,</w:t>
            </w:r>
          </w:p>
        </w:tc>
        <w:tc>
          <w:tcPr>
            <w:tcW w:w="0" w:type="auto"/>
            <w:noWrap/>
            <w:vAlign w:val="center"/>
            <w:hideMark/>
          </w:tcPr>
          <w:p w14:paraId="6BF78513"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1B90EC2" w14:textId="77777777" w:rsidR="002B5D06" w:rsidRDefault="000B69DD">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0377EED7"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2B1250B9"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78AF9FE5" w14:textId="77777777" w:rsidR="002B5D06" w:rsidRDefault="000B69DD">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04961A78" w14:textId="77777777" w:rsidR="002B5D06" w:rsidRDefault="000B69DD">
            <w:pPr>
              <w:pStyle w:val="NormalWeb"/>
              <w:spacing w:before="0" w:beforeAutospacing="0" w:after="0" w:afterAutospacing="0"/>
              <w:rPr>
                <w:sz w:val="20"/>
                <w:szCs w:val="20"/>
              </w:rPr>
            </w:pPr>
            <w:r>
              <w:rPr>
                <w:sz w:val="20"/>
                <w:szCs w:val="20"/>
              </w:rPr>
              <w:t> </w:t>
            </w:r>
          </w:p>
        </w:tc>
      </w:tr>
      <w:tr w:rsidR="002B5D06" w14:paraId="39C0CF85" w14:textId="77777777">
        <w:trPr>
          <w:divId w:val="1684360448"/>
          <w:trHeight w:val="225"/>
          <w:tblCellSpacing w:w="15" w:type="dxa"/>
          <w:jc w:val="center"/>
        </w:trPr>
        <w:tc>
          <w:tcPr>
            <w:tcW w:w="0" w:type="auto"/>
            <w:shd w:val="clear" w:color="auto" w:fill="CCEEFF"/>
            <w:hideMark/>
          </w:tcPr>
          <w:p w14:paraId="515BA251" w14:textId="77777777" w:rsidR="002B5D06" w:rsidRDefault="000B69DD">
            <w:pPr>
              <w:pStyle w:val="NormalWeb"/>
              <w:spacing w:before="0" w:beforeAutospacing="0" w:after="0" w:afterAutospacing="0"/>
              <w:rPr>
                <w:sz w:val="20"/>
                <w:szCs w:val="20"/>
              </w:rPr>
            </w:pPr>
            <w:r>
              <w:rPr>
                <w:sz w:val="20"/>
                <w:szCs w:val="20"/>
              </w:rPr>
              <w:t>Audit-Related Fees</w:t>
            </w:r>
          </w:p>
        </w:tc>
        <w:tc>
          <w:tcPr>
            <w:tcW w:w="50" w:type="pct"/>
            <w:shd w:val="clear" w:color="auto" w:fill="CCEEFF"/>
            <w:noWrap/>
            <w:vAlign w:val="center"/>
            <w:hideMark/>
          </w:tcPr>
          <w:p w14:paraId="436EE9F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113BD0C"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3D482DEE" w14:textId="77777777" w:rsidR="002B5D06" w:rsidRDefault="000B69DD">
            <w:pPr>
              <w:jc w:val="right"/>
              <w:rPr>
                <w:rFonts w:eastAsia="Times New Roman"/>
                <w:sz w:val="20"/>
                <w:szCs w:val="20"/>
              </w:rPr>
            </w:pPr>
            <w:r>
              <w:rPr>
                <w:rFonts w:eastAsia="Times New Roman"/>
                <w:sz w:val="20"/>
                <w:szCs w:val="20"/>
              </w:rPr>
              <w:t>23,460</w:t>
            </w:r>
          </w:p>
        </w:tc>
        <w:tc>
          <w:tcPr>
            <w:tcW w:w="50" w:type="pct"/>
            <w:shd w:val="clear" w:color="auto" w:fill="CCEEFF"/>
            <w:noWrap/>
            <w:vAlign w:val="center"/>
            <w:hideMark/>
          </w:tcPr>
          <w:p w14:paraId="1516E29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A00BB7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9248591"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0924F481" w14:textId="77777777" w:rsidR="002B5D06" w:rsidRDefault="000B69DD">
            <w:pPr>
              <w:jc w:val="right"/>
              <w:rPr>
                <w:rFonts w:eastAsia="Times New Roman"/>
                <w:sz w:val="20"/>
                <w:szCs w:val="20"/>
              </w:rPr>
            </w:pPr>
            <w:r>
              <w:rPr>
                <w:rFonts w:eastAsia="Times New Roman"/>
                <w:sz w:val="20"/>
                <w:szCs w:val="20"/>
              </w:rPr>
              <w:t>21,500</w:t>
            </w:r>
          </w:p>
        </w:tc>
        <w:tc>
          <w:tcPr>
            <w:tcW w:w="50" w:type="pct"/>
            <w:shd w:val="clear" w:color="auto" w:fill="CCEEFF"/>
            <w:noWrap/>
            <w:vAlign w:val="center"/>
            <w:hideMark/>
          </w:tcPr>
          <w:p w14:paraId="69C4B0D5" w14:textId="77777777" w:rsidR="002B5D06" w:rsidRDefault="000B69DD">
            <w:pPr>
              <w:pStyle w:val="NormalWeb"/>
              <w:spacing w:before="0" w:beforeAutospacing="0" w:after="0" w:afterAutospacing="0"/>
              <w:rPr>
                <w:sz w:val="20"/>
                <w:szCs w:val="20"/>
              </w:rPr>
            </w:pPr>
            <w:r>
              <w:rPr>
                <w:sz w:val="20"/>
                <w:szCs w:val="20"/>
              </w:rPr>
              <w:t> </w:t>
            </w:r>
          </w:p>
        </w:tc>
      </w:tr>
      <w:tr w:rsidR="002B5D06" w14:paraId="12DE8C8D" w14:textId="77777777">
        <w:trPr>
          <w:divId w:val="1684360448"/>
          <w:trHeight w:val="225"/>
          <w:tblCellSpacing w:w="15" w:type="dxa"/>
          <w:jc w:val="center"/>
        </w:trPr>
        <w:tc>
          <w:tcPr>
            <w:tcW w:w="0" w:type="auto"/>
            <w:shd w:val="clear" w:color="auto" w:fill="FFFFFF"/>
            <w:hideMark/>
          </w:tcPr>
          <w:p w14:paraId="34E5E9A0" w14:textId="77777777" w:rsidR="002B5D06" w:rsidRDefault="000B69DD">
            <w:pPr>
              <w:pStyle w:val="NormalWeb"/>
              <w:spacing w:before="0" w:beforeAutospacing="0" w:after="0" w:afterAutospacing="0"/>
              <w:rPr>
                <w:sz w:val="20"/>
                <w:szCs w:val="20"/>
              </w:rPr>
            </w:pPr>
            <w:r>
              <w:rPr>
                <w:sz w:val="20"/>
                <w:szCs w:val="20"/>
              </w:rPr>
              <w:t>Tax and consulting Fees</w:t>
            </w:r>
          </w:p>
        </w:tc>
        <w:tc>
          <w:tcPr>
            <w:tcW w:w="50" w:type="pct"/>
            <w:shd w:val="clear" w:color="auto" w:fill="FFFFFF"/>
            <w:noWrap/>
            <w:vAlign w:val="center"/>
            <w:hideMark/>
          </w:tcPr>
          <w:p w14:paraId="73405D7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074E7CDE" w14:textId="77777777" w:rsidR="002B5D06" w:rsidRDefault="000B69DD">
            <w:pPr>
              <w:rPr>
                <w:rFonts w:eastAsia="Times New Roman"/>
                <w:sz w:val="20"/>
                <w:szCs w:val="20"/>
              </w:rPr>
            </w:pPr>
            <w:r>
              <w:rPr>
                <w:rFonts w:eastAsia="Times New Roman"/>
                <w:sz w:val="20"/>
                <w:szCs w:val="20"/>
              </w:rPr>
              <w:t>$</w:t>
            </w:r>
          </w:p>
        </w:tc>
        <w:tc>
          <w:tcPr>
            <w:tcW w:w="450" w:type="pct"/>
            <w:shd w:val="clear" w:color="auto" w:fill="FFFFFF"/>
            <w:vAlign w:val="bottom"/>
            <w:hideMark/>
          </w:tcPr>
          <w:p w14:paraId="69191402"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022175E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8B41AD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1075BB38" w14:textId="77777777" w:rsidR="002B5D06" w:rsidRDefault="000B69DD">
            <w:pPr>
              <w:rPr>
                <w:rFonts w:eastAsia="Times New Roman"/>
                <w:sz w:val="20"/>
                <w:szCs w:val="20"/>
              </w:rPr>
            </w:pPr>
            <w:r>
              <w:rPr>
                <w:rFonts w:eastAsia="Times New Roman"/>
                <w:sz w:val="20"/>
                <w:szCs w:val="20"/>
              </w:rPr>
              <w:t>$</w:t>
            </w:r>
          </w:p>
        </w:tc>
        <w:tc>
          <w:tcPr>
            <w:tcW w:w="450" w:type="pct"/>
            <w:shd w:val="clear" w:color="auto" w:fill="FFFFFF"/>
            <w:vAlign w:val="bottom"/>
            <w:hideMark/>
          </w:tcPr>
          <w:p w14:paraId="0F9BFE0E"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6E6E2717" w14:textId="77777777" w:rsidR="002B5D06" w:rsidRDefault="000B69DD">
            <w:pPr>
              <w:pStyle w:val="NormalWeb"/>
              <w:spacing w:before="0" w:beforeAutospacing="0" w:after="0" w:afterAutospacing="0"/>
              <w:rPr>
                <w:sz w:val="20"/>
                <w:szCs w:val="20"/>
              </w:rPr>
            </w:pPr>
            <w:r>
              <w:rPr>
                <w:sz w:val="20"/>
                <w:szCs w:val="20"/>
              </w:rPr>
              <w:t> </w:t>
            </w:r>
          </w:p>
        </w:tc>
      </w:tr>
      <w:tr w:rsidR="002B5D06" w14:paraId="030014F2" w14:textId="77777777">
        <w:trPr>
          <w:divId w:val="1684360448"/>
          <w:trHeight w:val="225"/>
          <w:tblCellSpacing w:w="15" w:type="dxa"/>
          <w:jc w:val="center"/>
        </w:trPr>
        <w:tc>
          <w:tcPr>
            <w:tcW w:w="0" w:type="auto"/>
            <w:shd w:val="clear" w:color="auto" w:fill="CCEEFF"/>
            <w:hideMark/>
          </w:tcPr>
          <w:p w14:paraId="7EC2C5F9" w14:textId="77777777" w:rsidR="002B5D06" w:rsidRDefault="000B69DD">
            <w:pPr>
              <w:pStyle w:val="NormalWeb"/>
              <w:spacing w:before="0" w:beforeAutospacing="0" w:after="0" w:afterAutospacing="0"/>
              <w:rPr>
                <w:sz w:val="20"/>
                <w:szCs w:val="20"/>
              </w:rPr>
            </w:pPr>
            <w:r>
              <w:rPr>
                <w:sz w:val="20"/>
                <w:szCs w:val="20"/>
              </w:rPr>
              <w:t>Other fees</w:t>
            </w:r>
          </w:p>
        </w:tc>
        <w:tc>
          <w:tcPr>
            <w:tcW w:w="50" w:type="pct"/>
            <w:shd w:val="clear" w:color="auto" w:fill="CCEEFF"/>
            <w:noWrap/>
            <w:vAlign w:val="center"/>
            <w:hideMark/>
          </w:tcPr>
          <w:p w14:paraId="1131EFF9"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3CFE984"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1A3E406D"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613A5669"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611D88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5AD9454"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2F204511"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4065BE5" w14:textId="77777777" w:rsidR="002B5D06" w:rsidRDefault="000B69DD">
            <w:pPr>
              <w:pStyle w:val="NormalWeb"/>
              <w:spacing w:before="0" w:beforeAutospacing="0" w:after="0" w:afterAutospacing="0"/>
              <w:rPr>
                <w:sz w:val="20"/>
                <w:szCs w:val="20"/>
              </w:rPr>
            </w:pPr>
            <w:r>
              <w:rPr>
                <w:sz w:val="20"/>
                <w:szCs w:val="20"/>
              </w:rPr>
              <w:t> </w:t>
            </w:r>
          </w:p>
        </w:tc>
      </w:tr>
    </w:tbl>
    <w:p w14:paraId="35303698"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5AB4548" w14:textId="77777777" w:rsidR="002B5D06" w:rsidRDefault="000B69DD">
      <w:pPr>
        <w:pStyle w:val="NormalWeb"/>
        <w:spacing w:before="0" w:beforeAutospacing="0" w:after="0" w:afterAutospacing="0"/>
        <w:jc w:val="both"/>
        <w:divId w:val="1684360448"/>
        <w:rPr>
          <w:sz w:val="20"/>
          <w:szCs w:val="20"/>
        </w:rPr>
      </w:pPr>
      <w:r>
        <w:rPr>
          <w:sz w:val="20"/>
          <w:szCs w:val="20"/>
        </w:rPr>
        <w:t>The aggregate fees billed include amounts for interim reviews and the audit of the consolidated financial statements for 2025.</w:t>
      </w:r>
    </w:p>
    <w:p w14:paraId="668DA063"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24EEFDF" w14:textId="77777777" w:rsidR="002B5D06" w:rsidRDefault="000B69DD">
      <w:pPr>
        <w:pStyle w:val="NormalWeb"/>
        <w:spacing w:before="0" w:beforeAutospacing="0" w:after="0" w:afterAutospacing="0"/>
        <w:jc w:val="both"/>
        <w:divId w:val="1684360448"/>
        <w:rPr>
          <w:sz w:val="20"/>
          <w:szCs w:val="20"/>
        </w:rPr>
      </w:pPr>
      <w:r>
        <w:rPr>
          <w:sz w:val="20"/>
          <w:szCs w:val="20"/>
        </w:rPr>
        <w:t>In January 2003, the SEC released final rules to implement Title II of the Sarbanes-Oxley Act of 2003. The rules address auditor independence and have modified the proxy fee disclosure requirements. Audit fees include fees for services that normally would be provided by the accountant in connection with statutory and regulatory filings or engagements and that generally only the independent accountant can provide. In addition to fees for an audit or review in accordance with generally accepted auditing standards, this category contains fees for comfort letters, statutory audits, consents, and assistance with and review of documents filed with the SEC. Audit-related fees are assurance-related services that traditionally are performed by the independent accountant, such as employee benefit plan audits, due diligence related to mergers and acquisitions, internal control reviews, attest services that are not required by statute or regulation, and consultation concerning financial accounting and reporting standards.</w:t>
      </w:r>
    </w:p>
    <w:p w14:paraId="09552C29"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38BD4D2" w14:textId="77777777" w:rsidR="002B5D06" w:rsidRDefault="000B69DD">
      <w:pPr>
        <w:pStyle w:val="NormalWeb"/>
        <w:spacing w:before="0" w:beforeAutospacing="0" w:after="0" w:afterAutospacing="0"/>
        <w:jc w:val="both"/>
        <w:divId w:val="1684360448"/>
        <w:rPr>
          <w:sz w:val="20"/>
          <w:szCs w:val="20"/>
        </w:rPr>
      </w:pPr>
      <w:r>
        <w:rPr>
          <w:sz w:val="20"/>
          <w:szCs w:val="20"/>
        </w:rPr>
        <w:t>The board has reviewed the fees paid to Sadler, Gibb &amp; Associates, LLC and In-Revision. The board has also adopted policies and procedures to approve audit and non-audit services provided in the fiscal year 2025 by Sadler, Gibb &amp; Associates, LLC and In-Revision. These policies and procedures involve annual pre-approval by the board of the types of services to be provided by our independent auditor and fee limits for each type of service on both a per-engagement and aggregate level. The board may additionally ratify certain de minimis services provided by the independent auditor without prior board approval, as permitted by the Sarbanes-Oxley Act and rules of the SEC promulgated thereunder.</w:t>
      </w:r>
    </w:p>
    <w:p w14:paraId="46705168"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57E97AAC" w14:textId="77777777">
        <w:trPr>
          <w:divId w:val="1684360448"/>
          <w:trHeight w:val="225"/>
          <w:tblCellSpacing w:w="15" w:type="dxa"/>
          <w:jc w:val="center"/>
        </w:trPr>
        <w:tc>
          <w:tcPr>
            <w:tcW w:w="0" w:type="auto"/>
            <w:vAlign w:val="center"/>
            <w:hideMark/>
          </w:tcPr>
          <w:p w14:paraId="5DEFE9CE" w14:textId="77777777" w:rsidR="002B5D06" w:rsidRDefault="000B69DD">
            <w:pPr>
              <w:rPr>
                <w:rFonts w:eastAsia="Times New Roman"/>
                <w:sz w:val="20"/>
                <w:szCs w:val="20"/>
              </w:rPr>
            </w:pPr>
            <w:r>
              <w:rPr>
                <w:rFonts w:eastAsia="Times New Roman"/>
                <w:sz w:val="20"/>
                <w:szCs w:val="20"/>
              </w:rPr>
              <w:t> </w:t>
            </w:r>
          </w:p>
        </w:tc>
      </w:tr>
      <w:tr w:rsidR="002B5D06" w14:paraId="1FBCE665" w14:textId="77777777">
        <w:trPr>
          <w:divId w:val="1684360448"/>
          <w:trHeight w:val="225"/>
          <w:tblCellSpacing w:w="15" w:type="dxa"/>
          <w:jc w:val="center"/>
        </w:trPr>
        <w:tc>
          <w:tcPr>
            <w:tcW w:w="0" w:type="auto"/>
            <w:tcBorders>
              <w:bottom w:val="single" w:sz="6" w:space="0" w:color="000000"/>
            </w:tcBorders>
            <w:vAlign w:val="center"/>
            <w:hideMark/>
          </w:tcPr>
          <w:p w14:paraId="3313F579" w14:textId="77777777" w:rsidR="002B5D06" w:rsidRDefault="000B69DD">
            <w:pPr>
              <w:jc w:val="center"/>
              <w:rPr>
                <w:rFonts w:eastAsia="Times New Roman"/>
                <w:sz w:val="20"/>
                <w:szCs w:val="20"/>
              </w:rPr>
            </w:pPr>
            <w:r>
              <w:rPr>
                <w:rFonts w:eastAsia="Times New Roman"/>
                <w:sz w:val="20"/>
                <w:szCs w:val="20"/>
              </w:rPr>
              <w:t>23</w:t>
            </w:r>
          </w:p>
        </w:tc>
      </w:tr>
      <w:tr w:rsidR="002B5D06" w14:paraId="13CFF7BE" w14:textId="77777777">
        <w:trPr>
          <w:divId w:val="1684360448"/>
          <w:trHeight w:val="225"/>
          <w:tblCellSpacing w:w="15" w:type="dxa"/>
          <w:jc w:val="center"/>
        </w:trPr>
        <w:tc>
          <w:tcPr>
            <w:tcW w:w="0" w:type="auto"/>
            <w:vAlign w:val="center"/>
            <w:hideMark/>
          </w:tcPr>
          <w:p w14:paraId="2CDF7673" w14:textId="77777777" w:rsidR="002B5D06" w:rsidRDefault="002B5D06">
            <w:pPr>
              <w:rPr>
                <w:rFonts w:eastAsia="Times New Roman"/>
                <w:sz w:val="20"/>
                <w:szCs w:val="20"/>
              </w:rPr>
            </w:pPr>
          </w:p>
        </w:tc>
      </w:tr>
      <w:tr w:rsidR="002B5D06" w14:paraId="74F939E9" w14:textId="77777777">
        <w:trPr>
          <w:divId w:val="1684360448"/>
          <w:trHeight w:val="225"/>
          <w:tblCellSpacing w:w="15" w:type="dxa"/>
          <w:jc w:val="center"/>
        </w:trPr>
        <w:tc>
          <w:tcPr>
            <w:tcW w:w="0" w:type="auto"/>
            <w:vAlign w:val="center"/>
            <w:hideMark/>
          </w:tcPr>
          <w:p w14:paraId="2C5FDEF5" w14:textId="77777777" w:rsidR="002B5D06" w:rsidRDefault="002B5D06">
            <w:pPr>
              <w:rPr>
                <w:rFonts w:eastAsia="Times New Roman"/>
                <w:sz w:val="20"/>
                <w:szCs w:val="20"/>
              </w:rPr>
            </w:pPr>
          </w:p>
        </w:tc>
      </w:tr>
    </w:tbl>
    <w:p w14:paraId="182FA8D7"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776D0A0E" w14:textId="77777777" w:rsidR="002B5D06" w:rsidRDefault="000B69DD">
      <w:pPr>
        <w:pStyle w:val="NormalWeb"/>
        <w:spacing w:before="0" w:beforeAutospacing="0" w:after="0" w:afterAutospacing="0"/>
        <w:divId w:val="1684360448"/>
        <w:rPr>
          <w:sz w:val="20"/>
          <w:szCs w:val="20"/>
        </w:rPr>
      </w:pPr>
      <w:r>
        <w:rPr>
          <w:sz w:val="20"/>
          <w:szCs w:val="20"/>
        </w:rPr>
        <w:t>  </w:t>
      </w:r>
    </w:p>
    <w:p w14:paraId="2D27C601" w14:textId="77777777" w:rsidR="002B5D06" w:rsidRDefault="000B69DD">
      <w:pPr>
        <w:pStyle w:val="NormalWeb"/>
        <w:spacing w:before="0" w:beforeAutospacing="0" w:after="0" w:afterAutospacing="0"/>
        <w:jc w:val="both"/>
        <w:divId w:val="1684360448"/>
        <w:rPr>
          <w:sz w:val="20"/>
          <w:szCs w:val="20"/>
        </w:rPr>
      </w:pPr>
      <w:r>
        <w:rPr>
          <w:rStyle w:val="atag"/>
          <w:b/>
          <w:bCs/>
          <w:sz w:val="20"/>
          <w:szCs w:val="20"/>
        </w:rPr>
        <w:t>PART IV</w:t>
      </w:r>
    </w:p>
    <w:p w14:paraId="69E3E535"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 </w:t>
      </w:r>
    </w:p>
    <w:p w14:paraId="66DD2214" w14:textId="77777777" w:rsidR="002B5D06" w:rsidRDefault="000B69DD">
      <w:pPr>
        <w:pStyle w:val="NormalWeb"/>
        <w:spacing w:before="0" w:beforeAutospacing="0" w:after="0" w:afterAutospacing="0"/>
        <w:jc w:val="both"/>
        <w:divId w:val="1684360448"/>
        <w:rPr>
          <w:sz w:val="20"/>
          <w:szCs w:val="20"/>
        </w:rPr>
      </w:pPr>
      <w:r>
        <w:rPr>
          <w:rStyle w:val="atag"/>
          <w:b/>
          <w:bCs/>
          <w:i/>
          <w:iCs/>
          <w:sz w:val="20"/>
          <w:szCs w:val="20"/>
        </w:rPr>
        <w:t>ITEM 15: EXHIBITS AND REPORTS ON FORMS 8K,</w:t>
      </w:r>
    </w:p>
    <w:p w14:paraId="4C7154D2"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 </w:t>
      </w:r>
    </w:p>
    <w:p w14:paraId="32CFEA49"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Reports filed on Form 8-K for the year ending June 30, 2025:</w:t>
      </w:r>
    </w:p>
    <w:p w14:paraId="6D5BBEDE"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3B64E5F" w14:textId="77777777" w:rsidR="002B5D06" w:rsidRDefault="000B69DD">
      <w:pPr>
        <w:pStyle w:val="NormalWeb"/>
        <w:spacing w:before="0" w:beforeAutospacing="0" w:after="0" w:afterAutospacing="0"/>
        <w:jc w:val="both"/>
        <w:divId w:val="1684360448"/>
        <w:rPr>
          <w:sz w:val="20"/>
          <w:szCs w:val="20"/>
        </w:rPr>
      </w:pPr>
      <w:r>
        <w:rPr>
          <w:sz w:val="20"/>
          <w:szCs w:val="20"/>
        </w:rPr>
        <w:t>None</w:t>
      </w:r>
    </w:p>
    <w:p w14:paraId="33E978F1"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ED174B8"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Exhibits</w:t>
      </w:r>
    </w:p>
    <w:p w14:paraId="64776F0A"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795"/>
        <w:gridCol w:w="117"/>
        <w:gridCol w:w="8448"/>
      </w:tblGrid>
      <w:tr w:rsidR="002B5D06" w14:paraId="766E19F6" w14:textId="77777777">
        <w:trPr>
          <w:divId w:val="1684360448"/>
          <w:trHeight w:val="225"/>
          <w:tblCellSpacing w:w="15" w:type="dxa"/>
          <w:jc w:val="center"/>
        </w:trPr>
        <w:tc>
          <w:tcPr>
            <w:tcW w:w="400" w:type="pct"/>
            <w:tcBorders>
              <w:bottom w:val="single" w:sz="6" w:space="0" w:color="auto"/>
            </w:tcBorders>
            <w:vAlign w:val="bottom"/>
            <w:hideMark/>
          </w:tcPr>
          <w:p w14:paraId="54EBB550" w14:textId="77777777" w:rsidR="002B5D06" w:rsidRDefault="000B69DD">
            <w:pPr>
              <w:pStyle w:val="NormalWeb"/>
              <w:spacing w:before="0" w:beforeAutospacing="0" w:after="0" w:afterAutospacing="0"/>
              <w:jc w:val="both"/>
              <w:rPr>
                <w:sz w:val="20"/>
                <w:szCs w:val="20"/>
              </w:rPr>
            </w:pPr>
            <w:r>
              <w:rPr>
                <w:rStyle w:val="Strong"/>
                <w:sz w:val="20"/>
                <w:szCs w:val="20"/>
              </w:rPr>
              <w:t>Exhibit Number</w:t>
            </w:r>
          </w:p>
        </w:tc>
        <w:tc>
          <w:tcPr>
            <w:tcW w:w="50" w:type="pct"/>
            <w:vAlign w:val="center"/>
            <w:hideMark/>
          </w:tcPr>
          <w:p w14:paraId="7197A05E" w14:textId="77777777" w:rsidR="002B5D06" w:rsidRDefault="000B69DD">
            <w:pPr>
              <w:pStyle w:val="NormalWeb"/>
              <w:spacing w:before="0" w:beforeAutospacing="0" w:after="0" w:afterAutospacing="0"/>
              <w:rPr>
                <w:sz w:val="20"/>
                <w:szCs w:val="20"/>
              </w:rPr>
            </w:pPr>
            <w:r>
              <w:rPr>
                <w:sz w:val="20"/>
                <w:szCs w:val="20"/>
              </w:rPr>
              <w:t> </w:t>
            </w:r>
          </w:p>
        </w:tc>
        <w:tc>
          <w:tcPr>
            <w:tcW w:w="0" w:type="auto"/>
            <w:tcBorders>
              <w:bottom w:val="single" w:sz="6" w:space="0" w:color="auto"/>
            </w:tcBorders>
            <w:vAlign w:val="bottom"/>
            <w:hideMark/>
          </w:tcPr>
          <w:p w14:paraId="60F01BF9" w14:textId="77777777" w:rsidR="002B5D06" w:rsidRDefault="000B69DD">
            <w:pPr>
              <w:pStyle w:val="NormalWeb"/>
              <w:spacing w:before="0" w:beforeAutospacing="0" w:after="0" w:afterAutospacing="0"/>
              <w:rPr>
                <w:sz w:val="20"/>
                <w:szCs w:val="20"/>
              </w:rPr>
            </w:pPr>
            <w:r>
              <w:rPr>
                <w:rStyle w:val="Strong"/>
                <w:sz w:val="20"/>
                <w:szCs w:val="20"/>
              </w:rPr>
              <w:t>Description of the Document</w:t>
            </w:r>
          </w:p>
        </w:tc>
      </w:tr>
      <w:tr w:rsidR="002B5D06" w14:paraId="2568EA48" w14:textId="77777777">
        <w:trPr>
          <w:divId w:val="1684360448"/>
          <w:trHeight w:val="225"/>
          <w:tblCellSpacing w:w="15" w:type="dxa"/>
          <w:jc w:val="center"/>
        </w:trPr>
        <w:tc>
          <w:tcPr>
            <w:tcW w:w="0" w:type="auto"/>
            <w:shd w:val="clear" w:color="auto" w:fill="CCEEFF"/>
            <w:hideMark/>
          </w:tcPr>
          <w:p w14:paraId="78E6F1E4" w14:textId="77777777" w:rsidR="002B5D06" w:rsidRDefault="000B69DD">
            <w:pPr>
              <w:pStyle w:val="NormalWeb"/>
              <w:spacing w:before="0" w:beforeAutospacing="0" w:after="0" w:afterAutospacing="0"/>
              <w:jc w:val="both"/>
              <w:rPr>
                <w:sz w:val="20"/>
                <w:szCs w:val="20"/>
              </w:rPr>
            </w:pPr>
            <w:hyperlink r:id="rId4" w:tgtFrame="_blank" w:history="1">
              <w:r>
                <w:rPr>
                  <w:rStyle w:val="Hyperlink"/>
                  <w:sz w:val="20"/>
                  <w:szCs w:val="20"/>
                </w:rPr>
                <w:t>3.1</w:t>
              </w:r>
            </w:hyperlink>
          </w:p>
        </w:tc>
        <w:tc>
          <w:tcPr>
            <w:tcW w:w="0" w:type="auto"/>
            <w:shd w:val="clear" w:color="auto" w:fill="CCEEFF"/>
            <w:vAlign w:val="center"/>
            <w:hideMark/>
          </w:tcPr>
          <w:p w14:paraId="4EDABE06"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38B8D24F" w14:textId="77777777" w:rsidR="002B5D06" w:rsidRDefault="000B69DD">
            <w:pPr>
              <w:pStyle w:val="NormalWeb"/>
              <w:spacing w:before="0" w:beforeAutospacing="0" w:after="0" w:afterAutospacing="0"/>
              <w:jc w:val="both"/>
              <w:rPr>
                <w:sz w:val="20"/>
                <w:szCs w:val="20"/>
              </w:rPr>
            </w:pPr>
            <w:hyperlink r:id="rId5" w:tgtFrame="_blank" w:history="1">
              <w:r>
                <w:rPr>
                  <w:rStyle w:val="Hyperlink"/>
                  <w:sz w:val="20"/>
                  <w:szCs w:val="20"/>
                </w:rPr>
                <w:t>Certificate of Incorporation as Amended and filed with the Secretary of State of Delaware effective on December 5, 2014 (1)</w:t>
              </w:r>
            </w:hyperlink>
          </w:p>
        </w:tc>
      </w:tr>
      <w:tr w:rsidR="002B5D06" w14:paraId="4FBFD04A" w14:textId="77777777">
        <w:trPr>
          <w:divId w:val="1684360448"/>
          <w:trHeight w:val="225"/>
          <w:tblCellSpacing w:w="15" w:type="dxa"/>
          <w:jc w:val="center"/>
        </w:trPr>
        <w:tc>
          <w:tcPr>
            <w:tcW w:w="0" w:type="auto"/>
            <w:shd w:val="clear" w:color="auto" w:fill="FFFFFF"/>
            <w:hideMark/>
          </w:tcPr>
          <w:p w14:paraId="44F08DDE" w14:textId="77777777" w:rsidR="002B5D06" w:rsidRDefault="000B69DD">
            <w:pPr>
              <w:pStyle w:val="NormalWeb"/>
              <w:spacing w:before="0" w:beforeAutospacing="0" w:after="0" w:afterAutospacing="0"/>
              <w:jc w:val="both"/>
              <w:rPr>
                <w:sz w:val="20"/>
                <w:szCs w:val="20"/>
              </w:rPr>
            </w:pPr>
            <w:hyperlink r:id="rId6" w:tgtFrame="_blank" w:history="1">
              <w:r>
                <w:rPr>
                  <w:rStyle w:val="Hyperlink"/>
                  <w:sz w:val="20"/>
                  <w:szCs w:val="20"/>
                </w:rPr>
                <w:t>3.2</w:t>
              </w:r>
            </w:hyperlink>
          </w:p>
        </w:tc>
        <w:tc>
          <w:tcPr>
            <w:tcW w:w="0" w:type="auto"/>
            <w:shd w:val="clear" w:color="auto" w:fill="FFFFFF"/>
            <w:vAlign w:val="center"/>
            <w:hideMark/>
          </w:tcPr>
          <w:p w14:paraId="5B7F62F3"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4103F44C" w14:textId="77777777" w:rsidR="002B5D06" w:rsidRDefault="000B69DD">
            <w:pPr>
              <w:pStyle w:val="NormalWeb"/>
              <w:spacing w:before="0" w:beforeAutospacing="0" w:after="0" w:afterAutospacing="0"/>
              <w:jc w:val="both"/>
              <w:rPr>
                <w:sz w:val="20"/>
                <w:szCs w:val="20"/>
              </w:rPr>
            </w:pPr>
            <w:hyperlink r:id="rId7" w:tgtFrame="_blank" w:history="1">
              <w:r>
                <w:rPr>
                  <w:rStyle w:val="Hyperlink"/>
                  <w:sz w:val="20"/>
                  <w:szCs w:val="20"/>
                </w:rPr>
                <w:t>Bylaws</w:t>
              </w:r>
            </w:hyperlink>
          </w:p>
        </w:tc>
      </w:tr>
      <w:tr w:rsidR="002B5D06" w14:paraId="31AFFB29" w14:textId="77777777">
        <w:trPr>
          <w:divId w:val="1684360448"/>
          <w:trHeight w:val="225"/>
          <w:tblCellSpacing w:w="15" w:type="dxa"/>
          <w:jc w:val="center"/>
        </w:trPr>
        <w:tc>
          <w:tcPr>
            <w:tcW w:w="0" w:type="auto"/>
            <w:shd w:val="clear" w:color="auto" w:fill="CCEEFF"/>
            <w:hideMark/>
          </w:tcPr>
          <w:p w14:paraId="0CA68811" w14:textId="77777777" w:rsidR="002B5D06" w:rsidRDefault="000B69DD">
            <w:pPr>
              <w:pStyle w:val="NormalWeb"/>
              <w:spacing w:before="0" w:beforeAutospacing="0" w:after="0" w:afterAutospacing="0"/>
              <w:jc w:val="both"/>
              <w:rPr>
                <w:sz w:val="20"/>
                <w:szCs w:val="20"/>
              </w:rPr>
            </w:pPr>
            <w:hyperlink r:id="rId8" w:tgtFrame="_blank" w:history="1">
              <w:r>
                <w:rPr>
                  <w:rStyle w:val="Hyperlink"/>
                  <w:sz w:val="20"/>
                  <w:szCs w:val="20"/>
                </w:rPr>
                <w:t>21.1*</w:t>
              </w:r>
            </w:hyperlink>
          </w:p>
        </w:tc>
        <w:tc>
          <w:tcPr>
            <w:tcW w:w="0" w:type="auto"/>
            <w:shd w:val="clear" w:color="auto" w:fill="CCEEFF"/>
            <w:vAlign w:val="center"/>
            <w:hideMark/>
          </w:tcPr>
          <w:p w14:paraId="6BBEBE34"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shd w:val="clear" w:color="auto" w:fill="CCEEFF"/>
            <w:hideMark/>
          </w:tcPr>
          <w:p w14:paraId="0F93BC6A" w14:textId="77777777" w:rsidR="002B5D06" w:rsidRDefault="000B69DD">
            <w:pPr>
              <w:pStyle w:val="NormalWeb"/>
              <w:spacing w:before="0" w:beforeAutospacing="0" w:after="0" w:afterAutospacing="0"/>
              <w:jc w:val="both"/>
              <w:rPr>
                <w:sz w:val="20"/>
                <w:szCs w:val="20"/>
              </w:rPr>
            </w:pPr>
            <w:hyperlink r:id="rId9" w:tgtFrame="_blank" w:history="1">
              <w:r>
                <w:rPr>
                  <w:rStyle w:val="Hyperlink"/>
                  <w:sz w:val="20"/>
                  <w:szCs w:val="20"/>
                </w:rPr>
                <w:t>Subsidiaries of Registrant</w:t>
              </w:r>
            </w:hyperlink>
          </w:p>
        </w:tc>
      </w:tr>
      <w:tr w:rsidR="002B5D06" w14:paraId="0572DD6B" w14:textId="77777777">
        <w:trPr>
          <w:divId w:val="1684360448"/>
          <w:trHeight w:val="225"/>
          <w:tblCellSpacing w:w="15" w:type="dxa"/>
          <w:jc w:val="center"/>
        </w:trPr>
        <w:tc>
          <w:tcPr>
            <w:tcW w:w="0" w:type="auto"/>
            <w:shd w:val="clear" w:color="auto" w:fill="FFFFFF"/>
            <w:hideMark/>
          </w:tcPr>
          <w:p w14:paraId="474326C4" w14:textId="77777777" w:rsidR="002B5D06" w:rsidRDefault="000B69DD">
            <w:pPr>
              <w:pStyle w:val="NormalWeb"/>
              <w:spacing w:before="0" w:beforeAutospacing="0" w:after="0" w:afterAutospacing="0"/>
              <w:jc w:val="both"/>
              <w:rPr>
                <w:sz w:val="20"/>
                <w:szCs w:val="20"/>
              </w:rPr>
            </w:pPr>
            <w:hyperlink r:id="rId10" w:tgtFrame="_blank" w:history="1">
              <w:r>
                <w:rPr>
                  <w:rStyle w:val="Hyperlink"/>
                  <w:sz w:val="20"/>
                  <w:szCs w:val="20"/>
                </w:rPr>
                <w:t>31.1*</w:t>
              </w:r>
            </w:hyperlink>
          </w:p>
        </w:tc>
        <w:tc>
          <w:tcPr>
            <w:tcW w:w="0" w:type="auto"/>
            <w:shd w:val="clear" w:color="auto" w:fill="FFFFFF"/>
            <w:vAlign w:val="center"/>
            <w:hideMark/>
          </w:tcPr>
          <w:p w14:paraId="763302FE"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1E06C9A7" w14:textId="77777777" w:rsidR="002B5D06" w:rsidRDefault="000B69DD">
            <w:pPr>
              <w:pStyle w:val="NormalWeb"/>
              <w:spacing w:before="0" w:beforeAutospacing="0" w:after="0" w:afterAutospacing="0"/>
              <w:jc w:val="both"/>
              <w:rPr>
                <w:sz w:val="20"/>
                <w:szCs w:val="20"/>
              </w:rPr>
            </w:pPr>
            <w:hyperlink r:id="rId11" w:tgtFrame="_blank" w:history="1">
              <w:r>
                <w:rPr>
                  <w:rStyle w:val="Hyperlink"/>
                  <w:sz w:val="20"/>
                  <w:szCs w:val="20"/>
                </w:rPr>
                <w:t>Certification of Chief Executive Officer pursuant to Exchange Act Rule 13a-14(a)/15d-14(a), as adopted pursuant to Section 302 of the Sarbanes-Oxley Act of 2002.</w:t>
              </w:r>
            </w:hyperlink>
          </w:p>
        </w:tc>
      </w:tr>
      <w:tr w:rsidR="002B5D06" w14:paraId="22DE1FFB" w14:textId="77777777">
        <w:trPr>
          <w:divId w:val="1684360448"/>
          <w:trHeight w:val="225"/>
          <w:tblCellSpacing w:w="15" w:type="dxa"/>
          <w:jc w:val="center"/>
        </w:trPr>
        <w:tc>
          <w:tcPr>
            <w:tcW w:w="0" w:type="auto"/>
            <w:shd w:val="clear" w:color="auto" w:fill="CCEEFF"/>
            <w:hideMark/>
          </w:tcPr>
          <w:p w14:paraId="22A50BDE" w14:textId="77777777" w:rsidR="002B5D06" w:rsidRDefault="000B69DD">
            <w:pPr>
              <w:pStyle w:val="NormalWeb"/>
              <w:spacing w:before="0" w:beforeAutospacing="0" w:after="0" w:afterAutospacing="0"/>
              <w:jc w:val="both"/>
              <w:rPr>
                <w:sz w:val="20"/>
                <w:szCs w:val="20"/>
              </w:rPr>
            </w:pPr>
            <w:hyperlink r:id="rId12" w:tgtFrame="_blank" w:history="1">
              <w:r>
                <w:rPr>
                  <w:rStyle w:val="Hyperlink"/>
                  <w:sz w:val="20"/>
                  <w:szCs w:val="20"/>
                </w:rPr>
                <w:t>31.2*</w:t>
              </w:r>
            </w:hyperlink>
          </w:p>
        </w:tc>
        <w:tc>
          <w:tcPr>
            <w:tcW w:w="0" w:type="auto"/>
            <w:shd w:val="clear" w:color="auto" w:fill="CCEEFF"/>
            <w:vAlign w:val="center"/>
            <w:hideMark/>
          </w:tcPr>
          <w:p w14:paraId="30C50DC1"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12AD713E" w14:textId="77777777" w:rsidR="002B5D06" w:rsidRDefault="000B69DD">
            <w:pPr>
              <w:pStyle w:val="NormalWeb"/>
              <w:spacing w:before="0" w:beforeAutospacing="0" w:after="0" w:afterAutospacing="0"/>
              <w:jc w:val="both"/>
              <w:rPr>
                <w:sz w:val="20"/>
                <w:szCs w:val="20"/>
              </w:rPr>
            </w:pPr>
            <w:hyperlink r:id="rId13" w:tgtFrame="_blank" w:history="1">
              <w:r>
                <w:rPr>
                  <w:rStyle w:val="Hyperlink"/>
                  <w:sz w:val="20"/>
                  <w:szCs w:val="20"/>
                </w:rPr>
                <w:t>Certification of Chief Financial Officer pursuant to Exchange Act Rule 13a-14(a)/15d-14(a), as adopted pursuant to Section 302 of the Sarbanes-Oxley Act of 2002.</w:t>
              </w:r>
            </w:hyperlink>
          </w:p>
        </w:tc>
      </w:tr>
      <w:tr w:rsidR="002B5D06" w14:paraId="0DF3D905" w14:textId="77777777">
        <w:trPr>
          <w:divId w:val="1684360448"/>
          <w:trHeight w:val="225"/>
          <w:tblCellSpacing w:w="15" w:type="dxa"/>
          <w:jc w:val="center"/>
        </w:trPr>
        <w:tc>
          <w:tcPr>
            <w:tcW w:w="0" w:type="auto"/>
            <w:shd w:val="clear" w:color="auto" w:fill="FFFFFF"/>
            <w:hideMark/>
          </w:tcPr>
          <w:p w14:paraId="3E7DAC76" w14:textId="77777777" w:rsidR="002B5D06" w:rsidRDefault="000B69DD">
            <w:pPr>
              <w:pStyle w:val="NormalWeb"/>
              <w:spacing w:before="0" w:beforeAutospacing="0" w:after="0" w:afterAutospacing="0"/>
              <w:jc w:val="both"/>
              <w:rPr>
                <w:sz w:val="20"/>
                <w:szCs w:val="20"/>
              </w:rPr>
            </w:pPr>
            <w:hyperlink r:id="rId14" w:tgtFrame="_blank" w:history="1">
              <w:r>
                <w:rPr>
                  <w:rStyle w:val="Hyperlink"/>
                  <w:sz w:val="20"/>
                  <w:szCs w:val="20"/>
                </w:rPr>
                <w:t>32.1*</w:t>
              </w:r>
            </w:hyperlink>
          </w:p>
        </w:tc>
        <w:tc>
          <w:tcPr>
            <w:tcW w:w="0" w:type="auto"/>
            <w:shd w:val="clear" w:color="auto" w:fill="FFFFFF"/>
            <w:vAlign w:val="center"/>
            <w:hideMark/>
          </w:tcPr>
          <w:p w14:paraId="764E0142"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29932B60" w14:textId="77777777" w:rsidR="002B5D06" w:rsidRDefault="000B69DD">
            <w:pPr>
              <w:pStyle w:val="NormalWeb"/>
              <w:spacing w:before="0" w:beforeAutospacing="0" w:after="0" w:afterAutospacing="0"/>
              <w:jc w:val="both"/>
              <w:rPr>
                <w:sz w:val="20"/>
                <w:szCs w:val="20"/>
              </w:rPr>
            </w:pPr>
            <w:hyperlink r:id="rId15" w:tgtFrame="_blank" w:history="1">
              <w:r>
                <w:rPr>
                  <w:rStyle w:val="Hyperlink"/>
                  <w:sz w:val="20"/>
                  <w:szCs w:val="20"/>
                </w:rPr>
                <w:t>Certification of Chief Executive Officer in accordance with 18 U.S.C. Section 1350, as adopted pursuant to Section 906 of the Sarbanes-Oxley Act of 2002.</w:t>
              </w:r>
            </w:hyperlink>
          </w:p>
        </w:tc>
      </w:tr>
      <w:tr w:rsidR="002B5D06" w14:paraId="2D9306D1" w14:textId="77777777">
        <w:trPr>
          <w:divId w:val="1684360448"/>
          <w:trHeight w:val="225"/>
          <w:tblCellSpacing w:w="15" w:type="dxa"/>
          <w:jc w:val="center"/>
        </w:trPr>
        <w:tc>
          <w:tcPr>
            <w:tcW w:w="0" w:type="auto"/>
            <w:shd w:val="clear" w:color="auto" w:fill="CCEEFF"/>
            <w:hideMark/>
          </w:tcPr>
          <w:p w14:paraId="5ED951CE" w14:textId="77777777" w:rsidR="002B5D06" w:rsidRDefault="000B69DD">
            <w:pPr>
              <w:pStyle w:val="NormalWeb"/>
              <w:spacing w:before="0" w:beforeAutospacing="0" w:after="0" w:afterAutospacing="0"/>
              <w:jc w:val="both"/>
              <w:rPr>
                <w:sz w:val="20"/>
                <w:szCs w:val="20"/>
              </w:rPr>
            </w:pPr>
            <w:hyperlink r:id="rId16" w:tgtFrame="_blank" w:history="1">
              <w:r>
                <w:rPr>
                  <w:rStyle w:val="Hyperlink"/>
                  <w:sz w:val="20"/>
                  <w:szCs w:val="20"/>
                </w:rPr>
                <w:t>32.2*</w:t>
              </w:r>
            </w:hyperlink>
          </w:p>
        </w:tc>
        <w:tc>
          <w:tcPr>
            <w:tcW w:w="0" w:type="auto"/>
            <w:shd w:val="clear" w:color="auto" w:fill="CCEEFF"/>
            <w:vAlign w:val="center"/>
            <w:hideMark/>
          </w:tcPr>
          <w:p w14:paraId="5224467E"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54B136E0" w14:textId="77777777" w:rsidR="002B5D06" w:rsidRDefault="000B69DD">
            <w:pPr>
              <w:pStyle w:val="NormalWeb"/>
              <w:spacing w:before="0" w:beforeAutospacing="0" w:after="0" w:afterAutospacing="0"/>
              <w:jc w:val="both"/>
              <w:rPr>
                <w:sz w:val="20"/>
                <w:szCs w:val="20"/>
              </w:rPr>
            </w:pPr>
            <w:hyperlink r:id="rId17" w:tgtFrame="_blank" w:history="1">
              <w:r>
                <w:rPr>
                  <w:rStyle w:val="Hyperlink"/>
                  <w:sz w:val="20"/>
                  <w:szCs w:val="20"/>
                </w:rPr>
                <w:t>Certification of Chief Financial Officer in accordance with 18 U.S.C. Section 1350, as adopted pursuant to Section 906 of the Sarbanes-Oxley Act of 2002.</w:t>
              </w:r>
            </w:hyperlink>
          </w:p>
        </w:tc>
      </w:tr>
      <w:tr w:rsidR="002B5D06" w14:paraId="145BE9AA" w14:textId="77777777">
        <w:trPr>
          <w:divId w:val="1684360448"/>
          <w:trHeight w:val="225"/>
          <w:tblCellSpacing w:w="15" w:type="dxa"/>
          <w:jc w:val="center"/>
        </w:trPr>
        <w:tc>
          <w:tcPr>
            <w:tcW w:w="0" w:type="auto"/>
            <w:shd w:val="clear" w:color="auto" w:fill="FFFFFF"/>
            <w:hideMark/>
          </w:tcPr>
          <w:p w14:paraId="7C7958CA" w14:textId="77777777" w:rsidR="002B5D06" w:rsidRDefault="000B69DD">
            <w:pPr>
              <w:pStyle w:val="NormalWeb"/>
              <w:spacing w:before="0" w:beforeAutospacing="0" w:after="0" w:afterAutospacing="0"/>
              <w:jc w:val="both"/>
              <w:rPr>
                <w:sz w:val="20"/>
                <w:szCs w:val="20"/>
              </w:rPr>
            </w:pPr>
            <w:r>
              <w:rPr>
                <w:sz w:val="20"/>
                <w:szCs w:val="20"/>
              </w:rPr>
              <w:t>101.INS</w:t>
            </w:r>
          </w:p>
        </w:tc>
        <w:tc>
          <w:tcPr>
            <w:tcW w:w="0" w:type="auto"/>
            <w:shd w:val="clear" w:color="auto" w:fill="FFFFFF"/>
            <w:vAlign w:val="center"/>
            <w:hideMark/>
          </w:tcPr>
          <w:p w14:paraId="5650278E"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5C0A5B42" w14:textId="77777777" w:rsidR="002B5D06" w:rsidRDefault="000B69DD">
            <w:pPr>
              <w:pStyle w:val="NormalWeb"/>
              <w:spacing w:before="0" w:beforeAutospacing="0" w:after="0" w:afterAutospacing="0"/>
              <w:jc w:val="both"/>
              <w:rPr>
                <w:sz w:val="20"/>
                <w:szCs w:val="20"/>
              </w:rPr>
            </w:pPr>
            <w:r>
              <w:rPr>
                <w:sz w:val="20"/>
                <w:szCs w:val="20"/>
              </w:rPr>
              <w:t>Inline XBRL Instance Document (the instance document does not appear in the Interactive Data File because its XBRL tags are embedded within the Inline XBRL document)</w:t>
            </w:r>
          </w:p>
        </w:tc>
      </w:tr>
      <w:tr w:rsidR="002B5D06" w14:paraId="41328164" w14:textId="77777777">
        <w:trPr>
          <w:divId w:val="1684360448"/>
          <w:trHeight w:val="225"/>
          <w:tblCellSpacing w:w="15" w:type="dxa"/>
          <w:jc w:val="center"/>
        </w:trPr>
        <w:tc>
          <w:tcPr>
            <w:tcW w:w="0" w:type="auto"/>
            <w:shd w:val="clear" w:color="auto" w:fill="CCEEFF"/>
            <w:hideMark/>
          </w:tcPr>
          <w:p w14:paraId="251FEDCF" w14:textId="77777777" w:rsidR="002B5D06" w:rsidRDefault="000B69DD">
            <w:pPr>
              <w:pStyle w:val="NormalWeb"/>
              <w:spacing w:before="0" w:beforeAutospacing="0" w:after="0" w:afterAutospacing="0"/>
              <w:jc w:val="both"/>
              <w:rPr>
                <w:sz w:val="20"/>
                <w:szCs w:val="20"/>
              </w:rPr>
            </w:pPr>
            <w:r>
              <w:rPr>
                <w:sz w:val="20"/>
                <w:szCs w:val="20"/>
              </w:rPr>
              <w:t>101.SCH</w:t>
            </w:r>
          </w:p>
        </w:tc>
        <w:tc>
          <w:tcPr>
            <w:tcW w:w="0" w:type="auto"/>
            <w:shd w:val="clear" w:color="auto" w:fill="CCEEFF"/>
            <w:vAlign w:val="center"/>
            <w:hideMark/>
          </w:tcPr>
          <w:p w14:paraId="54F2E9E0"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060321C0" w14:textId="77777777" w:rsidR="002B5D06" w:rsidRDefault="000B69DD">
            <w:pPr>
              <w:pStyle w:val="NormalWeb"/>
              <w:spacing w:before="0" w:beforeAutospacing="0" w:after="0" w:afterAutospacing="0"/>
              <w:jc w:val="both"/>
              <w:rPr>
                <w:sz w:val="20"/>
                <w:szCs w:val="20"/>
              </w:rPr>
            </w:pPr>
            <w:r>
              <w:rPr>
                <w:sz w:val="20"/>
                <w:szCs w:val="20"/>
              </w:rPr>
              <w:t>Inline XBRL Taxonomy Extension Schema Document</w:t>
            </w:r>
          </w:p>
        </w:tc>
      </w:tr>
      <w:tr w:rsidR="002B5D06" w14:paraId="57F58407" w14:textId="77777777">
        <w:trPr>
          <w:divId w:val="1684360448"/>
          <w:trHeight w:val="225"/>
          <w:tblCellSpacing w:w="15" w:type="dxa"/>
          <w:jc w:val="center"/>
        </w:trPr>
        <w:tc>
          <w:tcPr>
            <w:tcW w:w="0" w:type="auto"/>
            <w:shd w:val="clear" w:color="auto" w:fill="FFFFFF"/>
            <w:hideMark/>
          </w:tcPr>
          <w:p w14:paraId="499AAD79" w14:textId="77777777" w:rsidR="002B5D06" w:rsidRDefault="000B69DD">
            <w:pPr>
              <w:pStyle w:val="NormalWeb"/>
              <w:spacing w:before="0" w:beforeAutospacing="0" w:after="0" w:afterAutospacing="0"/>
              <w:jc w:val="both"/>
              <w:rPr>
                <w:sz w:val="20"/>
                <w:szCs w:val="20"/>
              </w:rPr>
            </w:pPr>
            <w:r>
              <w:rPr>
                <w:sz w:val="20"/>
                <w:szCs w:val="20"/>
              </w:rPr>
              <w:t>101.CAL</w:t>
            </w:r>
          </w:p>
        </w:tc>
        <w:tc>
          <w:tcPr>
            <w:tcW w:w="0" w:type="auto"/>
            <w:shd w:val="clear" w:color="auto" w:fill="FFFFFF"/>
            <w:vAlign w:val="center"/>
            <w:hideMark/>
          </w:tcPr>
          <w:p w14:paraId="4DFDD41F"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1DBF88F3" w14:textId="77777777" w:rsidR="002B5D06" w:rsidRDefault="000B69DD">
            <w:pPr>
              <w:pStyle w:val="NormalWeb"/>
              <w:spacing w:before="0" w:beforeAutospacing="0" w:after="0" w:afterAutospacing="0"/>
              <w:jc w:val="both"/>
              <w:rPr>
                <w:sz w:val="20"/>
                <w:szCs w:val="20"/>
              </w:rPr>
            </w:pPr>
            <w:r>
              <w:rPr>
                <w:sz w:val="20"/>
                <w:szCs w:val="20"/>
              </w:rPr>
              <w:t>Inline XBRL Taxonomy Extension Calculation Linkbase Document</w:t>
            </w:r>
          </w:p>
        </w:tc>
      </w:tr>
      <w:tr w:rsidR="002B5D06" w14:paraId="50C3DA3E" w14:textId="77777777">
        <w:trPr>
          <w:divId w:val="1684360448"/>
          <w:trHeight w:val="225"/>
          <w:tblCellSpacing w:w="15" w:type="dxa"/>
          <w:jc w:val="center"/>
        </w:trPr>
        <w:tc>
          <w:tcPr>
            <w:tcW w:w="0" w:type="auto"/>
            <w:shd w:val="clear" w:color="auto" w:fill="CCEEFF"/>
            <w:hideMark/>
          </w:tcPr>
          <w:p w14:paraId="00D6F1C4" w14:textId="77777777" w:rsidR="002B5D06" w:rsidRDefault="000B69DD">
            <w:pPr>
              <w:pStyle w:val="NormalWeb"/>
              <w:spacing w:before="0" w:beforeAutospacing="0" w:after="0" w:afterAutospacing="0"/>
              <w:jc w:val="both"/>
              <w:rPr>
                <w:sz w:val="20"/>
                <w:szCs w:val="20"/>
              </w:rPr>
            </w:pPr>
            <w:r>
              <w:rPr>
                <w:sz w:val="20"/>
                <w:szCs w:val="20"/>
              </w:rPr>
              <w:t>101.DEF</w:t>
            </w:r>
          </w:p>
        </w:tc>
        <w:tc>
          <w:tcPr>
            <w:tcW w:w="0" w:type="auto"/>
            <w:shd w:val="clear" w:color="auto" w:fill="CCEEFF"/>
            <w:vAlign w:val="center"/>
            <w:hideMark/>
          </w:tcPr>
          <w:p w14:paraId="51058AEC"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5CAF6BB5" w14:textId="77777777" w:rsidR="002B5D06" w:rsidRDefault="000B69DD">
            <w:pPr>
              <w:pStyle w:val="NormalWeb"/>
              <w:spacing w:before="0" w:beforeAutospacing="0" w:after="0" w:afterAutospacing="0"/>
              <w:jc w:val="both"/>
              <w:rPr>
                <w:sz w:val="20"/>
                <w:szCs w:val="20"/>
              </w:rPr>
            </w:pPr>
            <w:r>
              <w:rPr>
                <w:sz w:val="20"/>
                <w:szCs w:val="20"/>
              </w:rPr>
              <w:t>Inline XBRL Taxonomy Extension Definition Linkbase Document</w:t>
            </w:r>
          </w:p>
        </w:tc>
      </w:tr>
      <w:tr w:rsidR="002B5D06" w14:paraId="0D2FCCEA" w14:textId="77777777">
        <w:trPr>
          <w:divId w:val="1684360448"/>
          <w:trHeight w:val="225"/>
          <w:tblCellSpacing w:w="15" w:type="dxa"/>
          <w:jc w:val="center"/>
        </w:trPr>
        <w:tc>
          <w:tcPr>
            <w:tcW w:w="0" w:type="auto"/>
            <w:shd w:val="clear" w:color="auto" w:fill="FFFFFF"/>
            <w:hideMark/>
          </w:tcPr>
          <w:p w14:paraId="04984E0D" w14:textId="77777777" w:rsidR="002B5D06" w:rsidRDefault="000B69DD">
            <w:pPr>
              <w:pStyle w:val="NormalWeb"/>
              <w:spacing w:before="0" w:beforeAutospacing="0" w:after="0" w:afterAutospacing="0"/>
              <w:jc w:val="both"/>
              <w:rPr>
                <w:sz w:val="20"/>
                <w:szCs w:val="20"/>
              </w:rPr>
            </w:pPr>
            <w:r>
              <w:rPr>
                <w:sz w:val="20"/>
                <w:szCs w:val="20"/>
              </w:rPr>
              <w:t>101.LAB</w:t>
            </w:r>
          </w:p>
        </w:tc>
        <w:tc>
          <w:tcPr>
            <w:tcW w:w="0" w:type="auto"/>
            <w:shd w:val="clear" w:color="auto" w:fill="FFFFFF"/>
            <w:vAlign w:val="center"/>
            <w:hideMark/>
          </w:tcPr>
          <w:p w14:paraId="61F6EDCF"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590E1B07" w14:textId="77777777" w:rsidR="002B5D06" w:rsidRDefault="000B69DD">
            <w:pPr>
              <w:pStyle w:val="NormalWeb"/>
              <w:spacing w:before="0" w:beforeAutospacing="0" w:after="0" w:afterAutospacing="0"/>
              <w:jc w:val="both"/>
              <w:rPr>
                <w:sz w:val="20"/>
                <w:szCs w:val="20"/>
              </w:rPr>
            </w:pPr>
            <w:r>
              <w:rPr>
                <w:sz w:val="20"/>
                <w:szCs w:val="20"/>
              </w:rPr>
              <w:t>Inline XBRL Taxonomy Extension Labels Linkbase Document</w:t>
            </w:r>
          </w:p>
        </w:tc>
      </w:tr>
      <w:tr w:rsidR="002B5D06" w14:paraId="44CCDB71" w14:textId="77777777">
        <w:trPr>
          <w:divId w:val="1684360448"/>
          <w:trHeight w:val="225"/>
          <w:tblCellSpacing w:w="15" w:type="dxa"/>
          <w:jc w:val="center"/>
        </w:trPr>
        <w:tc>
          <w:tcPr>
            <w:tcW w:w="0" w:type="auto"/>
            <w:shd w:val="clear" w:color="auto" w:fill="CCEEFF"/>
            <w:hideMark/>
          </w:tcPr>
          <w:p w14:paraId="7DD4D9A9" w14:textId="77777777" w:rsidR="002B5D06" w:rsidRDefault="000B69DD">
            <w:pPr>
              <w:pStyle w:val="NormalWeb"/>
              <w:spacing w:before="0" w:beforeAutospacing="0" w:after="0" w:afterAutospacing="0"/>
              <w:jc w:val="both"/>
              <w:rPr>
                <w:sz w:val="20"/>
                <w:szCs w:val="20"/>
              </w:rPr>
            </w:pPr>
            <w:r>
              <w:rPr>
                <w:sz w:val="20"/>
                <w:szCs w:val="20"/>
              </w:rPr>
              <w:t>101.PRE</w:t>
            </w:r>
          </w:p>
        </w:tc>
        <w:tc>
          <w:tcPr>
            <w:tcW w:w="0" w:type="auto"/>
            <w:shd w:val="clear" w:color="auto" w:fill="CCEEFF"/>
            <w:vAlign w:val="center"/>
            <w:hideMark/>
          </w:tcPr>
          <w:p w14:paraId="69AF327C"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0130B643" w14:textId="77777777" w:rsidR="002B5D06" w:rsidRDefault="000B69DD">
            <w:pPr>
              <w:pStyle w:val="NormalWeb"/>
              <w:spacing w:before="0" w:beforeAutospacing="0" w:after="0" w:afterAutospacing="0"/>
              <w:jc w:val="both"/>
              <w:rPr>
                <w:sz w:val="20"/>
                <w:szCs w:val="20"/>
              </w:rPr>
            </w:pPr>
            <w:r>
              <w:rPr>
                <w:sz w:val="20"/>
                <w:szCs w:val="20"/>
              </w:rPr>
              <w:t xml:space="preserve">Inline XBRL Taxonomy Extension Presentation Linkbase Document </w:t>
            </w:r>
          </w:p>
        </w:tc>
      </w:tr>
      <w:tr w:rsidR="002B5D06" w14:paraId="799606BE" w14:textId="77777777">
        <w:trPr>
          <w:divId w:val="1684360448"/>
          <w:trHeight w:val="225"/>
          <w:tblCellSpacing w:w="15" w:type="dxa"/>
          <w:jc w:val="center"/>
        </w:trPr>
        <w:tc>
          <w:tcPr>
            <w:tcW w:w="0" w:type="auto"/>
            <w:shd w:val="clear" w:color="auto" w:fill="FFFFFF"/>
            <w:vAlign w:val="center"/>
            <w:hideMark/>
          </w:tcPr>
          <w:p w14:paraId="020B5340" w14:textId="77777777" w:rsidR="002B5D06" w:rsidRDefault="000B69DD">
            <w:pPr>
              <w:pStyle w:val="NormalWeb"/>
              <w:spacing w:before="0" w:beforeAutospacing="0" w:after="0" w:afterAutospacing="0"/>
              <w:rPr>
                <w:sz w:val="20"/>
                <w:szCs w:val="20"/>
              </w:rPr>
            </w:pPr>
            <w:r>
              <w:rPr>
                <w:sz w:val="20"/>
                <w:szCs w:val="20"/>
              </w:rPr>
              <w:t>104</w:t>
            </w:r>
          </w:p>
        </w:tc>
        <w:tc>
          <w:tcPr>
            <w:tcW w:w="0" w:type="auto"/>
            <w:shd w:val="clear" w:color="auto" w:fill="FFFFFF"/>
            <w:vAlign w:val="center"/>
            <w:hideMark/>
          </w:tcPr>
          <w:p w14:paraId="07856AFC"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246609E3" w14:textId="77777777" w:rsidR="002B5D06" w:rsidRDefault="000B69DD">
            <w:pPr>
              <w:pStyle w:val="NormalWeb"/>
              <w:spacing w:before="0" w:beforeAutospacing="0" w:after="0" w:afterAutospacing="0"/>
              <w:rPr>
                <w:sz w:val="20"/>
                <w:szCs w:val="20"/>
              </w:rPr>
            </w:pPr>
            <w:r>
              <w:rPr>
                <w:sz w:val="20"/>
                <w:szCs w:val="20"/>
              </w:rPr>
              <w:t>Cover Page Interactive Data File (formatted as Inline XBRL and contained in Exhibit 101)</w:t>
            </w:r>
          </w:p>
        </w:tc>
      </w:tr>
    </w:tbl>
    <w:p w14:paraId="0B8DAE4F"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564D18F" w14:textId="77777777" w:rsidR="002B5D06" w:rsidRDefault="000B69DD">
      <w:pPr>
        <w:pStyle w:val="NormalWeb"/>
        <w:spacing w:before="0" w:beforeAutospacing="0" w:after="0" w:afterAutospacing="0"/>
        <w:jc w:val="both"/>
        <w:divId w:val="1684360448"/>
        <w:rPr>
          <w:sz w:val="20"/>
          <w:szCs w:val="20"/>
        </w:rPr>
      </w:pPr>
      <w:r>
        <w:rPr>
          <w:sz w:val="20"/>
          <w:szCs w:val="20"/>
        </w:rPr>
        <w:t>*Filed herewith</w:t>
      </w:r>
    </w:p>
    <w:p w14:paraId="17C83205"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6"/>
        <w:gridCol w:w="8944"/>
      </w:tblGrid>
      <w:tr w:rsidR="002B5D06" w14:paraId="36CA7C0B" w14:textId="77777777">
        <w:trPr>
          <w:divId w:val="1684360448"/>
          <w:trHeight w:val="225"/>
          <w:tblCellSpacing w:w="15" w:type="dxa"/>
          <w:jc w:val="center"/>
        </w:trPr>
        <w:tc>
          <w:tcPr>
            <w:tcW w:w="200" w:type="pct"/>
            <w:hideMark/>
          </w:tcPr>
          <w:p w14:paraId="76339FD6" w14:textId="77777777" w:rsidR="002B5D06" w:rsidRDefault="000B69DD">
            <w:pPr>
              <w:pStyle w:val="NormalWeb"/>
              <w:spacing w:before="0" w:beforeAutospacing="0" w:after="0" w:afterAutospacing="0"/>
              <w:jc w:val="both"/>
              <w:rPr>
                <w:sz w:val="20"/>
                <w:szCs w:val="20"/>
              </w:rPr>
            </w:pPr>
            <w:r>
              <w:rPr>
                <w:sz w:val="20"/>
                <w:szCs w:val="20"/>
              </w:rPr>
              <w:t>(1)</w:t>
            </w:r>
          </w:p>
        </w:tc>
        <w:tc>
          <w:tcPr>
            <w:tcW w:w="0" w:type="auto"/>
            <w:hideMark/>
          </w:tcPr>
          <w:p w14:paraId="3587D386" w14:textId="77777777" w:rsidR="002B5D06" w:rsidRDefault="000B69DD">
            <w:pPr>
              <w:pStyle w:val="NormalWeb"/>
              <w:spacing w:before="0" w:beforeAutospacing="0" w:after="0" w:afterAutospacing="0"/>
              <w:jc w:val="both"/>
              <w:rPr>
                <w:sz w:val="20"/>
                <w:szCs w:val="20"/>
              </w:rPr>
            </w:pPr>
            <w:r>
              <w:rPr>
                <w:sz w:val="20"/>
                <w:szCs w:val="20"/>
              </w:rPr>
              <w:t>Filed as an exhibit to the Company’s 8-K filed with the SEC on December 9, 2014 and incorporated herein by reference.</w:t>
            </w:r>
          </w:p>
        </w:tc>
      </w:tr>
    </w:tbl>
    <w:p w14:paraId="11058CF6"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44368A42" w14:textId="77777777">
        <w:trPr>
          <w:divId w:val="1684360448"/>
          <w:trHeight w:val="225"/>
          <w:tblCellSpacing w:w="15" w:type="dxa"/>
          <w:jc w:val="center"/>
        </w:trPr>
        <w:tc>
          <w:tcPr>
            <w:tcW w:w="0" w:type="auto"/>
            <w:vAlign w:val="center"/>
            <w:hideMark/>
          </w:tcPr>
          <w:p w14:paraId="1CFD807A" w14:textId="77777777" w:rsidR="002B5D06" w:rsidRDefault="000B69DD">
            <w:pPr>
              <w:rPr>
                <w:rFonts w:eastAsia="Times New Roman"/>
                <w:sz w:val="20"/>
                <w:szCs w:val="20"/>
              </w:rPr>
            </w:pPr>
            <w:r>
              <w:rPr>
                <w:rFonts w:eastAsia="Times New Roman"/>
                <w:sz w:val="20"/>
                <w:szCs w:val="20"/>
              </w:rPr>
              <w:t> </w:t>
            </w:r>
          </w:p>
        </w:tc>
      </w:tr>
      <w:tr w:rsidR="002B5D06" w14:paraId="1A4B30F2" w14:textId="77777777">
        <w:trPr>
          <w:divId w:val="1684360448"/>
          <w:trHeight w:val="225"/>
          <w:tblCellSpacing w:w="15" w:type="dxa"/>
          <w:jc w:val="center"/>
        </w:trPr>
        <w:tc>
          <w:tcPr>
            <w:tcW w:w="0" w:type="auto"/>
            <w:tcBorders>
              <w:bottom w:val="single" w:sz="6" w:space="0" w:color="000000"/>
            </w:tcBorders>
            <w:vAlign w:val="center"/>
            <w:hideMark/>
          </w:tcPr>
          <w:p w14:paraId="7B62D9D1" w14:textId="77777777" w:rsidR="002B5D06" w:rsidRDefault="000B69DD">
            <w:pPr>
              <w:jc w:val="center"/>
              <w:rPr>
                <w:rFonts w:eastAsia="Times New Roman"/>
                <w:sz w:val="20"/>
                <w:szCs w:val="20"/>
              </w:rPr>
            </w:pPr>
            <w:r>
              <w:rPr>
                <w:rFonts w:eastAsia="Times New Roman"/>
                <w:sz w:val="20"/>
                <w:szCs w:val="20"/>
              </w:rPr>
              <w:t>24</w:t>
            </w:r>
          </w:p>
        </w:tc>
      </w:tr>
      <w:tr w:rsidR="002B5D06" w14:paraId="3B669234" w14:textId="77777777">
        <w:trPr>
          <w:divId w:val="1684360448"/>
          <w:trHeight w:val="225"/>
          <w:tblCellSpacing w:w="15" w:type="dxa"/>
          <w:jc w:val="center"/>
        </w:trPr>
        <w:tc>
          <w:tcPr>
            <w:tcW w:w="0" w:type="auto"/>
            <w:vAlign w:val="center"/>
            <w:hideMark/>
          </w:tcPr>
          <w:p w14:paraId="51A17DDE" w14:textId="77777777" w:rsidR="002B5D06" w:rsidRDefault="002B5D06">
            <w:pPr>
              <w:rPr>
                <w:rFonts w:eastAsia="Times New Roman"/>
                <w:sz w:val="20"/>
                <w:szCs w:val="20"/>
              </w:rPr>
            </w:pPr>
          </w:p>
        </w:tc>
      </w:tr>
      <w:tr w:rsidR="002B5D06" w14:paraId="4BF45D62" w14:textId="77777777">
        <w:trPr>
          <w:divId w:val="1684360448"/>
          <w:trHeight w:val="225"/>
          <w:tblCellSpacing w:w="15" w:type="dxa"/>
          <w:jc w:val="center"/>
        </w:trPr>
        <w:tc>
          <w:tcPr>
            <w:tcW w:w="0" w:type="auto"/>
            <w:vAlign w:val="center"/>
            <w:hideMark/>
          </w:tcPr>
          <w:p w14:paraId="6903A596" w14:textId="77777777" w:rsidR="002B5D06" w:rsidRDefault="002B5D06">
            <w:pPr>
              <w:rPr>
                <w:rFonts w:eastAsia="Times New Roman"/>
                <w:sz w:val="20"/>
                <w:szCs w:val="20"/>
              </w:rPr>
            </w:pPr>
          </w:p>
        </w:tc>
      </w:tr>
    </w:tbl>
    <w:p w14:paraId="78AF5609"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79848483" w14:textId="77777777" w:rsidR="002B5D06" w:rsidRDefault="000B69DD">
      <w:pPr>
        <w:pStyle w:val="NormalWeb"/>
        <w:spacing w:before="0" w:beforeAutospacing="0" w:after="0" w:afterAutospacing="0"/>
        <w:divId w:val="1684360448"/>
        <w:rPr>
          <w:sz w:val="20"/>
          <w:szCs w:val="20"/>
        </w:rPr>
      </w:pPr>
      <w:r>
        <w:rPr>
          <w:sz w:val="20"/>
          <w:szCs w:val="20"/>
        </w:rPr>
        <w:t> </w:t>
      </w:r>
    </w:p>
    <w:p w14:paraId="6BDC8F7F" w14:textId="77777777" w:rsidR="002B5D06" w:rsidRDefault="000B69DD">
      <w:pPr>
        <w:pStyle w:val="NormalWeb"/>
        <w:spacing w:before="0" w:beforeAutospacing="0" w:after="0" w:afterAutospacing="0"/>
        <w:jc w:val="center"/>
        <w:divId w:val="1684360448"/>
        <w:rPr>
          <w:sz w:val="20"/>
          <w:szCs w:val="20"/>
        </w:rPr>
      </w:pPr>
      <w:r>
        <w:rPr>
          <w:rStyle w:val="atag"/>
          <w:b/>
          <w:bCs/>
          <w:sz w:val="20"/>
          <w:szCs w:val="20"/>
        </w:rPr>
        <w:t>SIGNATURES</w:t>
      </w:r>
    </w:p>
    <w:p w14:paraId="0779E95C" w14:textId="77777777" w:rsidR="002B5D06" w:rsidRDefault="000B69DD">
      <w:pPr>
        <w:pStyle w:val="NormalWeb"/>
        <w:spacing w:before="0" w:beforeAutospacing="0" w:after="0" w:afterAutospacing="0"/>
        <w:jc w:val="center"/>
        <w:divId w:val="1684360448"/>
        <w:rPr>
          <w:sz w:val="20"/>
          <w:szCs w:val="20"/>
        </w:rPr>
      </w:pPr>
      <w:r>
        <w:rPr>
          <w:sz w:val="20"/>
          <w:szCs w:val="20"/>
        </w:rPr>
        <w:t> </w:t>
      </w:r>
    </w:p>
    <w:p w14:paraId="6AFA2963" w14:textId="77777777" w:rsidR="002B5D06" w:rsidRDefault="000B69DD">
      <w:pPr>
        <w:pStyle w:val="NormalWeb"/>
        <w:spacing w:before="0" w:beforeAutospacing="0" w:after="0" w:afterAutospacing="0"/>
        <w:jc w:val="both"/>
        <w:divId w:val="1684360448"/>
        <w:rPr>
          <w:sz w:val="20"/>
          <w:szCs w:val="20"/>
        </w:rPr>
      </w:pPr>
      <w:r>
        <w:rPr>
          <w:sz w:val="20"/>
          <w:szCs w:val="20"/>
        </w:rPr>
        <w:t>In accordance with Section 13 or 15(d) of the Exchange Act, the registrant caused this report to be signed on its behalf by the undersigned, thereunto duly authorized.</w:t>
      </w:r>
    </w:p>
    <w:p w14:paraId="1A12B94C"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B5B55AD" w14:textId="77777777" w:rsidR="002B5D06" w:rsidRDefault="000B69DD">
      <w:pPr>
        <w:pStyle w:val="NormalWeb"/>
        <w:spacing w:before="0" w:beforeAutospacing="0" w:after="0" w:afterAutospacing="0"/>
        <w:jc w:val="both"/>
        <w:divId w:val="1684360448"/>
        <w:rPr>
          <w:sz w:val="20"/>
          <w:szCs w:val="20"/>
        </w:rPr>
      </w:pPr>
      <w:r>
        <w:rPr>
          <w:sz w:val="20"/>
          <w:szCs w:val="20"/>
        </w:rPr>
        <w:t>Pursuant to the requirements of the Securities Exchange Act of 1934, this report has been signed below by the following persons on behalf of the registrant and in the capacities and on the dates indicated.</w:t>
      </w:r>
    </w:p>
    <w:p w14:paraId="59F2A91C"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3289"/>
        <w:gridCol w:w="6071"/>
      </w:tblGrid>
      <w:tr w:rsidR="002B5D06" w14:paraId="56B101FC" w14:textId="77777777">
        <w:trPr>
          <w:divId w:val="1684360448"/>
          <w:trHeight w:val="225"/>
          <w:tblCellSpacing w:w="15" w:type="dxa"/>
          <w:jc w:val="center"/>
        </w:trPr>
        <w:tc>
          <w:tcPr>
            <w:tcW w:w="0" w:type="auto"/>
            <w:gridSpan w:val="2"/>
            <w:vAlign w:val="center"/>
            <w:hideMark/>
          </w:tcPr>
          <w:p w14:paraId="4D4E7A27" w14:textId="77777777" w:rsidR="002B5D06" w:rsidRDefault="000B69DD">
            <w:pPr>
              <w:pStyle w:val="NormalWeb"/>
              <w:spacing w:before="0" w:beforeAutospacing="0" w:after="0" w:afterAutospacing="0"/>
              <w:rPr>
                <w:sz w:val="20"/>
                <w:szCs w:val="20"/>
              </w:rPr>
            </w:pPr>
            <w:r>
              <w:rPr>
                <w:sz w:val="20"/>
                <w:szCs w:val="20"/>
              </w:rPr>
              <w:t>(Registrant): ADVANCED OXYGEN TECHNOLOGIES, INC.</w:t>
            </w:r>
          </w:p>
        </w:tc>
      </w:tr>
      <w:tr w:rsidR="002B5D06" w14:paraId="5F5D6A2A" w14:textId="77777777">
        <w:trPr>
          <w:divId w:val="1684360448"/>
          <w:trHeight w:val="225"/>
          <w:tblCellSpacing w:w="15" w:type="dxa"/>
          <w:jc w:val="center"/>
        </w:trPr>
        <w:tc>
          <w:tcPr>
            <w:tcW w:w="1750" w:type="pct"/>
            <w:vAlign w:val="center"/>
            <w:hideMark/>
          </w:tcPr>
          <w:p w14:paraId="5FA5F5E3"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7CD70165" w14:textId="77777777" w:rsidR="002B5D06" w:rsidRDefault="000B69DD">
            <w:pPr>
              <w:pStyle w:val="NormalWeb"/>
              <w:spacing w:before="0" w:beforeAutospacing="0" w:after="0" w:afterAutospacing="0"/>
              <w:rPr>
                <w:sz w:val="20"/>
                <w:szCs w:val="20"/>
              </w:rPr>
            </w:pPr>
            <w:r>
              <w:rPr>
                <w:sz w:val="20"/>
                <w:szCs w:val="20"/>
              </w:rPr>
              <w:t> </w:t>
            </w:r>
          </w:p>
        </w:tc>
      </w:tr>
      <w:tr w:rsidR="002B5D06" w14:paraId="167E322A" w14:textId="77777777">
        <w:trPr>
          <w:divId w:val="1684360448"/>
          <w:trHeight w:val="225"/>
          <w:tblCellSpacing w:w="15" w:type="dxa"/>
          <w:jc w:val="center"/>
        </w:trPr>
        <w:tc>
          <w:tcPr>
            <w:tcW w:w="0" w:type="auto"/>
            <w:vAlign w:val="center"/>
            <w:hideMark/>
          </w:tcPr>
          <w:p w14:paraId="1DBEAB72" w14:textId="77777777" w:rsidR="002B5D06" w:rsidRDefault="000B69DD">
            <w:pPr>
              <w:pStyle w:val="NormalWeb"/>
              <w:spacing w:before="0" w:beforeAutospacing="0" w:after="0" w:afterAutospacing="0"/>
              <w:rPr>
                <w:sz w:val="20"/>
                <w:szCs w:val="20"/>
              </w:rPr>
            </w:pPr>
            <w:r>
              <w:rPr>
                <w:sz w:val="20"/>
                <w:szCs w:val="20"/>
              </w:rPr>
              <w:t>Date: September 11, 2025 </w:t>
            </w:r>
          </w:p>
        </w:tc>
        <w:tc>
          <w:tcPr>
            <w:tcW w:w="0" w:type="auto"/>
            <w:vAlign w:val="center"/>
            <w:hideMark/>
          </w:tcPr>
          <w:p w14:paraId="36C3F441" w14:textId="77777777" w:rsidR="002B5D06" w:rsidRDefault="000B69DD">
            <w:pPr>
              <w:pStyle w:val="NormalWeb"/>
              <w:spacing w:before="0" w:beforeAutospacing="0" w:after="0" w:afterAutospacing="0"/>
              <w:rPr>
                <w:sz w:val="20"/>
                <w:szCs w:val="20"/>
              </w:rPr>
            </w:pPr>
            <w:r>
              <w:rPr>
                <w:sz w:val="20"/>
                <w:szCs w:val="20"/>
              </w:rPr>
              <w:t> </w:t>
            </w:r>
          </w:p>
        </w:tc>
      </w:tr>
      <w:tr w:rsidR="002B5D06" w14:paraId="3CBC2BBA" w14:textId="77777777">
        <w:trPr>
          <w:divId w:val="1684360448"/>
          <w:trHeight w:val="225"/>
          <w:tblCellSpacing w:w="15" w:type="dxa"/>
          <w:jc w:val="center"/>
        </w:trPr>
        <w:tc>
          <w:tcPr>
            <w:tcW w:w="0" w:type="auto"/>
            <w:vAlign w:val="center"/>
            <w:hideMark/>
          </w:tcPr>
          <w:p w14:paraId="025732DA"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66469482" w14:textId="77777777" w:rsidR="002B5D06" w:rsidRDefault="000B69DD">
            <w:pPr>
              <w:pStyle w:val="NormalWeb"/>
              <w:spacing w:before="0" w:beforeAutospacing="0" w:after="0" w:afterAutospacing="0"/>
              <w:rPr>
                <w:sz w:val="20"/>
                <w:szCs w:val="20"/>
              </w:rPr>
            </w:pPr>
            <w:r>
              <w:rPr>
                <w:sz w:val="20"/>
                <w:szCs w:val="20"/>
              </w:rPr>
              <w:t> </w:t>
            </w:r>
          </w:p>
        </w:tc>
      </w:tr>
      <w:tr w:rsidR="002B5D06" w14:paraId="621CFFDA" w14:textId="77777777">
        <w:trPr>
          <w:divId w:val="1684360448"/>
          <w:trHeight w:val="225"/>
          <w:tblCellSpacing w:w="15" w:type="dxa"/>
          <w:jc w:val="center"/>
        </w:trPr>
        <w:tc>
          <w:tcPr>
            <w:tcW w:w="0" w:type="auto"/>
            <w:vAlign w:val="center"/>
            <w:hideMark/>
          </w:tcPr>
          <w:p w14:paraId="19E649A7" w14:textId="77777777" w:rsidR="002B5D06" w:rsidRDefault="000B69DD">
            <w:pPr>
              <w:pStyle w:val="NormalWeb"/>
              <w:spacing w:before="0" w:beforeAutospacing="0" w:after="0" w:afterAutospacing="0"/>
              <w:rPr>
                <w:sz w:val="20"/>
                <w:szCs w:val="20"/>
              </w:rPr>
            </w:pPr>
            <w:r>
              <w:rPr>
                <w:sz w:val="20"/>
                <w:szCs w:val="20"/>
              </w:rPr>
              <w:t>By (Signature and Title):</w:t>
            </w:r>
          </w:p>
        </w:tc>
        <w:tc>
          <w:tcPr>
            <w:tcW w:w="0" w:type="auto"/>
            <w:vAlign w:val="center"/>
            <w:hideMark/>
          </w:tcPr>
          <w:p w14:paraId="32A43F4B" w14:textId="77777777" w:rsidR="002B5D06" w:rsidRDefault="000B69DD">
            <w:pPr>
              <w:pStyle w:val="NormalWeb"/>
              <w:spacing w:before="0" w:beforeAutospacing="0" w:after="0" w:afterAutospacing="0"/>
              <w:rPr>
                <w:sz w:val="20"/>
                <w:szCs w:val="20"/>
              </w:rPr>
            </w:pPr>
            <w:r>
              <w:rPr>
                <w:sz w:val="20"/>
                <w:szCs w:val="20"/>
              </w:rPr>
              <w:t> </w:t>
            </w:r>
          </w:p>
        </w:tc>
      </w:tr>
      <w:tr w:rsidR="002B5D06" w14:paraId="0A356DA5" w14:textId="77777777">
        <w:trPr>
          <w:divId w:val="1684360448"/>
          <w:trHeight w:val="225"/>
          <w:tblCellSpacing w:w="15" w:type="dxa"/>
          <w:jc w:val="center"/>
        </w:trPr>
        <w:tc>
          <w:tcPr>
            <w:tcW w:w="0" w:type="auto"/>
            <w:vAlign w:val="center"/>
            <w:hideMark/>
          </w:tcPr>
          <w:p w14:paraId="0D9045B6"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72CEFFBA" w14:textId="77777777" w:rsidR="002B5D06" w:rsidRDefault="000B69DD">
            <w:pPr>
              <w:pStyle w:val="NormalWeb"/>
              <w:spacing w:before="0" w:beforeAutospacing="0" w:after="0" w:afterAutospacing="0"/>
              <w:rPr>
                <w:sz w:val="20"/>
                <w:szCs w:val="20"/>
              </w:rPr>
            </w:pPr>
            <w:r>
              <w:rPr>
                <w:sz w:val="20"/>
                <w:szCs w:val="20"/>
              </w:rPr>
              <w:t> </w:t>
            </w:r>
          </w:p>
        </w:tc>
      </w:tr>
      <w:tr w:rsidR="002B5D06" w14:paraId="34CB8A2E" w14:textId="77777777">
        <w:trPr>
          <w:divId w:val="1684360448"/>
          <w:trHeight w:val="225"/>
          <w:tblCellSpacing w:w="15" w:type="dxa"/>
          <w:jc w:val="center"/>
        </w:trPr>
        <w:tc>
          <w:tcPr>
            <w:tcW w:w="0" w:type="auto"/>
            <w:tcBorders>
              <w:bottom w:val="single" w:sz="6" w:space="0" w:color="auto"/>
            </w:tcBorders>
            <w:vAlign w:val="center"/>
            <w:hideMark/>
          </w:tcPr>
          <w:p w14:paraId="3EBC1C26" w14:textId="77777777" w:rsidR="002B5D06" w:rsidRDefault="000B69DD">
            <w:pPr>
              <w:pStyle w:val="NormalWeb"/>
              <w:spacing w:before="0" w:beforeAutospacing="0" w:after="0" w:afterAutospacing="0"/>
              <w:rPr>
                <w:sz w:val="20"/>
                <w:szCs w:val="20"/>
              </w:rPr>
            </w:pPr>
            <w:r>
              <w:rPr>
                <w:rStyle w:val="Emphasis"/>
                <w:sz w:val="20"/>
                <w:szCs w:val="20"/>
              </w:rPr>
              <w:t xml:space="preserve">/s/ Robert E. Wolfe </w:t>
            </w:r>
          </w:p>
        </w:tc>
        <w:tc>
          <w:tcPr>
            <w:tcW w:w="0" w:type="auto"/>
            <w:vAlign w:val="center"/>
            <w:hideMark/>
          </w:tcPr>
          <w:p w14:paraId="5190A30A" w14:textId="77777777" w:rsidR="002B5D06" w:rsidRDefault="000B69DD">
            <w:pPr>
              <w:pStyle w:val="NormalWeb"/>
              <w:spacing w:before="0" w:beforeAutospacing="0" w:after="0" w:afterAutospacing="0"/>
              <w:rPr>
                <w:sz w:val="20"/>
                <w:szCs w:val="20"/>
              </w:rPr>
            </w:pPr>
            <w:r>
              <w:rPr>
                <w:sz w:val="20"/>
                <w:szCs w:val="20"/>
              </w:rPr>
              <w:t> </w:t>
            </w:r>
          </w:p>
        </w:tc>
      </w:tr>
      <w:tr w:rsidR="002B5D06" w14:paraId="11B64502" w14:textId="77777777">
        <w:trPr>
          <w:divId w:val="1684360448"/>
          <w:trHeight w:val="225"/>
          <w:tblCellSpacing w:w="15" w:type="dxa"/>
          <w:jc w:val="center"/>
        </w:trPr>
        <w:tc>
          <w:tcPr>
            <w:tcW w:w="0" w:type="auto"/>
            <w:vAlign w:val="center"/>
            <w:hideMark/>
          </w:tcPr>
          <w:p w14:paraId="7F80CE7D" w14:textId="77777777" w:rsidR="002B5D06" w:rsidRDefault="000B69DD">
            <w:pPr>
              <w:pStyle w:val="NormalWeb"/>
              <w:spacing w:before="0" w:beforeAutospacing="0" w:after="0" w:afterAutospacing="0"/>
              <w:rPr>
                <w:sz w:val="20"/>
                <w:szCs w:val="20"/>
              </w:rPr>
            </w:pPr>
            <w:r>
              <w:rPr>
                <w:sz w:val="20"/>
                <w:szCs w:val="20"/>
              </w:rPr>
              <w:t>Robert E. Wolfe, CEO &amp; Chairman of the Board</w:t>
            </w:r>
          </w:p>
        </w:tc>
        <w:tc>
          <w:tcPr>
            <w:tcW w:w="0" w:type="auto"/>
            <w:vAlign w:val="center"/>
            <w:hideMark/>
          </w:tcPr>
          <w:p w14:paraId="0B7E9211" w14:textId="77777777" w:rsidR="002B5D06" w:rsidRDefault="000B69DD">
            <w:pPr>
              <w:pStyle w:val="NormalWeb"/>
              <w:spacing w:before="0" w:beforeAutospacing="0" w:after="0" w:afterAutospacing="0"/>
              <w:rPr>
                <w:sz w:val="20"/>
                <w:szCs w:val="20"/>
              </w:rPr>
            </w:pPr>
            <w:r>
              <w:rPr>
                <w:sz w:val="20"/>
                <w:szCs w:val="20"/>
              </w:rPr>
              <w:t> </w:t>
            </w:r>
          </w:p>
        </w:tc>
      </w:tr>
      <w:tr w:rsidR="002B5D06" w14:paraId="5470B74A" w14:textId="77777777">
        <w:trPr>
          <w:divId w:val="1684360448"/>
          <w:trHeight w:val="225"/>
          <w:tblCellSpacing w:w="15" w:type="dxa"/>
          <w:jc w:val="center"/>
        </w:trPr>
        <w:tc>
          <w:tcPr>
            <w:tcW w:w="0" w:type="auto"/>
            <w:vAlign w:val="center"/>
            <w:hideMark/>
          </w:tcPr>
          <w:p w14:paraId="1882255C"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53E006C6" w14:textId="77777777" w:rsidR="002B5D06" w:rsidRDefault="000B69DD">
            <w:pPr>
              <w:pStyle w:val="NormalWeb"/>
              <w:spacing w:before="0" w:beforeAutospacing="0" w:after="0" w:afterAutospacing="0"/>
              <w:rPr>
                <w:sz w:val="20"/>
                <w:szCs w:val="20"/>
              </w:rPr>
            </w:pPr>
            <w:r>
              <w:rPr>
                <w:sz w:val="20"/>
                <w:szCs w:val="20"/>
              </w:rPr>
              <w:t> </w:t>
            </w:r>
          </w:p>
        </w:tc>
      </w:tr>
      <w:tr w:rsidR="002B5D06" w14:paraId="0B345FFC" w14:textId="77777777">
        <w:trPr>
          <w:divId w:val="1684360448"/>
          <w:trHeight w:val="225"/>
          <w:tblCellSpacing w:w="15" w:type="dxa"/>
          <w:jc w:val="center"/>
        </w:trPr>
        <w:tc>
          <w:tcPr>
            <w:tcW w:w="0" w:type="auto"/>
            <w:vAlign w:val="center"/>
            <w:hideMark/>
          </w:tcPr>
          <w:p w14:paraId="0334782A" w14:textId="77777777" w:rsidR="002B5D06" w:rsidRDefault="000B69DD">
            <w:pPr>
              <w:pStyle w:val="NormalWeb"/>
              <w:spacing w:before="0" w:beforeAutospacing="0" w:after="0" w:afterAutospacing="0"/>
              <w:jc w:val="both"/>
              <w:rPr>
                <w:sz w:val="20"/>
                <w:szCs w:val="20"/>
              </w:rPr>
            </w:pPr>
            <w:r>
              <w:rPr>
                <w:sz w:val="20"/>
                <w:szCs w:val="20"/>
              </w:rPr>
              <w:t>Date: September 11, 2025 </w:t>
            </w:r>
          </w:p>
        </w:tc>
        <w:tc>
          <w:tcPr>
            <w:tcW w:w="0" w:type="auto"/>
            <w:vAlign w:val="center"/>
            <w:hideMark/>
          </w:tcPr>
          <w:p w14:paraId="0EF2946A" w14:textId="77777777" w:rsidR="002B5D06" w:rsidRDefault="000B69DD">
            <w:pPr>
              <w:pStyle w:val="NormalWeb"/>
              <w:spacing w:before="0" w:beforeAutospacing="0" w:after="0" w:afterAutospacing="0"/>
              <w:rPr>
                <w:sz w:val="20"/>
                <w:szCs w:val="20"/>
              </w:rPr>
            </w:pPr>
            <w:r>
              <w:rPr>
                <w:sz w:val="20"/>
                <w:szCs w:val="20"/>
              </w:rPr>
              <w:t> </w:t>
            </w:r>
          </w:p>
        </w:tc>
      </w:tr>
      <w:tr w:rsidR="002B5D06" w14:paraId="357DEA2E" w14:textId="77777777">
        <w:trPr>
          <w:divId w:val="1684360448"/>
          <w:trHeight w:val="225"/>
          <w:tblCellSpacing w:w="15" w:type="dxa"/>
          <w:jc w:val="center"/>
        </w:trPr>
        <w:tc>
          <w:tcPr>
            <w:tcW w:w="0" w:type="auto"/>
            <w:vAlign w:val="center"/>
            <w:hideMark/>
          </w:tcPr>
          <w:p w14:paraId="7352F6DF"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50D5CF48" w14:textId="77777777" w:rsidR="002B5D06" w:rsidRDefault="000B69DD">
            <w:pPr>
              <w:pStyle w:val="NormalWeb"/>
              <w:spacing w:before="0" w:beforeAutospacing="0" w:after="0" w:afterAutospacing="0"/>
              <w:rPr>
                <w:sz w:val="20"/>
                <w:szCs w:val="20"/>
              </w:rPr>
            </w:pPr>
            <w:r>
              <w:rPr>
                <w:sz w:val="20"/>
                <w:szCs w:val="20"/>
              </w:rPr>
              <w:t> </w:t>
            </w:r>
          </w:p>
        </w:tc>
      </w:tr>
      <w:tr w:rsidR="002B5D06" w14:paraId="2616DA7E" w14:textId="77777777">
        <w:trPr>
          <w:divId w:val="1684360448"/>
          <w:trHeight w:val="225"/>
          <w:tblCellSpacing w:w="15" w:type="dxa"/>
          <w:jc w:val="center"/>
        </w:trPr>
        <w:tc>
          <w:tcPr>
            <w:tcW w:w="0" w:type="auto"/>
            <w:vAlign w:val="center"/>
            <w:hideMark/>
          </w:tcPr>
          <w:p w14:paraId="3A8DA534" w14:textId="77777777" w:rsidR="002B5D06" w:rsidRDefault="000B69DD">
            <w:pPr>
              <w:pStyle w:val="NormalWeb"/>
              <w:spacing w:before="0" w:beforeAutospacing="0" w:after="0" w:afterAutospacing="0"/>
              <w:jc w:val="both"/>
              <w:rPr>
                <w:sz w:val="20"/>
                <w:szCs w:val="20"/>
              </w:rPr>
            </w:pPr>
            <w:r>
              <w:rPr>
                <w:sz w:val="20"/>
                <w:szCs w:val="20"/>
              </w:rPr>
              <w:t>By (Signature and title):</w:t>
            </w:r>
          </w:p>
        </w:tc>
        <w:tc>
          <w:tcPr>
            <w:tcW w:w="0" w:type="auto"/>
            <w:vAlign w:val="center"/>
            <w:hideMark/>
          </w:tcPr>
          <w:p w14:paraId="67078219" w14:textId="77777777" w:rsidR="002B5D06" w:rsidRDefault="000B69DD">
            <w:pPr>
              <w:pStyle w:val="NormalWeb"/>
              <w:spacing w:before="0" w:beforeAutospacing="0" w:after="0" w:afterAutospacing="0"/>
              <w:rPr>
                <w:sz w:val="20"/>
                <w:szCs w:val="20"/>
              </w:rPr>
            </w:pPr>
            <w:r>
              <w:rPr>
                <w:sz w:val="20"/>
                <w:szCs w:val="20"/>
              </w:rPr>
              <w:t> </w:t>
            </w:r>
          </w:p>
        </w:tc>
      </w:tr>
      <w:tr w:rsidR="002B5D06" w14:paraId="1F075EB1" w14:textId="77777777">
        <w:trPr>
          <w:divId w:val="1684360448"/>
          <w:trHeight w:val="225"/>
          <w:tblCellSpacing w:w="15" w:type="dxa"/>
          <w:jc w:val="center"/>
        </w:trPr>
        <w:tc>
          <w:tcPr>
            <w:tcW w:w="0" w:type="auto"/>
            <w:vAlign w:val="center"/>
            <w:hideMark/>
          </w:tcPr>
          <w:p w14:paraId="55C8CC58" w14:textId="77777777" w:rsidR="002B5D06" w:rsidRDefault="002B5D06">
            <w:pPr>
              <w:rPr>
                <w:rFonts w:eastAsia="Times New Roman"/>
                <w:sz w:val="20"/>
                <w:szCs w:val="20"/>
              </w:rPr>
            </w:pPr>
          </w:p>
        </w:tc>
        <w:tc>
          <w:tcPr>
            <w:tcW w:w="0" w:type="auto"/>
            <w:vAlign w:val="center"/>
            <w:hideMark/>
          </w:tcPr>
          <w:p w14:paraId="13542B21" w14:textId="77777777" w:rsidR="002B5D06" w:rsidRDefault="000B69DD">
            <w:pPr>
              <w:pStyle w:val="NormalWeb"/>
              <w:spacing w:before="0" w:beforeAutospacing="0" w:after="0" w:afterAutospacing="0"/>
              <w:rPr>
                <w:sz w:val="20"/>
                <w:szCs w:val="20"/>
              </w:rPr>
            </w:pPr>
            <w:r>
              <w:rPr>
                <w:sz w:val="20"/>
                <w:szCs w:val="20"/>
              </w:rPr>
              <w:t> </w:t>
            </w:r>
          </w:p>
        </w:tc>
      </w:tr>
      <w:tr w:rsidR="002B5D06" w14:paraId="233930F8" w14:textId="77777777">
        <w:trPr>
          <w:divId w:val="1684360448"/>
          <w:trHeight w:val="225"/>
          <w:tblCellSpacing w:w="15" w:type="dxa"/>
          <w:jc w:val="center"/>
        </w:trPr>
        <w:tc>
          <w:tcPr>
            <w:tcW w:w="0" w:type="auto"/>
            <w:tcBorders>
              <w:bottom w:val="single" w:sz="6" w:space="0" w:color="auto"/>
            </w:tcBorders>
            <w:vAlign w:val="center"/>
            <w:hideMark/>
          </w:tcPr>
          <w:p w14:paraId="78C86DA3" w14:textId="77777777" w:rsidR="002B5D06" w:rsidRDefault="000B69DD">
            <w:pPr>
              <w:pStyle w:val="NormalWeb"/>
              <w:spacing w:before="0" w:beforeAutospacing="0" w:after="0" w:afterAutospacing="0"/>
              <w:rPr>
                <w:sz w:val="20"/>
                <w:szCs w:val="20"/>
              </w:rPr>
            </w:pPr>
            <w:r>
              <w:rPr>
                <w:rStyle w:val="Emphasis"/>
                <w:sz w:val="20"/>
                <w:szCs w:val="20"/>
              </w:rPr>
              <w:t xml:space="preserve">/s/ Lawrence Donofrio </w:t>
            </w:r>
            <w:r>
              <w:rPr>
                <w:sz w:val="20"/>
                <w:szCs w:val="20"/>
              </w:rPr>
              <w:t xml:space="preserve">  </w:t>
            </w:r>
          </w:p>
        </w:tc>
        <w:tc>
          <w:tcPr>
            <w:tcW w:w="0" w:type="auto"/>
            <w:vAlign w:val="center"/>
            <w:hideMark/>
          </w:tcPr>
          <w:p w14:paraId="3C22EF0A" w14:textId="77777777" w:rsidR="002B5D06" w:rsidRDefault="000B69DD">
            <w:pPr>
              <w:pStyle w:val="NormalWeb"/>
              <w:spacing w:before="0" w:beforeAutospacing="0" w:after="0" w:afterAutospacing="0"/>
              <w:rPr>
                <w:sz w:val="20"/>
                <w:szCs w:val="20"/>
              </w:rPr>
            </w:pPr>
            <w:r>
              <w:rPr>
                <w:sz w:val="20"/>
                <w:szCs w:val="20"/>
              </w:rPr>
              <w:t> </w:t>
            </w:r>
          </w:p>
        </w:tc>
      </w:tr>
      <w:tr w:rsidR="002B5D06" w14:paraId="4AA76E21" w14:textId="77777777">
        <w:trPr>
          <w:divId w:val="1684360448"/>
          <w:trHeight w:val="225"/>
          <w:tblCellSpacing w:w="15" w:type="dxa"/>
          <w:jc w:val="center"/>
        </w:trPr>
        <w:tc>
          <w:tcPr>
            <w:tcW w:w="0" w:type="auto"/>
            <w:vAlign w:val="center"/>
            <w:hideMark/>
          </w:tcPr>
          <w:p w14:paraId="641867DE" w14:textId="77777777" w:rsidR="002B5D06" w:rsidRDefault="000B69DD">
            <w:pPr>
              <w:pStyle w:val="NormalWeb"/>
              <w:spacing w:before="0" w:beforeAutospacing="0" w:after="0" w:afterAutospacing="0"/>
              <w:rPr>
                <w:sz w:val="20"/>
                <w:szCs w:val="20"/>
              </w:rPr>
            </w:pPr>
            <w:r>
              <w:rPr>
                <w:sz w:val="20"/>
                <w:szCs w:val="20"/>
              </w:rPr>
              <w:t>Lawrence Donofrio, Director</w:t>
            </w:r>
          </w:p>
        </w:tc>
        <w:tc>
          <w:tcPr>
            <w:tcW w:w="0" w:type="auto"/>
            <w:vAlign w:val="center"/>
            <w:hideMark/>
          </w:tcPr>
          <w:p w14:paraId="17559E52" w14:textId="77777777" w:rsidR="002B5D06" w:rsidRDefault="000B69DD">
            <w:pPr>
              <w:pStyle w:val="NormalWeb"/>
              <w:spacing w:before="0" w:beforeAutospacing="0" w:after="0" w:afterAutospacing="0"/>
              <w:rPr>
                <w:sz w:val="20"/>
                <w:szCs w:val="20"/>
              </w:rPr>
            </w:pPr>
            <w:r>
              <w:rPr>
                <w:sz w:val="20"/>
                <w:szCs w:val="20"/>
              </w:rPr>
              <w:t> </w:t>
            </w:r>
          </w:p>
        </w:tc>
      </w:tr>
    </w:tbl>
    <w:p w14:paraId="1438C6A0"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7044B954" w14:textId="77777777">
        <w:trPr>
          <w:divId w:val="1684360448"/>
          <w:trHeight w:val="225"/>
          <w:tblCellSpacing w:w="15" w:type="dxa"/>
          <w:jc w:val="center"/>
        </w:trPr>
        <w:tc>
          <w:tcPr>
            <w:tcW w:w="0" w:type="auto"/>
            <w:vAlign w:val="center"/>
            <w:hideMark/>
          </w:tcPr>
          <w:p w14:paraId="6128AB69" w14:textId="77777777" w:rsidR="002B5D06" w:rsidRDefault="000B69DD">
            <w:pPr>
              <w:rPr>
                <w:rFonts w:eastAsia="Times New Roman"/>
                <w:sz w:val="20"/>
                <w:szCs w:val="20"/>
              </w:rPr>
            </w:pPr>
            <w:r>
              <w:rPr>
                <w:rFonts w:eastAsia="Times New Roman"/>
                <w:sz w:val="20"/>
                <w:szCs w:val="20"/>
              </w:rPr>
              <w:t> </w:t>
            </w:r>
          </w:p>
        </w:tc>
      </w:tr>
      <w:tr w:rsidR="002B5D06" w14:paraId="255CB065" w14:textId="77777777">
        <w:trPr>
          <w:divId w:val="1684360448"/>
          <w:trHeight w:val="225"/>
          <w:tblCellSpacing w:w="15" w:type="dxa"/>
          <w:jc w:val="center"/>
        </w:trPr>
        <w:tc>
          <w:tcPr>
            <w:tcW w:w="0" w:type="auto"/>
            <w:tcBorders>
              <w:bottom w:val="single" w:sz="6" w:space="0" w:color="000000"/>
            </w:tcBorders>
            <w:vAlign w:val="center"/>
            <w:hideMark/>
          </w:tcPr>
          <w:p w14:paraId="1786B1B8" w14:textId="77777777" w:rsidR="002B5D06" w:rsidRDefault="000B69DD">
            <w:pPr>
              <w:jc w:val="center"/>
              <w:rPr>
                <w:rFonts w:eastAsia="Times New Roman"/>
                <w:sz w:val="20"/>
                <w:szCs w:val="20"/>
              </w:rPr>
            </w:pPr>
            <w:r>
              <w:rPr>
                <w:rFonts w:eastAsia="Times New Roman"/>
                <w:sz w:val="20"/>
                <w:szCs w:val="20"/>
              </w:rPr>
              <w:t>25</w:t>
            </w:r>
          </w:p>
        </w:tc>
      </w:tr>
      <w:tr w:rsidR="002B5D06" w14:paraId="2B2E3FD6" w14:textId="77777777">
        <w:trPr>
          <w:divId w:val="1684360448"/>
          <w:trHeight w:val="225"/>
          <w:tblCellSpacing w:w="15" w:type="dxa"/>
          <w:jc w:val="center"/>
        </w:trPr>
        <w:tc>
          <w:tcPr>
            <w:tcW w:w="0" w:type="auto"/>
            <w:vAlign w:val="center"/>
            <w:hideMark/>
          </w:tcPr>
          <w:p w14:paraId="6FE7D048" w14:textId="77777777" w:rsidR="002B5D06" w:rsidRDefault="002B5D06">
            <w:pPr>
              <w:rPr>
                <w:rFonts w:eastAsia="Times New Roman"/>
                <w:sz w:val="20"/>
                <w:szCs w:val="20"/>
              </w:rPr>
            </w:pPr>
          </w:p>
        </w:tc>
      </w:tr>
      <w:tr w:rsidR="002B5D06" w14:paraId="2F37DDAF" w14:textId="77777777">
        <w:trPr>
          <w:divId w:val="1684360448"/>
          <w:trHeight w:val="225"/>
          <w:tblCellSpacing w:w="15" w:type="dxa"/>
          <w:jc w:val="center"/>
        </w:trPr>
        <w:tc>
          <w:tcPr>
            <w:tcW w:w="0" w:type="auto"/>
            <w:vAlign w:val="center"/>
            <w:hideMark/>
          </w:tcPr>
          <w:p w14:paraId="2853BAF4" w14:textId="77777777" w:rsidR="002B5D06" w:rsidRDefault="002B5D06">
            <w:pPr>
              <w:rPr>
                <w:rFonts w:eastAsia="Times New Roman"/>
                <w:sz w:val="20"/>
                <w:szCs w:val="20"/>
              </w:rPr>
            </w:pPr>
          </w:p>
        </w:tc>
      </w:tr>
    </w:tbl>
    <w:p w14:paraId="0D406183"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79E99762" w14:textId="77777777" w:rsidR="002B5D06" w:rsidRDefault="000B69DD">
      <w:pPr>
        <w:pStyle w:val="NormalWeb"/>
        <w:spacing w:before="0" w:beforeAutospacing="0" w:after="0" w:afterAutospacing="0"/>
        <w:jc w:val="center"/>
        <w:divId w:val="1684360448"/>
        <w:rPr>
          <w:sz w:val="20"/>
          <w:szCs w:val="20"/>
        </w:rPr>
      </w:pPr>
      <w:r>
        <w:rPr>
          <w:sz w:val="20"/>
          <w:szCs w:val="20"/>
        </w:rPr>
        <w:t> </w:t>
      </w:r>
    </w:p>
    <w:p w14:paraId="11617EAB" w14:textId="77777777" w:rsidR="002B5D06" w:rsidRDefault="000B69DD">
      <w:pPr>
        <w:pStyle w:val="NormalWeb"/>
        <w:spacing w:before="0" w:beforeAutospacing="0" w:after="0" w:afterAutospacing="0"/>
        <w:jc w:val="center"/>
        <w:divId w:val="1684360448"/>
        <w:rPr>
          <w:sz w:val="20"/>
          <w:szCs w:val="20"/>
        </w:rPr>
      </w:pPr>
      <w:r>
        <w:rPr>
          <w:rStyle w:val="atag"/>
          <w:b/>
          <w:bCs/>
          <w:sz w:val="20"/>
          <w:szCs w:val="20"/>
        </w:rPr>
        <w:t>EXHIBIT F</w:t>
      </w:r>
    </w:p>
    <w:p w14:paraId="64452788" w14:textId="77777777" w:rsidR="002B5D06" w:rsidRDefault="000B69DD">
      <w:pPr>
        <w:pStyle w:val="NormalWeb"/>
        <w:spacing w:before="0" w:beforeAutospacing="0" w:after="0" w:afterAutospacing="0"/>
        <w:jc w:val="center"/>
        <w:divId w:val="1684360448"/>
        <w:rPr>
          <w:sz w:val="20"/>
          <w:szCs w:val="20"/>
        </w:rPr>
      </w:pPr>
      <w:r>
        <w:rPr>
          <w:sz w:val="20"/>
          <w:szCs w:val="20"/>
        </w:rPr>
        <w:t> </w:t>
      </w:r>
    </w:p>
    <w:p w14:paraId="4C0A7C33" w14:textId="77777777" w:rsidR="002B5D06" w:rsidRDefault="000B69DD">
      <w:pPr>
        <w:pStyle w:val="NormalWeb"/>
        <w:spacing w:before="0" w:beforeAutospacing="0" w:after="0" w:afterAutospacing="0"/>
        <w:jc w:val="center"/>
        <w:divId w:val="1684360448"/>
        <w:rPr>
          <w:sz w:val="20"/>
          <w:szCs w:val="20"/>
        </w:rPr>
      </w:pPr>
      <w:r>
        <w:rPr>
          <w:rStyle w:val="Strong"/>
          <w:sz w:val="20"/>
          <w:szCs w:val="20"/>
        </w:rPr>
        <w:t>FINANCIAL STATEMENTS AND REPORT OF INDEPENDENT REGISTERED PUBLIC</w:t>
      </w:r>
    </w:p>
    <w:p w14:paraId="494B8AAA" w14:textId="77777777" w:rsidR="002B5D06" w:rsidRDefault="000B69DD">
      <w:pPr>
        <w:pStyle w:val="NormalWeb"/>
        <w:spacing w:before="0" w:beforeAutospacing="0" w:after="0" w:afterAutospacing="0"/>
        <w:jc w:val="center"/>
        <w:divId w:val="1684360448"/>
        <w:rPr>
          <w:sz w:val="20"/>
          <w:szCs w:val="20"/>
        </w:rPr>
      </w:pPr>
      <w:r>
        <w:rPr>
          <w:rStyle w:val="Strong"/>
          <w:sz w:val="20"/>
          <w:szCs w:val="20"/>
        </w:rPr>
        <w:t>ACCOUNTING FIRM OF ADVANCED OXYGEN TECHNOLOGIES, INC. AND SUBSIDIARY</w:t>
      </w:r>
    </w:p>
    <w:p w14:paraId="7213894D" w14:textId="77777777" w:rsidR="002B5D06" w:rsidRDefault="000B69DD">
      <w:pPr>
        <w:pStyle w:val="NormalWeb"/>
        <w:spacing w:before="0" w:beforeAutospacing="0" w:after="0" w:afterAutospacing="0"/>
        <w:jc w:val="center"/>
        <w:divId w:val="1684360448"/>
        <w:rPr>
          <w:sz w:val="20"/>
          <w:szCs w:val="20"/>
        </w:rPr>
      </w:pPr>
      <w:r>
        <w:rPr>
          <w:rStyle w:val="Strong"/>
          <w:sz w:val="20"/>
          <w:szCs w:val="20"/>
        </w:rPr>
        <w:t>June 30, 2025</w:t>
      </w:r>
    </w:p>
    <w:p w14:paraId="72873E3D" w14:textId="77777777" w:rsidR="002B5D06" w:rsidRDefault="000B69DD">
      <w:pPr>
        <w:pStyle w:val="NormalWeb"/>
        <w:spacing w:before="0" w:beforeAutospacing="0" w:after="0" w:afterAutospacing="0"/>
        <w:jc w:val="center"/>
        <w:divId w:val="1684360448"/>
        <w:rPr>
          <w:sz w:val="20"/>
          <w:szCs w:val="20"/>
        </w:rPr>
      </w:pPr>
      <w:r>
        <w:rPr>
          <w:sz w:val="20"/>
          <w:szCs w:val="20"/>
        </w:rPr>
        <w:t> </w:t>
      </w:r>
    </w:p>
    <w:p w14:paraId="496BA052" w14:textId="77777777" w:rsidR="002B5D06" w:rsidRDefault="000B69DD">
      <w:pPr>
        <w:pStyle w:val="NormalWeb"/>
        <w:spacing w:before="0" w:beforeAutospacing="0" w:after="0" w:afterAutospacing="0"/>
        <w:jc w:val="center"/>
        <w:divId w:val="1684360448"/>
        <w:rPr>
          <w:sz w:val="20"/>
          <w:szCs w:val="20"/>
        </w:rPr>
      </w:pPr>
      <w:r>
        <w:rPr>
          <w:rStyle w:val="Strong"/>
          <w:sz w:val="20"/>
          <w:szCs w:val="20"/>
        </w:rPr>
        <w:t>Table of Contents</w:t>
      </w:r>
    </w:p>
    <w:p w14:paraId="40F254DD" w14:textId="77777777" w:rsidR="002B5D06" w:rsidRDefault="000B69DD">
      <w:pPr>
        <w:pStyle w:val="NormalWeb"/>
        <w:spacing w:before="0" w:beforeAutospacing="0" w:after="0" w:afterAutospacing="0"/>
        <w:jc w:val="center"/>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8242"/>
        <w:gridCol w:w="122"/>
        <w:gridCol w:w="859"/>
        <w:gridCol w:w="137"/>
      </w:tblGrid>
      <w:tr w:rsidR="002B5D06" w14:paraId="4B9CE989" w14:textId="77777777">
        <w:trPr>
          <w:divId w:val="1684360448"/>
          <w:trHeight w:val="225"/>
          <w:tblCellSpacing w:w="15" w:type="dxa"/>
          <w:jc w:val="center"/>
        </w:trPr>
        <w:tc>
          <w:tcPr>
            <w:tcW w:w="0" w:type="auto"/>
            <w:vAlign w:val="center"/>
            <w:hideMark/>
          </w:tcPr>
          <w:p w14:paraId="2BAE6B6B" w14:textId="77777777" w:rsidR="002B5D06" w:rsidRDefault="000B69DD">
            <w:pPr>
              <w:pStyle w:val="NormalWeb"/>
              <w:spacing w:before="0" w:beforeAutospacing="0" w:after="0" w:afterAutospacing="0"/>
              <w:jc w:val="both"/>
              <w:rPr>
                <w:sz w:val="20"/>
                <w:szCs w:val="20"/>
              </w:rPr>
            </w:pPr>
            <w:r>
              <w:rPr>
                <w:sz w:val="20"/>
                <w:szCs w:val="20"/>
              </w:rPr>
              <w:t> </w:t>
            </w:r>
          </w:p>
        </w:tc>
        <w:tc>
          <w:tcPr>
            <w:tcW w:w="50" w:type="pct"/>
            <w:vAlign w:val="center"/>
            <w:hideMark/>
          </w:tcPr>
          <w:p w14:paraId="5D5BA623"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vAlign w:val="bottom"/>
            <w:hideMark/>
          </w:tcPr>
          <w:p w14:paraId="20016462" w14:textId="77777777" w:rsidR="002B5D06" w:rsidRDefault="000B69DD">
            <w:pPr>
              <w:pStyle w:val="NormalWeb"/>
              <w:spacing w:before="0" w:beforeAutospacing="0" w:after="0" w:afterAutospacing="0"/>
              <w:jc w:val="center"/>
              <w:rPr>
                <w:sz w:val="20"/>
                <w:szCs w:val="20"/>
              </w:rPr>
            </w:pPr>
            <w:r>
              <w:rPr>
                <w:rStyle w:val="Strong"/>
                <w:sz w:val="20"/>
                <w:szCs w:val="20"/>
              </w:rPr>
              <w:t>Page</w:t>
            </w:r>
          </w:p>
        </w:tc>
        <w:tc>
          <w:tcPr>
            <w:tcW w:w="50" w:type="pct"/>
            <w:vAlign w:val="center"/>
            <w:hideMark/>
          </w:tcPr>
          <w:p w14:paraId="7074CB01" w14:textId="77777777" w:rsidR="002B5D06" w:rsidRDefault="000B69DD">
            <w:pPr>
              <w:pStyle w:val="NormalWeb"/>
              <w:spacing w:before="0" w:beforeAutospacing="0" w:after="0" w:afterAutospacing="0"/>
              <w:rPr>
                <w:sz w:val="20"/>
                <w:szCs w:val="20"/>
              </w:rPr>
            </w:pPr>
            <w:r>
              <w:rPr>
                <w:sz w:val="20"/>
                <w:szCs w:val="20"/>
              </w:rPr>
              <w:t> </w:t>
            </w:r>
          </w:p>
        </w:tc>
      </w:tr>
      <w:tr w:rsidR="002B5D06" w14:paraId="6CEFB227" w14:textId="77777777">
        <w:trPr>
          <w:divId w:val="1684360448"/>
          <w:trHeight w:val="225"/>
          <w:tblCellSpacing w:w="15" w:type="dxa"/>
          <w:jc w:val="center"/>
        </w:trPr>
        <w:tc>
          <w:tcPr>
            <w:tcW w:w="0" w:type="auto"/>
            <w:vAlign w:val="center"/>
            <w:hideMark/>
          </w:tcPr>
          <w:p w14:paraId="5DB8167E"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7A43C4EC"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14E69A2F" w14:textId="77777777" w:rsidR="002B5D06" w:rsidRDefault="000B69DD">
            <w:pPr>
              <w:pStyle w:val="NormalWeb"/>
              <w:spacing w:before="0" w:beforeAutospacing="0" w:after="0" w:afterAutospacing="0"/>
              <w:jc w:val="right"/>
              <w:rPr>
                <w:sz w:val="20"/>
                <w:szCs w:val="20"/>
              </w:rPr>
            </w:pPr>
            <w:r>
              <w:rPr>
                <w:sz w:val="20"/>
                <w:szCs w:val="20"/>
              </w:rPr>
              <w:t> </w:t>
            </w:r>
          </w:p>
        </w:tc>
        <w:tc>
          <w:tcPr>
            <w:tcW w:w="0" w:type="auto"/>
            <w:vAlign w:val="center"/>
            <w:hideMark/>
          </w:tcPr>
          <w:p w14:paraId="6DB5A7B5" w14:textId="77777777" w:rsidR="002B5D06" w:rsidRDefault="000B69DD">
            <w:pPr>
              <w:pStyle w:val="NormalWeb"/>
              <w:spacing w:before="0" w:beforeAutospacing="0" w:after="0" w:afterAutospacing="0"/>
              <w:rPr>
                <w:sz w:val="20"/>
                <w:szCs w:val="20"/>
              </w:rPr>
            </w:pPr>
            <w:r>
              <w:rPr>
                <w:sz w:val="20"/>
                <w:szCs w:val="20"/>
              </w:rPr>
              <w:t> </w:t>
            </w:r>
          </w:p>
        </w:tc>
      </w:tr>
      <w:tr w:rsidR="002B5D06" w14:paraId="5F0093FE" w14:textId="77777777">
        <w:trPr>
          <w:divId w:val="1684360448"/>
          <w:trHeight w:val="225"/>
          <w:tblCellSpacing w:w="15" w:type="dxa"/>
          <w:jc w:val="center"/>
        </w:trPr>
        <w:tc>
          <w:tcPr>
            <w:tcW w:w="0" w:type="auto"/>
            <w:shd w:val="clear" w:color="auto" w:fill="CCEEFF"/>
            <w:vAlign w:val="bottom"/>
            <w:hideMark/>
          </w:tcPr>
          <w:p w14:paraId="4292757C" w14:textId="77777777" w:rsidR="002B5D06" w:rsidRDefault="000B69DD">
            <w:pPr>
              <w:pStyle w:val="NormalWeb"/>
              <w:spacing w:before="0" w:beforeAutospacing="0" w:after="0" w:afterAutospacing="0"/>
              <w:jc w:val="both"/>
              <w:rPr>
                <w:sz w:val="20"/>
                <w:szCs w:val="20"/>
              </w:rPr>
            </w:pPr>
            <w:hyperlink w:anchor="REPORT" w:history="1">
              <w:r>
                <w:rPr>
                  <w:rStyle w:val="Hyperlink"/>
                  <w:sz w:val="20"/>
                  <w:szCs w:val="20"/>
                </w:rPr>
                <w:t>Report of Independent Registered Public Accounting Firm (PCAOB ID:3627) for the years ending June 30, 2025 and 2024</w:t>
              </w:r>
            </w:hyperlink>
          </w:p>
        </w:tc>
        <w:tc>
          <w:tcPr>
            <w:tcW w:w="0" w:type="auto"/>
            <w:shd w:val="clear" w:color="auto" w:fill="CCEEFF"/>
            <w:vAlign w:val="center"/>
            <w:hideMark/>
          </w:tcPr>
          <w:p w14:paraId="07B1DE82"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4DB1C724" w14:textId="77777777" w:rsidR="002B5D06" w:rsidRDefault="000B69DD">
            <w:pPr>
              <w:pStyle w:val="NormalWeb"/>
              <w:spacing w:before="0" w:beforeAutospacing="0" w:after="0" w:afterAutospacing="0"/>
              <w:jc w:val="right"/>
              <w:rPr>
                <w:sz w:val="20"/>
                <w:szCs w:val="20"/>
              </w:rPr>
            </w:pPr>
            <w:r>
              <w:rPr>
                <w:sz w:val="20"/>
                <w:szCs w:val="20"/>
              </w:rPr>
              <w:t>F-2</w:t>
            </w:r>
          </w:p>
        </w:tc>
        <w:tc>
          <w:tcPr>
            <w:tcW w:w="0" w:type="auto"/>
            <w:shd w:val="clear" w:color="auto" w:fill="CCEEFF"/>
            <w:vAlign w:val="center"/>
            <w:hideMark/>
          </w:tcPr>
          <w:p w14:paraId="38318679" w14:textId="77777777" w:rsidR="002B5D06" w:rsidRDefault="000B69DD">
            <w:pPr>
              <w:pStyle w:val="NormalWeb"/>
              <w:spacing w:before="0" w:beforeAutospacing="0" w:after="0" w:afterAutospacing="0"/>
              <w:rPr>
                <w:sz w:val="20"/>
                <w:szCs w:val="20"/>
              </w:rPr>
            </w:pPr>
            <w:r>
              <w:rPr>
                <w:sz w:val="20"/>
                <w:szCs w:val="20"/>
              </w:rPr>
              <w:t> </w:t>
            </w:r>
          </w:p>
        </w:tc>
      </w:tr>
      <w:tr w:rsidR="002B5D06" w14:paraId="3614E917" w14:textId="77777777">
        <w:trPr>
          <w:divId w:val="1684360448"/>
          <w:trHeight w:val="225"/>
          <w:tblCellSpacing w:w="15" w:type="dxa"/>
          <w:jc w:val="center"/>
        </w:trPr>
        <w:tc>
          <w:tcPr>
            <w:tcW w:w="0" w:type="auto"/>
            <w:shd w:val="clear" w:color="auto" w:fill="FFFFFF"/>
            <w:vAlign w:val="center"/>
            <w:hideMark/>
          </w:tcPr>
          <w:p w14:paraId="343A4E6B"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3BDF1BDD"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793CC194" w14:textId="77777777" w:rsidR="002B5D06" w:rsidRDefault="000B69DD">
            <w:pPr>
              <w:pStyle w:val="NormalWeb"/>
              <w:spacing w:before="0" w:beforeAutospacing="0" w:after="0" w:afterAutospacing="0"/>
              <w:jc w:val="right"/>
              <w:rPr>
                <w:sz w:val="20"/>
                <w:szCs w:val="20"/>
              </w:rPr>
            </w:pPr>
            <w:r>
              <w:rPr>
                <w:sz w:val="20"/>
                <w:szCs w:val="20"/>
              </w:rPr>
              <w:t> </w:t>
            </w:r>
          </w:p>
        </w:tc>
        <w:tc>
          <w:tcPr>
            <w:tcW w:w="0" w:type="auto"/>
            <w:shd w:val="clear" w:color="auto" w:fill="FFFFFF"/>
            <w:vAlign w:val="center"/>
            <w:hideMark/>
          </w:tcPr>
          <w:p w14:paraId="2ADB31DE" w14:textId="77777777" w:rsidR="002B5D06" w:rsidRDefault="000B69DD">
            <w:pPr>
              <w:pStyle w:val="NormalWeb"/>
              <w:spacing w:before="0" w:beforeAutospacing="0" w:after="0" w:afterAutospacing="0"/>
              <w:rPr>
                <w:sz w:val="20"/>
                <w:szCs w:val="20"/>
              </w:rPr>
            </w:pPr>
            <w:r>
              <w:rPr>
                <w:sz w:val="20"/>
                <w:szCs w:val="20"/>
              </w:rPr>
              <w:t> </w:t>
            </w:r>
          </w:p>
        </w:tc>
      </w:tr>
      <w:tr w:rsidR="002B5D06" w14:paraId="0AD766BA" w14:textId="77777777">
        <w:trPr>
          <w:divId w:val="1684360448"/>
          <w:trHeight w:val="225"/>
          <w:tblCellSpacing w:w="15" w:type="dxa"/>
          <w:jc w:val="center"/>
        </w:trPr>
        <w:tc>
          <w:tcPr>
            <w:tcW w:w="0" w:type="auto"/>
            <w:shd w:val="clear" w:color="auto" w:fill="CCEEFF"/>
            <w:vAlign w:val="bottom"/>
            <w:hideMark/>
          </w:tcPr>
          <w:p w14:paraId="5B3EF038" w14:textId="77777777" w:rsidR="002B5D06" w:rsidRDefault="000B69DD">
            <w:pPr>
              <w:pStyle w:val="NormalWeb"/>
              <w:spacing w:before="0" w:beforeAutospacing="0" w:after="0" w:afterAutospacing="0"/>
              <w:jc w:val="both"/>
              <w:rPr>
                <w:sz w:val="20"/>
                <w:szCs w:val="20"/>
              </w:rPr>
            </w:pPr>
            <w:hyperlink w:anchor="BS" w:history="1">
              <w:r>
                <w:rPr>
                  <w:rStyle w:val="Hyperlink"/>
                  <w:sz w:val="20"/>
                  <w:szCs w:val="20"/>
                </w:rPr>
                <w:t>Consolidated Balance Sheets as of June 30, 2025, and 2024</w:t>
              </w:r>
            </w:hyperlink>
          </w:p>
        </w:tc>
        <w:tc>
          <w:tcPr>
            <w:tcW w:w="0" w:type="auto"/>
            <w:shd w:val="clear" w:color="auto" w:fill="CCEEFF"/>
            <w:vAlign w:val="center"/>
            <w:hideMark/>
          </w:tcPr>
          <w:p w14:paraId="18927E85"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470C768E" w14:textId="77777777" w:rsidR="002B5D06" w:rsidRDefault="000B69DD">
            <w:pPr>
              <w:pStyle w:val="NormalWeb"/>
              <w:spacing w:before="0" w:beforeAutospacing="0" w:after="0" w:afterAutospacing="0"/>
              <w:jc w:val="right"/>
              <w:rPr>
                <w:sz w:val="20"/>
                <w:szCs w:val="20"/>
              </w:rPr>
            </w:pPr>
            <w:r>
              <w:rPr>
                <w:sz w:val="20"/>
                <w:szCs w:val="20"/>
              </w:rPr>
              <w:t>F-3</w:t>
            </w:r>
          </w:p>
        </w:tc>
        <w:tc>
          <w:tcPr>
            <w:tcW w:w="0" w:type="auto"/>
            <w:shd w:val="clear" w:color="auto" w:fill="CCEEFF"/>
            <w:vAlign w:val="center"/>
            <w:hideMark/>
          </w:tcPr>
          <w:p w14:paraId="442CEEF1" w14:textId="77777777" w:rsidR="002B5D06" w:rsidRDefault="000B69DD">
            <w:pPr>
              <w:pStyle w:val="NormalWeb"/>
              <w:spacing w:before="0" w:beforeAutospacing="0" w:after="0" w:afterAutospacing="0"/>
              <w:rPr>
                <w:sz w:val="20"/>
                <w:szCs w:val="20"/>
              </w:rPr>
            </w:pPr>
            <w:r>
              <w:rPr>
                <w:sz w:val="20"/>
                <w:szCs w:val="20"/>
              </w:rPr>
              <w:t> </w:t>
            </w:r>
          </w:p>
        </w:tc>
      </w:tr>
      <w:tr w:rsidR="002B5D06" w14:paraId="2D8C67E9" w14:textId="77777777">
        <w:trPr>
          <w:divId w:val="1684360448"/>
          <w:trHeight w:val="225"/>
          <w:tblCellSpacing w:w="15" w:type="dxa"/>
          <w:jc w:val="center"/>
        </w:trPr>
        <w:tc>
          <w:tcPr>
            <w:tcW w:w="0" w:type="auto"/>
            <w:shd w:val="clear" w:color="auto" w:fill="FFFFFF"/>
            <w:vAlign w:val="center"/>
            <w:hideMark/>
          </w:tcPr>
          <w:p w14:paraId="048C9284"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1FDD741F"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0DBC9C83" w14:textId="77777777" w:rsidR="002B5D06" w:rsidRDefault="000B69DD">
            <w:pPr>
              <w:pStyle w:val="NormalWeb"/>
              <w:spacing w:before="0" w:beforeAutospacing="0" w:after="0" w:afterAutospacing="0"/>
              <w:jc w:val="right"/>
              <w:rPr>
                <w:sz w:val="20"/>
                <w:szCs w:val="20"/>
              </w:rPr>
            </w:pPr>
            <w:r>
              <w:rPr>
                <w:sz w:val="20"/>
                <w:szCs w:val="20"/>
              </w:rPr>
              <w:t> </w:t>
            </w:r>
          </w:p>
        </w:tc>
        <w:tc>
          <w:tcPr>
            <w:tcW w:w="0" w:type="auto"/>
            <w:shd w:val="clear" w:color="auto" w:fill="FFFFFF"/>
            <w:vAlign w:val="center"/>
            <w:hideMark/>
          </w:tcPr>
          <w:p w14:paraId="17CCF980" w14:textId="77777777" w:rsidR="002B5D06" w:rsidRDefault="000B69DD">
            <w:pPr>
              <w:pStyle w:val="NormalWeb"/>
              <w:spacing w:before="0" w:beforeAutospacing="0" w:after="0" w:afterAutospacing="0"/>
              <w:rPr>
                <w:sz w:val="20"/>
                <w:szCs w:val="20"/>
              </w:rPr>
            </w:pPr>
            <w:r>
              <w:rPr>
                <w:sz w:val="20"/>
                <w:szCs w:val="20"/>
              </w:rPr>
              <w:t> </w:t>
            </w:r>
          </w:p>
        </w:tc>
      </w:tr>
      <w:tr w:rsidR="002B5D06" w14:paraId="08A18D33" w14:textId="77777777">
        <w:trPr>
          <w:divId w:val="1684360448"/>
          <w:trHeight w:val="225"/>
          <w:tblCellSpacing w:w="15" w:type="dxa"/>
          <w:jc w:val="center"/>
        </w:trPr>
        <w:tc>
          <w:tcPr>
            <w:tcW w:w="0" w:type="auto"/>
            <w:shd w:val="clear" w:color="auto" w:fill="CCEEFF"/>
            <w:vAlign w:val="bottom"/>
            <w:hideMark/>
          </w:tcPr>
          <w:p w14:paraId="7E7B2943" w14:textId="77777777" w:rsidR="002B5D06" w:rsidRDefault="000B69DD">
            <w:pPr>
              <w:pStyle w:val="NormalWeb"/>
              <w:spacing w:before="0" w:beforeAutospacing="0" w:after="0" w:afterAutospacing="0"/>
              <w:jc w:val="both"/>
              <w:rPr>
                <w:sz w:val="20"/>
                <w:szCs w:val="20"/>
              </w:rPr>
            </w:pPr>
            <w:hyperlink w:anchor="CI" w:history="1">
              <w:r>
                <w:rPr>
                  <w:rStyle w:val="Hyperlink"/>
                  <w:sz w:val="20"/>
                  <w:szCs w:val="20"/>
                </w:rPr>
                <w:t>Consolidated Statements of Operations and Comprehensive Income (Loss) for the years ending June 30, 2025 and 2024</w:t>
              </w:r>
            </w:hyperlink>
          </w:p>
        </w:tc>
        <w:tc>
          <w:tcPr>
            <w:tcW w:w="0" w:type="auto"/>
            <w:shd w:val="clear" w:color="auto" w:fill="CCEEFF"/>
            <w:vAlign w:val="center"/>
            <w:hideMark/>
          </w:tcPr>
          <w:p w14:paraId="55EAE474"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2F4B0C62" w14:textId="77777777" w:rsidR="002B5D06" w:rsidRDefault="000B69DD">
            <w:pPr>
              <w:pStyle w:val="NormalWeb"/>
              <w:spacing w:before="0" w:beforeAutospacing="0" w:after="0" w:afterAutospacing="0"/>
              <w:jc w:val="right"/>
              <w:rPr>
                <w:sz w:val="20"/>
                <w:szCs w:val="20"/>
              </w:rPr>
            </w:pPr>
            <w:r>
              <w:rPr>
                <w:sz w:val="20"/>
                <w:szCs w:val="20"/>
              </w:rPr>
              <w:t>F-4</w:t>
            </w:r>
          </w:p>
        </w:tc>
        <w:tc>
          <w:tcPr>
            <w:tcW w:w="0" w:type="auto"/>
            <w:shd w:val="clear" w:color="auto" w:fill="CCEEFF"/>
            <w:vAlign w:val="center"/>
            <w:hideMark/>
          </w:tcPr>
          <w:p w14:paraId="6D26E810" w14:textId="77777777" w:rsidR="002B5D06" w:rsidRDefault="000B69DD">
            <w:pPr>
              <w:pStyle w:val="NormalWeb"/>
              <w:spacing w:before="0" w:beforeAutospacing="0" w:after="0" w:afterAutospacing="0"/>
              <w:rPr>
                <w:sz w:val="20"/>
                <w:szCs w:val="20"/>
              </w:rPr>
            </w:pPr>
            <w:r>
              <w:rPr>
                <w:sz w:val="20"/>
                <w:szCs w:val="20"/>
              </w:rPr>
              <w:t> </w:t>
            </w:r>
          </w:p>
        </w:tc>
      </w:tr>
      <w:tr w:rsidR="002B5D06" w14:paraId="09375D0F" w14:textId="77777777">
        <w:trPr>
          <w:divId w:val="1684360448"/>
          <w:trHeight w:val="225"/>
          <w:tblCellSpacing w:w="15" w:type="dxa"/>
          <w:jc w:val="center"/>
        </w:trPr>
        <w:tc>
          <w:tcPr>
            <w:tcW w:w="0" w:type="auto"/>
            <w:shd w:val="clear" w:color="auto" w:fill="FFFFFF"/>
            <w:vAlign w:val="center"/>
            <w:hideMark/>
          </w:tcPr>
          <w:p w14:paraId="38B299D8"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36C4D5C7"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3849F2C2" w14:textId="77777777" w:rsidR="002B5D06" w:rsidRDefault="000B69DD">
            <w:pPr>
              <w:pStyle w:val="NormalWeb"/>
              <w:spacing w:before="0" w:beforeAutospacing="0" w:after="0" w:afterAutospacing="0"/>
              <w:jc w:val="right"/>
              <w:rPr>
                <w:sz w:val="20"/>
                <w:szCs w:val="20"/>
              </w:rPr>
            </w:pPr>
            <w:r>
              <w:rPr>
                <w:sz w:val="20"/>
                <w:szCs w:val="20"/>
              </w:rPr>
              <w:t> </w:t>
            </w:r>
          </w:p>
        </w:tc>
        <w:tc>
          <w:tcPr>
            <w:tcW w:w="0" w:type="auto"/>
            <w:shd w:val="clear" w:color="auto" w:fill="FFFFFF"/>
            <w:vAlign w:val="center"/>
            <w:hideMark/>
          </w:tcPr>
          <w:p w14:paraId="07F2D08D" w14:textId="77777777" w:rsidR="002B5D06" w:rsidRDefault="000B69DD">
            <w:pPr>
              <w:pStyle w:val="NormalWeb"/>
              <w:spacing w:before="0" w:beforeAutospacing="0" w:after="0" w:afterAutospacing="0"/>
              <w:rPr>
                <w:sz w:val="20"/>
                <w:szCs w:val="20"/>
              </w:rPr>
            </w:pPr>
            <w:r>
              <w:rPr>
                <w:sz w:val="20"/>
                <w:szCs w:val="20"/>
              </w:rPr>
              <w:t> </w:t>
            </w:r>
          </w:p>
        </w:tc>
      </w:tr>
      <w:tr w:rsidR="002B5D06" w14:paraId="1F82FA44" w14:textId="77777777">
        <w:trPr>
          <w:divId w:val="1684360448"/>
          <w:trHeight w:val="225"/>
          <w:tblCellSpacing w:w="15" w:type="dxa"/>
          <w:jc w:val="center"/>
        </w:trPr>
        <w:tc>
          <w:tcPr>
            <w:tcW w:w="0" w:type="auto"/>
            <w:shd w:val="clear" w:color="auto" w:fill="CCEEFF"/>
            <w:vAlign w:val="bottom"/>
            <w:hideMark/>
          </w:tcPr>
          <w:p w14:paraId="2BF9C5E4" w14:textId="77777777" w:rsidR="002B5D06" w:rsidRDefault="000B69DD">
            <w:pPr>
              <w:pStyle w:val="NormalWeb"/>
              <w:spacing w:before="0" w:beforeAutospacing="0" w:after="0" w:afterAutospacing="0"/>
              <w:jc w:val="both"/>
              <w:rPr>
                <w:sz w:val="20"/>
                <w:szCs w:val="20"/>
              </w:rPr>
            </w:pPr>
            <w:hyperlink w:anchor="EQ" w:history="1">
              <w:r>
                <w:rPr>
                  <w:rStyle w:val="Hyperlink"/>
                  <w:sz w:val="20"/>
                  <w:szCs w:val="20"/>
                </w:rPr>
                <w:t>Consolidated Statements of Stockholders’ Equity for the years ending June 30, 2025 and 2024</w:t>
              </w:r>
            </w:hyperlink>
          </w:p>
        </w:tc>
        <w:tc>
          <w:tcPr>
            <w:tcW w:w="0" w:type="auto"/>
            <w:shd w:val="clear" w:color="auto" w:fill="CCEEFF"/>
            <w:vAlign w:val="center"/>
            <w:hideMark/>
          </w:tcPr>
          <w:p w14:paraId="28299392"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5E0F166A" w14:textId="77777777" w:rsidR="002B5D06" w:rsidRDefault="000B69DD">
            <w:pPr>
              <w:pStyle w:val="NormalWeb"/>
              <w:spacing w:before="0" w:beforeAutospacing="0" w:after="0" w:afterAutospacing="0"/>
              <w:jc w:val="right"/>
              <w:rPr>
                <w:sz w:val="20"/>
                <w:szCs w:val="20"/>
              </w:rPr>
            </w:pPr>
            <w:r>
              <w:rPr>
                <w:sz w:val="20"/>
                <w:szCs w:val="20"/>
              </w:rPr>
              <w:t>F-5</w:t>
            </w:r>
          </w:p>
        </w:tc>
        <w:tc>
          <w:tcPr>
            <w:tcW w:w="0" w:type="auto"/>
            <w:shd w:val="clear" w:color="auto" w:fill="CCEEFF"/>
            <w:vAlign w:val="center"/>
            <w:hideMark/>
          </w:tcPr>
          <w:p w14:paraId="03DBBA33" w14:textId="77777777" w:rsidR="002B5D06" w:rsidRDefault="000B69DD">
            <w:pPr>
              <w:pStyle w:val="NormalWeb"/>
              <w:spacing w:before="0" w:beforeAutospacing="0" w:after="0" w:afterAutospacing="0"/>
              <w:rPr>
                <w:sz w:val="20"/>
                <w:szCs w:val="20"/>
              </w:rPr>
            </w:pPr>
            <w:r>
              <w:rPr>
                <w:sz w:val="20"/>
                <w:szCs w:val="20"/>
              </w:rPr>
              <w:t> </w:t>
            </w:r>
          </w:p>
        </w:tc>
      </w:tr>
      <w:tr w:rsidR="002B5D06" w14:paraId="3650DE8F" w14:textId="77777777">
        <w:trPr>
          <w:divId w:val="1684360448"/>
          <w:trHeight w:val="225"/>
          <w:tblCellSpacing w:w="15" w:type="dxa"/>
          <w:jc w:val="center"/>
        </w:trPr>
        <w:tc>
          <w:tcPr>
            <w:tcW w:w="0" w:type="auto"/>
            <w:shd w:val="clear" w:color="auto" w:fill="FFFFFF"/>
            <w:vAlign w:val="center"/>
            <w:hideMark/>
          </w:tcPr>
          <w:p w14:paraId="7EC7BDF8"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4FCFC6EF"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710F91C4" w14:textId="77777777" w:rsidR="002B5D06" w:rsidRDefault="000B69DD">
            <w:pPr>
              <w:pStyle w:val="NormalWeb"/>
              <w:spacing w:before="0" w:beforeAutospacing="0" w:after="0" w:afterAutospacing="0"/>
              <w:jc w:val="right"/>
              <w:rPr>
                <w:sz w:val="20"/>
                <w:szCs w:val="20"/>
              </w:rPr>
            </w:pPr>
            <w:r>
              <w:rPr>
                <w:sz w:val="20"/>
                <w:szCs w:val="20"/>
              </w:rPr>
              <w:t> </w:t>
            </w:r>
          </w:p>
        </w:tc>
        <w:tc>
          <w:tcPr>
            <w:tcW w:w="0" w:type="auto"/>
            <w:shd w:val="clear" w:color="auto" w:fill="FFFFFF"/>
            <w:vAlign w:val="center"/>
            <w:hideMark/>
          </w:tcPr>
          <w:p w14:paraId="7D580F53" w14:textId="77777777" w:rsidR="002B5D06" w:rsidRDefault="000B69DD">
            <w:pPr>
              <w:pStyle w:val="NormalWeb"/>
              <w:spacing w:before="0" w:beforeAutospacing="0" w:after="0" w:afterAutospacing="0"/>
              <w:rPr>
                <w:sz w:val="20"/>
                <w:szCs w:val="20"/>
              </w:rPr>
            </w:pPr>
            <w:r>
              <w:rPr>
                <w:sz w:val="20"/>
                <w:szCs w:val="20"/>
              </w:rPr>
              <w:t> </w:t>
            </w:r>
          </w:p>
        </w:tc>
      </w:tr>
      <w:tr w:rsidR="002B5D06" w14:paraId="1D1F619C" w14:textId="77777777">
        <w:trPr>
          <w:divId w:val="1684360448"/>
          <w:trHeight w:val="225"/>
          <w:tblCellSpacing w:w="15" w:type="dxa"/>
          <w:jc w:val="center"/>
        </w:trPr>
        <w:tc>
          <w:tcPr>
            <w:tcW w:w="0" w:type="auto"/>
            <w:shd w:val="clear" w:color="auto" w:fill="CCEEFF"/>
            <w:vAlign w:val="bottom"/>
            <w:hideMark/>
          </w:tcPr>
          <w:p w14:paraId="5776F415" w14:textId="77777777" w:rsidR="002B5D06" w:rsidRDefault="000B69DD">
            <w:pPr>
              <w:pStyle w:val="NormalWeb"/>
              <w:spacing w:before="0" w:beforeAutospacing="0" w:after="0" w:afterAutospacing="0"/>
              <w:jc w:val="both"/>
              <w:rPr>
                <w:sz w:val="20"/>
                <w:szCs w:val="20"/>
              </w:rPr>
            </w:pPr>
            <w:hyperlink w:anchor="CF" w:history="1">
              <w:r>
                <w:rPr>
                  <w:rStyle w:val="Hyperlink"/>
                  <w:sz w:val="20"/>
                  <w:szCs w:val="20"/>
                </w:rPr>
                <w:t>Consolidated Statements of Cash Flows for the years ending June 30, 2025 and 2024</w:t>
              </w:r>
            </w:hyperlink>
          </w:p>
        </w:tc>
        <w:tc>
          <w:tcPr>
            <w:tcW w:w="0" w:type="auto"/>
            <w:shd w:val="clear" w:color="auto" w:fill="CCEEFF"/>
            <w:vAlign w:val="center"/>
            <w:hideMark/>
          </w:tcPr>
          <w:p w14:paraId="097EA532"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5A94214A" w14:textId="77777777" w:rsidR="002B5D06" w:rsidRDefault="000B69DD">
            <w:pPr>
              <w:pStyle w:val="NormalWeb"/>
              <w:spacing w:before="0" w:beforeAutospacing="0" w:after="0" w:afterAutospacing="0"/>
              <w:jc w:val="right"/>
              <w:rPr>
                <w:sz w:val="20"/>
                <w:szCs w:val="20"/>
              </w:rPr>
            </w:pPr>
            <w:r>
              <w:rPr>
                <w:sz w:val="20"/>
                <w:szCs w:val="20"/>
              </w:rPr>
              <w:t>F-6</w:t>
            </w:r>
          </w:p>
        </w:tc>
        <w:tc>
          <w:tcPr>
            <w:tcW w:w="0" w:type="auto"/>
            <w:shd w:val="clear" w:color="auto" w:fill="CCEEFF"/>
            <w:vAlign w:val="center"/>
            <w:hideMark/>
          </w:tcPr>
          <w:p w14:paraId="7FCE0193" w14:textId="77777777" w:rsidR="002B5D06" w:rsidRDefault="000B69DD">
            <w:pPr>
              <w:pStyle w:val="NormalWeb"/>
              <w:spacing w:before="0" w:beforeAutospacing="0" w:after="0" w:afterAutospacing="0"/>
              <w:rPr>
                <w:sz w:val="20"/>
                <w:szCs w:val="20"/>
              </w:rPr>
            </w:pPr>
            <w:r>
              <w:rPr>
                <w:sz w:val="20"/>
                <w:szCs w:val="20"/>
              </w:rPr>
              <w:t> </w:t>
            </w:r>
          </w:p>
        </w:tc>
      </w:tr>
      <w:tr w:rsidR="002B5D06" w14:paraId="544E4F9C" w14:textId="77777777">
        <w:trPr>
          <w:divId w:val="1684360448"/>
          <w:trHeight w:val="225"/>
          <w:tblCellSpacing w:w="15" w:type="dxa"/>
          <w:jc w:val="center"/>
        </w:trPr>
        <w:tc>
          <w:tcPr>
            <w:tcW w:w="0" w:type="auto"/>
            <w:shd w:val="clear" w:color="auto" w:fill="FFFFFF"/>
            <w:vAlign w:val="center"/>
            <w:hideMark/>
          </w:tcPr>
          <w:p w14:paraId="57F0653A"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3C684DD1"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087E2C69" w14:textId="77777777" w:rsidR="002B5D06" w:rsidRDefault="000B69DD">
            <w:pPr>
              <w:pStyle w:val="NormalWeb"/>
              <w:spacing w:before="0" w:beforeAutospacing="0" w:after="0" w:afterAutospacing="0"/>
              <w:jc w:val="right"/>
              <w:rPr>
                <w:sz w:val="20"/>
                <w:szCs w:val="20"/>
              </w:rPr>
            </w:pPr>
            <w:r>
              <w:rPr>
                <w:sz w:val="20"/>
                <w:szCs w:val="20"/>
              </w:rPr>
              <w:t> </w:t>
            </w:r>
          </w:p>
        </w:tc>
        <w:tc>
          <w:tcPr>
            <w:tcW w:w="0" w:type="auto"/>
            <w:shd w:val="clear" w:color="auto" w:fill="FFFFFF"/>
            <w:vAlign w:val="center"/>
            <w:hideMark/>
          </w:tcPr>
          <w:p w14:paraId="6B7A77AE" w14:textId="77777777" w:rsidR="002B5D06" w:rsidRDefault="000B69DD">
            <w:pPr>
              <w:pStyle w:val="NormalWeb"/>
              <w:spacing w:before="0" w:beforeAutospacing="0" w:after="0" w:afterAutospacing="0"/>
              <w:rPr>
                <w:sz w:val="20"/>
                <w:szCs w:val="20"/>
              </w:rPr>
            </w:pPr>
            <w:r>
              <w:rPr>
                <w:sz w:val="20"/>
                <w:szCs w:val="20"/>
              </w:rPr>
              <w:t> </w:t>
            </w:r>
          </w:p>
        </w:tc>
      </w:tr>
      <w:tr w:rsidR="002B5D06" w14:paraId="2E816B03" w14:textId="77777777">
        <w:trPr>
          <w:divId w:val="1684360448"/>
          <w:trHeight w:val="225"/>
          <w:tblCellSpacing w:w="15" w:type="dxa"/>
          <w:jc w:val="center"/>
        </w:trPr>
        <w:tc>
          <w:tcPr>
            <w:tcW w:w="0" w:type="auto"/>
            <w:shd w:val="clear" w:color="auto" w:fill="CCEEFF"/>
            <w:vAlign w:val="bottom"/>
            <w:hideMark/>
          </w:tcPr>
          <w:p w14:paraId="5B51082F" w14:textId="77777777" w:rsidR="002B5D06" w:rsidRDefault="000B69DD">
            <w:pPr>
              <w:pStyle w:val="NormalWeb"/>
              <w:spacing w:before="0" w:beforeAutospacing="0" w:after="0" w:afterAutospacing="0"/>
              <w:jc w:val="both"/>
              <w:rPr>
                <w:sz w:val="20"/>
                <w:szCs w:val="20"/>
              </w:rPr>
            </w:pPr>
            <w:hyperlink w:anchor="NOTE" w:history="1">
              <w:r>
                <w:rPr>
                  <w:rStyle w:val="Hyperlink"/>
                  <w:sz w:val="20"/>
                  <w:szCs w:val="20"/>
                </w:rPr>
                <w:t>Notes to Consolidated Financial Statements</w:t>
              </w:r>
            </w:hyperlink>
          </w:p>
        </w:tc>
        <w:tc>
          <w:tcPr>
            <w:tcW w:w="0" w:type="auto"/>
            <w:shd w:val="clear" w:color="auto" w:fill="CCEEFF"/>
            <w:vAlign w:val="center"/>
            <w:hideMark/>
          </w:tcPr>
          <w:p w14:paraId="4EB3DE39" w14:textId="77777777" w:rsidR="002B5D06" w:rsidRDefault="000B69DD">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656100CE" w14:textId="77777777" w:rsidR="002B5D06" w:rsidRDefault="000B69DD">
            <w:pPr>
              <w:pStyle w:val="NormalWeb"/>
              <w:spacing w:before="0" w:beforeAutospacing="0" w:after="0" w:afterAutospacing="0"/>
              <w:jc w:val="right"/>
              <w:rPr>
                <w:sz w:val="20"/>
                <w:szCs w:val="20"/>
              </w:rPr>
            </w:pPr>
            <w:r>
              <w:rPr>
                <w:sz w:val="20"/>
                <w:szCs w:val="20"/>
              </w:rPr>
              <w:t>F-7</w:t>
            </w:r>
          </w:p>
        </w:tc>
        <w:tc>
          <w:tcPr>
            <w:tcW w:w="0" w:type="auto"/>
            <w:shd w:val="clear" w:color="auto" w:fill="CCEEFF"/>
            <w:vAlign w:val="center"/>
            <w:hideMark/>
          </w:tcPr>
          <w:p w14:paraId="5568BF58" w14:textId="77777777" w:rsidR="002B5D06" w:rsidRDefault="000B69DD">
            <w:pPr>
              <w:pStyle w:val="NormalWeb"/>
              <w:spacing w:before="0" w:beforeAutospacing="0" w:after="0" w:afterAutospacing="0"/>
              <w:rPr>
                <w:sz w:val="20"/>
                <w:szCs w:val="20"/>
              </w:rPr>
            </w:pPr>
            <w:r>
              <w:rPr>
                <w:sz w:val="20"/>
                <w:szCs w:val="20"/>
              </w:rPr>
              <w:t> </w:t>
            </w:r>
          </w:p>
        </w:tc>
      </w:tr>
    </w:tbl>
    <w:p w14:paraId="35F315FA"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6F2B8EC6" w14:textId="77777777">
        <w:trPr>
          <w:divId w:val="1684360448"/>
          <w:trHeight w:val="225"/>
          <w:tblCellSpacing w:w="15" w:type="dxa"/>
          <w:jc w:val="center"/>
        </w:trPr>
        <w:tc>
          <w:tcPr>
            <w:tcW w:w="0" w:type="auto"/>
            <w:vAlign w:val="center"/>
            <w:hideMark/>
          </w:tcPr>
          <w:p w14:paraId="499EE106" w14:textId="77777777" w:rsidR="002B5D06" w:rsidRDefault="000B69DD">
            <w:pPr>
              <w:rPr>
                <w:rFonts w:eastAsia="Times New Roman"/>
                <w:sz w:val="20"/>
                <w:szCs w:val="20"/>
              </w:rPr>
            </w:pPr>
            <w:r>
              <w:rPr>
                <w:rFonts w:eastAsia="Times New Roman"/>
                <w:sz w:val="20"/>
                <w:szCs w:val="20"/>
              </w:rPr>
              <w:t> </w:t>
            </w:r>
          </w:p>
        </w:tc>
      </w:tr>
      <w:tr w:rsidR="002B5D06" w14:paraId="31316EF7" w14:textId="77777777">
        <w:trPr>
          <w:divId w:val="1684360448"/>
          <w:trHeight w:val="225"/>
          <w:tblCellSpacing w:w="15" w:type="dxa"/>
          <w:jc w:val="center"/>
        </w:trPr>
        <w:tc>
          <w:tcPr>
            <w:tcW w:w="0" w:type="auto"/>
            <w:tcBorders>
              <w:bottom w:val="single" w:sz="6" w:space="0" w:color="000000"/>
            </w:tcBorders>
            <w:vAlign w:val="center"/>
            <w:hideMark/>
          </w:tcPr>
          <w:p w14:paraId="75113BD6" w14:textId="77777777" w:rsidR="002B5D06" w:rsidRDefault="000B69DD">
            <w:pPr>
              <w:jc w:val="center"/>
              <w:rPr>
                <w:rFonts w:eastAsia="Times New Roman"/>
                <w:sz w:val="20"/>
                <w:szCs w:val="20"/>
              </w:rPr>
            </w:pPr>
            <w:r>
              <w:rPr>
                <w:rFonts w:eastAsia="Times New Roman"/>
                <w:sz w:val="20"/>
                <w:szCs w:val="20"/>
              </w:rPr>
              <w:t>F-1</w:t>
            </w:r>
          </w:p>
        </w:tc>
      </w:tr>
      <w:tr w:rsidR="002B5D06" w14:paraId="0E730EFF" w14:textId="77777777">
        <w:trPr>
          <w:divId w:val="1684360448"/>
          <w:trHeight w:val="225"/>
          <w:tblCellSpacing w:w="15" w:type="dxa"/>
          <w:jc w:val="center"/>
        </w:trPr>
        <w:tc>
          <w:tcPr>
            <w:tcW w:w="0" w:type="auto"/>
            <w:vAlign w:val="center"/>
            <w:hideMark/>
          </w:tcPr>
          <w:p w14:paraId="507AB4B3" w14:textId="77777777" w:rsidR="002B5D06" w:rsidRDefault="002B5D06">
            <w:pPr>
              <w:rPr>
                <w:rFonts w:eastAsia="Times New Roman"/>
                <w:sz w:val="20"/>
                <w:szCs w:val="20"/>
              </w:rPr>
            </w:pPr>
          </w:p>
        </w:tc>
      </w:tr>
      <w:tr w:rsidR="002B5D06" w14:paraId="486259E9" w14:textId="77777777">
        <w:trPr>
          <w:divId w:val="1684360448"/>
          <w:trHeight w:val="225"/>
          <w:tblCellSpacing w:w="15" w:type="dxa"/>
          <w:jc w:val="center"/>
        </w:trPr>
        <w:tc>
          <w:tcPr>
            <w:tcW w:w="0" w:type="auto"/>
            <w:vAlign w:val="center"/>
            <w:hideMark/>
          </w:tcPr>
          <w:p w14:paraId="6F13098D" w14:textId="77777777" w:rsidR="002B5D06" w:rsidRDefault="002B5D06">
            <w:pPr>
              <w:rPr>
                <w:rFonts w:eastAsia="Times New Roman"/>
                <w:sz w:val="20"/>
                <w:szCs w:val="20"/>
              </w:rPr>
            </w:pPr>
          </w:p>
        </w:tc>
      </w:tr>
    </w:tbl>
    <w:p w14:paraId="00202ADF"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6D195DB6" w14:textId="77777777" w:rsidR="002B5D06" w:rsidRDefault="000B69DD">
      <w:pPr>
        <w:pStyle w:val="NormalWeb"/>
        <w:spacing w:before="0" w:beforeAutospacing="0" w:after="0" w:afterAutospacing="0"/>
        <w:divId w:val="1684360448"/>
        <w:rPr>
          <w:sz w:val="20"/>
          <w:szCs w:val="20"/>
        </w:rPr>
      </w:pPr>
      <w:r>
        <w:rPr>
          <w:sz w:val="20"/>
          <w:szCs w:val="20"/>
        </w:rPr>
        <w:t>  </w:t>
      </w:r>
    </w:p>
    <w:p w14:paraId="012D11DF" w14:textId="77777777" w:rsidR="002B5D06" w:rsidRDefault="000B69DD">
      <w:pPr>
        <w:pStyle w:val="NormalWeb"/>
        <w:spacing w:before="0" w:beforeAutospacing="0" w:after="0" w:afterAutospacing="0"/>
        <w:jc w:val="center"/>
        <w:divId w:val="1684360448"/>
        <w:rPr>
          <w:sz w:val="20"/>
          <w:szCs w:val="20"/>
        </w:rPr>
      </w:pPr>
      <w:r>
        <w:rPr>
          <w:rStyle w:val="atag"/>
          <w:b/>
          <w:bCs/>
          <w:sz w:val="20"/>
          <w:szCs w:val="20"/>
          <w:u w:val="single"/>
        </w:rPr>
        <w:t>REPORT OF INDEPENDENT REGISTERED PUBLIC ACCOUNTING FIRM</w:t>
      </w:r>
    </w:p>
    <w:p w14:paraId="39135887"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637F595" w14:textId="77777777" w:rsidR="002B5D06" w:rsidRDefault="000B69DD">
      <w:pPr>
        <w:pStyle w:val="NormalWeb"/>
        <w:spacing w:before="0" w:beforeAutospacing="0" w:after="0" w:afterAutospacing="0"/>
        <w:jc w:val="both"/>
        <w:divId w:val="1684360448"/>
        <w:rPr>
          <w:sz w:val="20"/>
          <w:szCs w:val="20"/>
        </w:rPr>
      </w:pPr>
      <w:r>
        <w:rPr>
          <w:sz w:val="20"/>
          <w:szCs w:val="20"/>
        </w:rPr>
        <w:t>To the Board of Directors and Shareholders of Advanced Oxygen Technologies, Inc.:</w:t>
      </w:r>
    </w:p>
    <w:p w14:paraId="1BD51F76"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A24AC89" w14:textId="77777777" w:rsidR="002B5D06" w:rsidRDefault="000B69DD">
      <w:pPr>
        <w:pStyle w:val="NormalWeb"/>
        <w:spacing w:before="0" w:beforeAutospacing="0" w:after="0" w:afterAutospacing="0"/>
        <w:jc w:val="both"/>
        <w:divId w:val="1684360448"/>
        <w:rPr>
          <w:sz w:val="20"/>
          <w:szCs w:val="20"/>
        </w:rPr>
      </w:pPr>
      <w:r>
        <w:rPr>
          <w:sz w:val="20"/>
          <w:szCs w:val="20"/>
          <w:u w:val="single"/>
        </w:rPr>
        <w:t>Opinion on the Financial Statements</w:t>
      </w:r>
    </w:p>
    <w:p w14:paraId="4BFBE63A" w14:textId="77777777" w:rsidR="002B5D06" w:rsidRDefault="000B69DD">
      <w:pPr>
        <w:pStyle w:val="NormalWeb"/>
        <w:spacing w:before="0" w:beforeAutospacing="0" w:after="0" w:afterAutospacing="0"/>
        <w:jc w:val="both"/>
        <w:divId w:val="1684360448"/>
        <w:rPr>
          <w:sz w:val="20"/>
          <w:szCs w:val="20"/>
        </w:rPr>
      </w:pPr>
      <w:r>
        <w:rPr>
          <w:sz w:val="20"/>
          <w:szCs w:val="20"/>
        </w:rPr>
        <w:t>We have audited the accompanying consolidated balance sheets of Advanced Oxygen Technologies, Inc. (“the Company”) as of June 30, 2025 and 2024, the related consolidated statements of operations and comprehensive income (loss), stockholders’ equity, and cash flows for each of the years in the two-year period ended June 30, 2025 and the related notes (collectively referred to as the “financial statements”). In our opinion, the financial statements referred to above present fairly, in all material respects, the financial position of the Company as of June 30, 2025 and 2024, and the results of its operations and its cash flows for each of the years in the two-year period ended June 30, 2025, in conformity with accounting principles generally accepted in the United States of America.</w:t>
      </w:r>
    </w:p>
    <w:p w14:paraId="19BC0C79"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E3749C8" w14:textId="77777777" w:rsidR="002B5D06" w:rsidRDefault="000B69DD">
      <w:pPr>
        <w:pStyle w:val="NormalWeb"/>
        <w:spacing w:before="0" w:beforeAutospacing="0" w:after="0" w:afterAutospacing="0"/>
        <w:jc w:val="both"/>
        <w:divId w:val="1684360448"/>
        <w:rPr>
          <w:sz w:val="20"/>
          <w:szCs w:val="20"/>
        </w:rPr>
      </w:pPr>
      <w:r>
        <w:rPr>
          <w:sz w:val="20"/>
          <w:szCs w:val="20"/>
          <w:u w:val="single"/>
        </w:rPr>
        <w:t>Basis for Opinion</w:t>
      </w:r>
    </w:p>
    <w:p w14:paraId="0A1676F8" w14:textId="77777777" w:rsidR="002B5D06" w:rsidRDefault="000B69DD">
      <w:pPr>
        <w:pStyle w:val="NormalWeb"/>
        <w:spacing w:before="0" w:beforeAutospacing="0" w:after="0" w:afterAutospacing="0"/>
        <w:jc w:val="both"/>
        <w:divId w:val="1684360448"/>
        <w:rPr>
          <w:sz w:val="20"/>
          <w:szCs w:val="20"/>
        </w:rPr>
      </w:pPr>
      <w:r>
        <w:rPr>
          <w:sz w:val="20"/>
          <w:szCs w:val="20"/>
        </w:rPr>
        <w:t>These financial statements are the responsibility of the Company’s management. Our responsibility is to express an opinion on the Company’s financial statements based on our audits.  We are a public accounting firm registered with the Public Company Accounting Oversight Board (United States) (“PCAOB”) and are required to be independent with respect to the Company in accordance with the U.S. federal securities laws and the applicable rules and regulations of the Securities and Exchange Commission and the PCAOB.</w:t>
      </w:r>
    </w:p>
    <w:p w14:paraId="1ADEBE7F"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E3EBCAA" w14:textId="77777777" w:rsidR="002B5D06" w:rsidRDefault="000B69DD">
      <w:pPr>
        <w:pStyle w:val="NormalWeb"/>
        <w:spacing w:before="0" w:beforeAutospacing="0" w:after="0" w:afterAutospacing="0"/>
        <w:jc w:val="both"/>
        <w:divId w:val="1684360448"/>
        <w:rPr>
          <w:sz w:val="20"/>
          <w:szCs w:val="20"/>
        </w:rPr>
      </w:pPr>
      <w:r>
        <w:rPr>
          <w:sz w:val="20"/>
          <w:szCs w:val="20"/>
        </w:rPr>
        <w:t>We conducted our audits in accordance with the standards of the PCAOB. Those standards require that we plan and perform the audit to obtain reasonable assurance about whether the financial statements are free of material misstatement, whether due to error or fraud. The Company is not required to have, nor were we engaged to perform, an audit of its internal control over financial reporting. As part of our audits, we are required to obtain an understanding of internal control over financial reporting, but not for the purpose of expressing an opinion on the effectiveness of the Company’s internal control over financial reporting. Accordingly, we express no such opinion.</w:t>
      </w:r>
    </w:p>
    <w:p w14:paraId="77D8BE3D"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1072D5C" w14:textId="77777777" w:rsidR="002B5D06" w:rsidRDefault="000B69DD">
      <w:pPr>
        <w:pStyle w:val="NormalWeb"/>
        <w:spacing w:before="0" w:beforeAutospacing="0" w:after="0" w:afterAutospacing="0"/>
        <w:jc w:val="both"/>
        <w:divId w:val="1684360448"/>
        <w:rPr>
          <w:sz w:val="20"/>
          <w:szCs w:val="20"/>
        </w:rPr>
      </w:pPr>
      <w:r>
        <w:rPr>
          <w:sz w:val="20"/>
          <w:szCs w:val="20"/>
        </w:rPr>
        <w:t xml:space="preserve">Our audits included performing procedures to assess the risks of material misstatement of the financial statements, whether due to error or fraud, and performing procedures that respond to those risks.  Such procedures included examining on a test basis, evidence regarding the amounts and disclosures in the financial statements.  Our audits also included evaluating the accounting principles used and significant estimates made by management, as well as evaluating the overall presentation of the financial statements.  We believe that our audits provide a reasonable basis for our opinion.  </w:t>
      </w:r>
    </w:p>
    <w:p w14:paraId="1B63FE5D"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621E463" w14:textId="77777777" w:rsidR="002B5D06" w:rsidRDefault="000B69DD">
      <w:pPr>
        <w:pStyle w:val="NormalWeb"/>
        <w:spacing w:before="0" w:beforeAutospacing="0" w:after="0" w:afterAutospacing="0"/>
        <w:jc w:val="both"/>
        <w:divId w:val="1684360448"/>
        <w:rPr>
          <w:sz w:val="20"/>
          <w:szCs w:val="20"/>
        </w:rPr>
      </w:pPr>
      <w:r>
        <w:rPr>
          <w:sz w:val="20"/>
          <w:szCs w:val="20"/>
          <w:u w:val="single"/>
        </w:rPr>
        <w:t>Critical Audit Matters</w:t>
      </w:r>
    </w:p>
    <w:p w14:paraId="3D43A96B" w14:textId="77777777" w:rsidR="002B5D06" w:rsidRDefault="000B69DD">
      <w:pPr>
        <w:pStyle w:val="NormalWeb"/>
        <w:spacing w:before="0" w:beforeAutospacing="0" w:after="0" w:afterAutospacing="0"/>
        <w:jc w:val="both"/>
        <w:divId w:val="1684360448"/>
        <w:rPr>
          <w:sz w:val="20"/>
          <w:szCs w:val="20"/>
        </w:rPr>
      </w:pPr>
      <w:r>
        <w:rPr>
          <w:sz w:val="20"/>
          <w:szCs w:val="20"/>
        </w:rPr>
        <w:t>Critical audit matters are matters arising from the current period audit of the financial statements that were communicated or required to be communicated to the audit committee and that (1) relate to accounts or disclosures that are material to the financial statements and (2) involved our especially challenging, subjective, or complex judgments. We determined that there were no critical audit matters.</w:t>
      </w:r>
    </w:p>
    <w:p w14:paraId="67C74696"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2EBC4BA"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/s/Sadler, Gibb &amp; Associates, LLC</w:t>
      </w:r>
    </w:p>
    <w:p w14:paraId="09E7046A"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EA11F1C" w14:textId="77777777" w:rsidR="002B5D06" w:rsidRDefault="000B69DD">
      <w:pPr>
        <w:pStyle w:val="NormalWeb"/>
        <w:spacing w:before="0" w:beforeAutospacing="0" w:after="0" w:afterAutospacing="0"/>
        <w:jc w:val="both"/>
        <w:divId w:val="1684360448"/>
        <w:rPr>
          <w:sz w:val="20"/>
          <w:szCs w:val="20"/>
        </w:rPr>
      </w:pPr>
      <w:r>
        <w:rPr>
          <w:sz w:val="20"/>
          <w:szCs w:val="20"/>
        </w:rPr>
        <w:t>We have served as the Company’s auditor since 2016.</w:t>
      </w:r>
    </w:p>
    <w:p w14:paraId="063375C1"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F3914E6" w14:textId="77777777" w:rsidR="002B5D06" w:rsidRDefault="000B69DD">
      <w:pPr>
        <w:pStyle w:val="NormalWeb"/>
        <w:spacing w:before="0" w:beforeAutospacing="0" w:after="0" w:afterAutospacing="0"/>
        <w:jc w:val="both"/>
        <w:divId w:val="1684360448"/>
        <w:rPr>
          <w:sz w:val="20"/>
          <w:szCs w:val="20"/>
        </w:rPr>
      </w:pPr>
      <w:r>
        <w:rPr>
          <w:sz w:val="20"/>
          <w:szCs w:val="20"/>
        </w:rPr>
        <w:t>Draper, UT</w:t>
      </w:r>
    </w:p>
    <w:p w14:paraId="4BE3A6B4" w14:textId="77777777" w:rsidR="002B5D06" w:rsidRDefault="000B69DD">
      <w:pPr>
        <w:pStyle w:val="NormalWeb"/>
        <w:spacing w:before="0" w:beforeAutospacing="0" w:after="0" w:afterAutospacing="0"/>
        <w:jc w:val="both"/>
        <w:divId w:val="1684360448"/>
        <w:rPr>
          <w:sz w:val="20"/>
          <w:szCs w:val="20"/>
        </w:rPr>
      </w:pPr>
      <w:r>
        <w:rPr>
          <w:sz w:val="20"/>
          <w:szCs w:val="20"/>
        </w:rPr>
        <w:t xml:space="preserve">September 11, 2025  </w:t>
      </w:r>
    </w:p>
    <w:p w14:paraId="777F17A3"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52FE4158" w14:textId="77777777">
        <w:trPr>
          <w:divId w:val="1684360448"/>
          <w:trHeight w:val="225"/>
          <w:tblCellSpacing w:w="15" w:type="dxa"/>
          <w:jc w:val="center"/>
        </w:trPr>
        <w:tc>
          <w:tcPr>
            <w:tcW w:w="0" w:type="auto"/>
            <w:vAlign w:val="center"/>
            <w:hideMark/>
          </w:tcPr>
          <w:p w14:paraId="61BAB6A8" w14:textId="77777777" w:rsidR="002B5D06" w:rsidRDefault="000B69DD">
            <w:pPr>
              <w:rPr>
                <w:rFonts w:eastAsia="Times New Roman"/>
                <w:sz w:val="20"/>
                <w:szCs w:val="20"/>
              </w:rPr>
            </w:pPr>
            <w:r>
              <w:rPr>
                <w:rFonts w:eastAsia="Times New Roman"/>
                <w:sz w:val="20"/>
                <w:szCs w:val="20"/>
              </w:rPr>
              <w:t> </w:t>
            </w:r>
          </w:p>
        </w:tc>
      </w:tr>
      <w:tr w:rsidR="002B5D06" w14:paraId="2E7E516B" w14:textId="77777777">
        <w:trPr>
          <w:divId w:val="1684360448"/>
          <w:trHeight w:val="225"/>
          <w:tblCellSpacing w:w="15" w:type="dxa"/>
          <w:jc w:val="center"/>
        </w:trPr>
        <w:tc>
          <w:tcPr>
            <w:tcW w:w="0" w:type="auto"/>
            <w:tcBorders>
              <w:bottom w:val="single" w:sz="6" w:space="0" w:color="000000"/>
            </w:tcBorders>
            <w:vAlign w:val="center"/>
            <w:hideMark/>
          </w:tcPr>
          <w:p w14:paraId="7F1D9F89" w14:textId="77777777" w:rsidR="002B5D06" w:rsidRDefault="000B69DD">
            <w:pPr>
              <w:jc w:val="center"/>
              <w:rPr>
                <w:rFonts w:eastAsia="Times New Roman"/>
                <w:sz w:val="20"/>
                <w:szCs w:val="20"/>
              </w:rPr>
            </w:pPr>
            <w:r>
              <w:rPr>
                <w:rFonts w:eastAsia="Times New Roman"/>
                <w:sz w:val="20"/>
                <w:szCs w:val="20"/>
              </w:rPr>
              <w:t>F-2</w:t>
            </w:r>
          </w:p>
        </w:tc>
      </w:tr>
      <w:tr w:rsidR="002B5D06" w14:paraId="6CC8B1D8" w14:textId="77777777">
        <w:trPr>
          <w:divId w:val="1684360448"/>
          <w:trHeight w:val="225"/>
          <w:tblCellSpacing w:w="15" w:type="dxa"/>
          <w:jc w:val="center"/>
        </w:trPr>
        <w:tc>
          <w:tcPr>
            <w:tcW w:w="0" w:type="auto"/>
            <w:vAlign w:val="center"/>
            <w:hideMark/>
          </w:tcPr>
          <w:p w14:paraId="3F063915" w14:textId="77777777" w:rsidR="002B5D06" w:rsidRDefault="002B5D06">
            <w:pPr>
              <w:rPr>
                <w:rFonts w:eastAsia="Times New Roman"/>
                <w:sz w:val="20"/>
                <w:szCs w:val="20"/>
              </w:rPr>
            </w:pPr>
          </w:p>
        </w:tc>
      </w:tr>
      <w:tr w:rsidR="002B5D06" w14:paraId="568E5CFE" w14:textId="77777777">
        <w:trPr>
          <w:divId w:val="1684360448"/>
          <w:trHeight w:val="225"/>
          <w:tblCellSpacing w:w="15" w:type="dxa"/>
          <w:jc w:val="center"/>
        </w:trPr>
        <w:tc>
          <w:tcPr>
            <w:tcW w:w="0" w:type="auto"/>
            <w:vAlign w:val="center"/>
            <w:hideMark/>
          </w:tcPr>
          <w:p w14:paraId="6A5B95CA" w14:textId="77777777" w:rsidR="002B5D06" w:rsidRDefault="002B5D06">
            <w:pPr>
              <w:rPr>
                <w:rFonts w:eastAsia="Times New Roman"/>
                <w:sz w:val="20"/>
                <w:szCs w:val="20"/>
              </w:rPr>
            </w:pPr>
          </w:p>
        </w:tc>
      </w:tr>
    </w:tbl>
    <w:p w14:paraId="2E926AB8"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4214E4A5" w14:textId="77777777" w:rsidR="002B5D06" w:rsidRDefault="000B69DD">
      <w:pPr>
        <w:pStyle w:val="NormalWeb"/>
        <w:spacing w:before="0" w:beforeAutospacing="0" w:after="0" w:afterAutospacing="0"/>
        <w:divId w:val="1684360448"/>
        <w:rPr>
          <w:sz w:val="20"/>
          <w:szCs w:val="20"/>
        </w:rPr>
      </w:pPr>
      <w:r>
        <w:rPr>
          <w:sz w:val="20"/>
          <w:szCs w:val="20"/>
        </w:rPr>
        <w:t>  </w:t>
      </w:r>
    </w:p>
    <w:p w14:paraId="36945294" w14:textId="77777777" w:rsidR="002B5D06" w:rsidRDefault="000B69DD">
      <w:pPr>
        <w:pStyle w:val="NormalWeb"/>
        <w:spacing w:before="0" w:beforeAutospacing="0" w:after="0" w:afterAutospacing="0"/>
        <w:jc w:val="center"/>
        <w:divId w:val="1684360448"/>
        <w:rPr>
          <w:sz w:val="20"/>
          <w:szCs w:val="20"/>
        </w:rPr>
      </w:pPr>
      <w:r>
        <w:rPr>
          <w:rStyle w:val="Strong"/>
          <w:sz w:val="20"/>
          <w:szCs w:val="20"/>
        </w:rPr>
        <w:t>ADVANCED OXYGEN TECHNOLOGIES, INC.</w:t>
      </w:r>
    </w:p>
    <w:p w14:paraId="7330B9ED" w14:textId="77777777" w:rsidR="002B5D06" w:rsidRDefault="000B69DD">
      <w:pPr>
        <w:pStyle w:val="NormalWeb"/>
        <w:spacing w:before="0" w:beforeAutospacing="0" w:after="0" w:afterAutospacing="0"/>
        <w:jc w:val="center"/>
        <w:divId w:val="1684360448"/>
        <w:rPr>
          <w:sz w:val="20"/>
          <w:szCs w:val="20"/>
        </w:rPr>
      </w:pPr>
      <w:r>
        <w:rPr>
          <w:rStyle w:val="Strong"/>
          <w:sz w:val="20"/>
          <w:szCs w:val="20"/>
        </w:rPr>
        <w:t xml:space="preserve">AND SUBSIDIARIES </w:t>
      </w:r>
    </w:p>
    <w:p w14:paraId="2F59A1D9" w14:textId="77777777" w:rsidR="002B5D06" w:rsidRDefault="000B69DD">
      <w:pPr>
        <w:pStyle w:val="NormalWeb"/>
        <w:spacing w:before="0" w:beforeAutospacing="0" w:after="0" w:afterAutospacing="0"/>
        <w:jc w:val="center"/>
        <w:divId w:val="1684360448"/>
        <w:rPr>
          <w:sz w:val="20"/>
          <w:szCs w:val="20"/>
        </w:rPr>
      </w:pPr>
      <w:r>
        <w:rPr>
          <w:rStyle w:val="atag"/>
          <w:b/>
          <w:bCs/>
          <w:sz w:val="20"/>
          <w:szCs w:val="20"/>
        </w:rPr>
        <w:t>CONSOLIDATED BALANCE SHEETS </w:t>
      </w:r>
    </w:p>
    <w:p w14:paraId="1CA2D947" w14:textId="77777777" w:rsidR="002B5D06" w:rsidRDefault="000B69DD">
      <w:pPr>
        <w:pStyle w:val="NormalWeb"/>
        <w:spacing w:before="0" w:beforeAutospacing="0" w:after="0" w:afterAutospacing="0"/>
        <w:jc w:val="center"/>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705"/>
        <w:gridCol w:w="96"/>
        <w:gridCol w:w="130"/>
        <w:gridCol w:w="997"/>
        <w:gridCol w:w="97"/>
        <w:gridCol w:w="96"/>
        <w:gridCol w:w="130"/>
        <w:gridCol w:w="997"/>
        <w:gridCol w:w="112"/>
      </w:tblGrid>
      <w:tr w:rsidR="002B5D06" w14:paraId="6793463B" w14:textId="77777777">
        <w:trPr>
          <w:divId w:val="1684360448"/>
          <w:trHeight w:val="225"/>
          <w:tblCellSpacing w:w="15" w:type="dxa"/>
          <w:jc w:val="center"/>
        </w:trPr>
        <w:tc>
          <w:tcPr>
            <w:tcW w:w="0" w:type="auto"/>
            <w:vAlign w:val="center"/>
            <w:hideMark/>
          </w:tcPr>
          <w:p w14:paraId="2E762B4C"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0667C66C"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5633DF78" w14:textId="77777777" w:rsidR="002B5D06" w:rsidRDefault="000B69DD">
            <w:pPr>
              <w:pStyle w:val="NormalWeb"/>
              <w:spacing w:before="0" w:beforeAutospacing="0" w:after="0" w:afterAutospacing="0"/>
              <w:jc w:val="center"/>
              <w:rPr>
                <w:sz w:val="20"/>
                <w:szCs w:val="20"/>
              </w:rPr>
            </w:pPr>
            <w:r>
              <w:rPr>
                <w:rStyle w:val="Strong"/>
                <w:sz w:val="20"/>
                <w:szCs w:val="20"/>
              </w:rPr>
              <w:t>As of June 30,</w:t>
            </w:r>
          </w:p>
        </w:tc>
        <w:tc>
          <w:tcPr>
            <w:tcW w:w="0" w:type="auto"/>
            <w:noWrap/>
            <w:vAlign w:val="center"/>
            <w:hideMark/>
          </w:tcPr>
          <w:p w14:paraId="1F10EE50" w14:textId="77777777" w:rsidR="002B5D06" w:rsidRDefault="000B69DD">
            <w:pPr>
              <w:pStyle w:val="NormalWeb"/>
              <w:spacing w:before="0" w:beforeAutospacing="0" w:after="0" w:afterAutospacing="0"/>
              <w:rPr>
                <w:sz w:val="20"/>
                <w:szCs w:val="20"/>
              </w:rPr>
            </w:pPr>
            <w:r>
              <w:rPr>
                <w:sz w:val="20"/>
                <w:szCs w:val="20"/>
              </w:rPr>
              <w:t> </w:t>
            </w:r>
          </w:p>
        </w:tc>
      </w:tr>
      <w:tr w:rsidR="002B5D06" w14:paraId="064A4657" w14:textId="77777777">
        <w:trPr>
          <w:divId w:val="1684360448"/>
          <w:trHeight w:val="225"/>
          <w:tblCellSpacing w:w="15" w:type="dxa"/>
          <w:jc w:val="center"/>
        </w:trPr>
        <w:tc>
          <w:tcPr>
            <w:tcW w:w="0" w:type="auto"/>
            <w:vAlign w:val="center"/>
            <w:hideMark/>
          </w:tcPr>
          <w:p w14:paraId="17FA371A"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7520A8F9"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00FF5212" w14:textId="77777777" w:rsidR="002B5D06" w:rsidRDefault="000B69DD">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5DFC2885"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2DAB680F"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3C3E26A" w14:textId="77777777" w:rsidR="002B5D06" w:rsidRDefault="000B69DD">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2CD1C39E" w14:textId="77777777" w:rsidR="002B5D06" w:rsidRDefault="000B69DD">
            <w:pPr>
              <w:pStyle w:val="NormalWeb"/>
              <w:spacing w:before="0" w:beforeAutospacing="0" w:after="0" w:afterAutospacing="0"/>
              <w:rPr>
                <w:sz w:val="20"/>
                <w:szCs w:val="20"/>
              </w:rPr>
            </w:pPr>
            <w:r>
              <w:rPr>
                <w:sz w:val="20"/>
                <w:szCs w:val="20"/>
              </w:rPr>
              <w:t> </w:t>
            </w:r>
          </w:p>
        </w:tc>
      </w:tr>
      <w:tr w:rsidR="002B5D06" w14:paraId="6CC62747" w14:textId="77777777">
        <w:trPr>
          <w:divId w:val="1684360448"/>
          <w:trHeight w:val="225"/>
          <w:tblCellSpacing w:w="15" w:type="dxa"/>
          <w:jc w:val="center"/>
        </w:trPr>
        <w:tc>
          <w:tcPr>
            <w:tcW w:w="0" w:type="auto"/>
            <w:hideMark/>
          </w:tcPr>
          <w:p w14:paraId="6A792516" w14:textId="77777777" w:rsidR="002B5D06" w:rsidRDefault="000B69DD">
            <w:pPr>
              <w:pStyle w:val="NormalWeb"/>
              <w:spacing w:before="0" w:beforeAutospacing="0" w:after="0" w:afterAutospacing="0"/>
              <w:rPr>
                <w:sz w:val="20"/>
                <w:szCs w:val="20"/>
              </w:rPr>
            </w:pPr>
            <w:r>
              <w:rPr>
                <w:rStyle w:val="Strong"/>
                <w:sz w:val="20"/>
                <w:szCs w:val="20"/>
              </w:rPr>
              <w:t>ASSETS</w:t>
            </w:r>
          </w:p>
        </w:tc>
        <w:tc>
          <w:tcPr>
            <w:tcW w:w="50" w:type="pct"/>
            <w:noWrap/>
            <w:vAlign w:val="center"/>
            <w:hideMark/>
          </w:tcPr>
          <w:p w14:paraId="4490A0A6"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vAlign w:val="center"/>
            <w:hideMark/>
          </w:tcPr>
          <w:p w14:paraId="7B6FCA1B"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0AA96ACB"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2072A053"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vAlign w:val="center"/>
            <w:hideMark/>
          </w:tcPr>
          <w:p w14:paraId="687D5AEE"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2C1640F1" w14:textId="77777777" w:rsidR="002B5D06" w:rsidRDefault="000B69DD">
            <w:pPr>
              <w:pStyle w:val="NormalWeb"/>
              <w:spacing w:before="0" w:beforeAutospacing="0" w:after="0" w:afterAutospacing="0"/>
              <w:rPr>
                <w:sz w:val="20"/>
                <w:szCs w:val="20"/>
              </w:rPr>
            </w:pPr>
            <w:r>
              <w:rPr>
                <w:sz w:val="20"/>
                <w:szCs w:val="20"/>
              </w:rPr>
              <w:t> </w:t>
            </w:r>
          </w:p>
        </w:tc>
      </w:tr>
      <w:tr w:rsidR="002B5D06" w14:paraId="7843BC15" w14:textId="77777777">
        <w:trPr>
          <w:divId w:val="1684360448"/>
          <w:trHeight w:val="225"/>
          <w:tblCellSpacing w:w="15" w:type="dxa"/>
          <w:jc w:val="center"/>
        </w:trPr>
        <w:tc>
          <w:tcPr>
            <w:tcW w:w="0" w:type="auto"/>
            <w:hideMark/>
          </w:tcPr>
          <w:p w14:paraId="08DDC4CF" w14:textId="77777777" w:rsidR="002B5D06" w:rsidRDefault="000B69DD">
            <w:pPr>
              <w:pStyle w:val="NormalWeb"/>
              <w:spacing w:before="0" w:beforeAutospacing="0" w:after="0" w:afterAutospacing="0"/>
              <w:rPr>
                <w:sz w:val="20"/>
                <w:szCs w:val="20"/>
              </w:rPr>
            </w:pPr>
            <w:r>
              <w:rPr>
                <w:sz w:val="20"/>
                <w:szCs w:val="20"/>
              </w:rPr>
              <w:t>CURRENT ASSETS</w:t>
            </w:r>
          </w:p>
        </w:tc>
        <w:tc>
          <w:tcPr>
            <w:tcW w:w="50" w:type="pct"/>
            <w:noWrap/>
            <w:vAlign w:val="center"/>
            <w:hideMark/>
          </w:tcPr>
          <w:p w14:paraId="3ED3EFF9"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vAlign w:val="center"/>
            <w:hideMark/>
          </w:tcPr>
          <w:p w14:paraId="63A9F4D4"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0A224CE6"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60ECCBE6"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vAlign w:val="center"/>
            <w:hideMark/>
          </w:tcPr>
          <w:p w14:paraId="7757272B"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65869D0C" w14:textId="77777777" w:rsidR="002B5D06" w:rsidRDefault="000B69DD">
            <w:pPr>
              <w:pStyle w:val="NormalWeb"/>
              <w:spacing w:before="0" w:beforeAutospacing="0" w:after="0" w:afterAutospacing="0"/>
              <w:rPr>
                <w:sz w:val="20"/>
                <w:szCs w:val="20"/>
              </w:rPr>
            </w:pPr>
            <w:r>
              <w:rPr>
                <w:sz w:val="20"/>
                <w:szCs w:val="20"/>
              </w:rPr>
              <w:t> </w:t>
            </w:r>
          </w:p>
        </w:tc>
      </w:tr>
      <w:tr w:rsidR="002B5D06" w14:paraId="72352867" w14:textId="77777777">
        <w:trPr>
          <w:divId w:val="1684360448"/>
          <w:trHeight w:val="225"/>
          <w:tblCellSpacing w:w="15" w:type="dxa"/>
          <w:jc w:val="center"/>
        </w:trPr>
        <w:tc>
          <w:tcPr>
            <w:tcW w:w="0" w:type="auto"/>
            <w:shd w:val="clear" w:color="auto" w:fill="CCEEFF"/>
            <w:hideMark/>
          </w:tcPr>
          <w:p w14:paraId="599372F4" w14:textId="77777777" w:rsidR="002B5D06" w:rsidRDefault="000B69DD">
            <w:pPr>
              <w:pStyle w:val="NormalWeb"/>
              <w:spacing w:before="0" w:beforeAutospacing="0" w:after="0" w:afterAutospacing="0"/>
              <w:ind w:left="225"/>
              <w:rPr>
                <w:sz w:val="20"/>
                <w:szCs w:val="20"/>
              </w:rPr>
            </w:pPr>
            <w:r>
              <w:rPr>
                <w:sz w:val="20"/>
                <w:szCs w:val="20"/>
              </w:rPr>
              <w:t>Cash</w:t>
            </w:r>
          </w:p>
        </w:tc>
        <w:tc>
          <w:tcPr>
            <w:tcW w:w="50" w:type="pct"/>
            <w:shd w:val="clear" w:color="auto" w:fill="CCEEFF"/>
            <w:noWrap/>
            <w:vAlign w:val="center"/>
            <w:hideMark/>
          </w:tcPr>
          <w:p w14:paraId="08ADE84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2B42237"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23916396" w14:textId="77777777" w:rsidR="002B5D06" w:rsidRDefault="000B69DD">
            <w:pPr>
              <w:jc w:val="right"/>
              <w:rPr>
                <w:rFonts w:eastAsia="Times New Roman"/>
                <w:sz w:val="20"/>
                <w:szCs w:val="20"/>
              </w:rPr>
            </w:pPr>
            <w:r>
              <w:rPr>
                <w:rFonts w:eastAsia="Times New Roman"/>
                <w:sz w:val="20"/>
                <w:szCs w:val="20"/>
              </w:rPr>
              <w:t>57,225</w:t>
            </w:r>
          </w:p>
        </w:tc>
        <w:tc>
          <w:tcPr>
            <w:tcW w:w="50" w:type="pct"/>
            <w:shd w:val="clear" w:color="auto" w:fill="CCEEFF"/>
            <w:noWrap/>
            <w:vAlign w:val="center"/>
            <w:hideMark/>
          </w:tcPr>
          <w:p w14:paraId="1BA62F89"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17A5D8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E62FE2D"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16BDE109" w14:textId="77777777" w:rsidR="002B5D06" w:rsidRDefault="000B69DD">
            <w:pPr>
              <w:jc w:val="right"/>
              <w:rPr>
                <w:rFonts w:eastAsia="Times New Roman"/>
                <w:sz w:val="20"/>
                <w:szCs w:val="20"/>
              </w:rPr>
            </w:pPr>
            <w:r>
              <w:rPr>
                <w:rFonts w:eastAsia="Times New Roman"/>
                <w:sz w:val="20"/>
                <w:szCs w:val="20"/>
              </w:rPr>
              <w:t>94,482</w:t>
            </w:r>
          </w:p>
        </w:tc>
        <w:tc>
          <w:tcPr>
            <w:tcW w:w="50" w:type="pct"/>
            <w:shd w:val="clear" w:color="auto" w:fill="CCEEFF"/>
            <w:noWrap/>
            <w:vAlign w:val="center"/>
            <w:hideMark/>
          </w:tcPr>
          <w:p w14:paraId="0D6EE433" w14:textId="77777777" w:rsidR="002B5D06" w:rsidRDefault="000B69DD">
            <w:pPr>
              <w:pStyle w:val="NormalWeb"/>
              <w:spacing w:before="0" w:beforeAutospacing="0" w:after="0" w:afterAutospacing="0"/>
              <w:rPr>
                <w:sz w:val="20"/>
                <w:szCs w:val="20"/>
              </w:rPr>
            </w:pPr>
            <w:r>
              <w:rPr>
                <w:sz w:val="20"/>
                <w:szCs w:val="20"/>
              </w:rPr>
              <w:t> </w:t>
            </w:r>
          </w:p>
        </w:tc>
      </w:tr>
      <w:tr w:rsidR="002B5D06" w14:paraId="2F4E815D" w14:textId="77777777">
        <w:trPr>
          <w:divId w:val="1684360448"/>
          <w:trHeight w:val="225"/>
          <w:tblCellSpacing w:w="15" w:type="dxa"/>
          <w:jc w:val="center"/>
        </w:trPr>
        <w:tc>
          <w:tcPr>
            <w:tcW w:w="0" w:type="auto"/>
            <w:shd w:val="clear" w:color="auto" w:fill="FFFFFF"/>
            <w:hideMark/>
          </w:tcPr>
          <w:p w14:paraId="7C5BFA3D" w14:textId="77777777" w:rsidR="002B5D06" w:rsidRDefault="000B69DD">
            <w:pPr>
              <w:pStyle w:val="NormalWeb"/>
              <w:spacing w:before="0" w:beforeAutospacing="0" w:after="0" w:afterAutospacing="0"/>
              <w:ind w:left="225"/>
              <w:rPr>
                <w:sz w:val="20"/>
                <w:szCs w:val="20"/>
              </w:rPr>
            </w:pPr>
            <w:r>
              <w:rPr>
                <w:sz w:val="20"/>
                <w:szCs w:val="20"/>
              </w:rPr>
              <w:t>Property tax receivable</w:t>
            </w:r>
          </w:p>
        </w:tc>
        <w:tc>
          <w:tcPr>
            <w:tcW w:w="50" w:type="pct"/>
            <w:shd w:val="clear" w:color="auto" w:fill="FFFFFF"/>
            <w:noWrap/>
            <w:vAlign w:val="center"/>
            <w:hideMark/>
          </w:tcPr>
          <w:p w14:paraId="6F9BFC0E"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E2195B4"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7978F487" w14:textId="77777777" w:rsidR="002B5D06" w:rsidRDefault="000B69DD">
            <w:pPr>
              <w:jc w:val="right"/>
              <w:rPr>
                <w:rFonts w:eastAsia="Times New Roman"/>
                <w:sz w:val="20"/>
                <w:szCs w:val="20"/>
              </w:rPr>
            </w:pPr>
            <w:r>
              <w:rPr>
                <w:rFonts w:eastAsia="Times New Roman"/>
                <w:sz w:val="20"/>
                <w:szCs w:val="20"/>
              </w:rPr>
              <w:t>1,251</w:t>
            </w:r>
          </w:p>
        </w:tc>
        <w:tc>
          <w:tcPr>
            <w:tcW w:w="50" w:type="pct"/>
            <w:shd w:val="clear" w:color="auto" w:fill="FFFFFF"/>
            <w:noWrap/>
            <w:tcMar>
              <w:top w:w="0" w:type="dxa"/>
              <w:left w:w="0" w:type="dxa"/>
              <w:bottom w:w="15" w:type="dxa"/>
              <w:right w:w="0" w:type="dxa"/>
            </w:tcMar>
            <w:vAlign w:val="center"/>
            <w:hideMark/>
          </w:tcPr>
          <w:p w14:paraId="3049CC9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A3A85EA"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230194E"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1A47A120" w14:textId="77777777" w:rsidR="002B5D06" w:rsidRDefault="000B69DD">
            <w:pPr>
              <w:jc w:val="right"/>
              <w:rPr>
                <w:rFonts w:eastAsia="Times New Roman"/>
                <w:sz w:val="20"/>
                <w:szCs w:val="20"/>
              </w:rPr>
            </w:pPr>
            <w:r>
              <w:rPr>
                <w:rFonts w:eastAsia="Times New Roman"/>
                <w:sz w:val="20"/>
                <w:szCs w:val="20"/>
              </w:rPr>
              <w:t>1,144</w:t>
            </w:r>
          </w:p>
        </w:tc>
        <w:tc>
          <w:tcPr>
            <w:tcW w:w="50" w:type="pct"/>
            <w:shd w:val="clear" w:color="auto" w:fill="FFFFFF"/>
            <w:noWrap/>
            <w:tcMar>
              <w:top w:w="0" w:type="dxa"/>
              <w:left w:w="0" w:type="dxa"/>
              <w:bottom w:w="15" w:type="dxa"/>
              <w:right w:w="0" w:type="dxa"/>
            </w:tcMar>
            <w:vAlign w:val="center"/>
            <w:hideMark/>
          </w:tcPr>
          <w:p w14:paraId="48FD0FA8" w14:textId="77777777" w:rsidR="002B5D06" w:rsidRDefault="000B69DD">
            <w:pPr>
              <w:pStyle w:val="NormalWeb"/>
              <w:spacing w:before="0" w:beforeAutospacing="0" w:after="0" w:afterAutospacing="0"/>
              <w:rPr>
                <w:sz w:val="20"/>
                <w:szCs w:val="20"/>
              </w:rPr>
            </w:pPr>
            <w:r>
              <w:rPr>
                <w:sz w:val="20"/>
                <w:szCs w:val="20"/>
              </w:rPr>
              <w:t> </w:t>
            </w:r>
          </w:p>
        </w:tc>
      </w:tr>
      <w:tr w:rsidR="002B5D06" w14:paraId="2BFB4D3A" w14:textId="77777777">
        <w:trPr>
          <w:divId w:val="1684360448"/>
          <w:trHeight w:val="225"/>
          <w:tblCellSpacing w:w="15" w:type="dxa"/>
          <w:jc w:val="center"/>
        </w:trPr>
        <w:tc>
          <w:tcPr>
            <w:tcW w:w="0" w:type="auto"/>
            <w:shd w:val="clear" w:color="auto" w:fill="CCEEFF"/>
            <w:hideMark/>
          </w:tcPr>
          <w:p w14:paraId="71C5A4C0" w14:textId="77777777" w:rsidR="002B5D06" w:rsidRDefault="000B69DD">
            <w:pPr>
              <w:pStyle w:val="NormalWeb"/>
              <w:spacing w:before="0" w:beforeAutospacing="0" w:after="0" w:afterAutospacing="0"/>
              <w:ind w:left="225"/>
              <w:rPr>
                <w:sz w:val="20"/>
                <w:szCs w:val="20"/>
              </w:rPr>
            </w:pPr>
            <w:r>
              <w:rPr>
                <w:sz w:val="20"/>
                <w:szCs w:val="20"/>
              </w:rPr>
              <w:t>Total Current Assets</w:t>
            </w:r>
          </w:p>
        </w:tc>
        <w:tc>
          <w:tcPr>
            <w:tcW w:w="50" w:type="pct"/>
            <w:shd w:val="clear" w:color="auto" w:fill="CCEEFF"/>
            <w:noWrap/>
            <w:vAlign w:val="center"/>
            <w:hideMark/>
          </w:tcPr>
          <w:p w14:paraId="464E3D0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288294F"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7CA58786" w14:textId="77777777" w:rsidR="002B5D06" w:rsidRDefault="000B69DD">
            <w:pPr>
              <w:jc w:val="right"/>
              <w:rPr>
                <w:rFonts w:eastAsia="Times New Roman"/>
                <w:sz w:val="20"/>
                <w:szCs w:val="20"/>
              </w:rPr>
            </w:pPr>
            <w:r>
              <w:rPr>
                <w:rFonts w:eastAsia="Times New Roman"/>
                <w:sz w:val="20"/>
                <w:szCs w:val="20"/>
              </w:rPr>
              <w:t>58,476</w:t>
            </w:r>
          </w:p>
        </w:tc>
        <w:tc>
          <w:tcPr>
            <w:tcW w:w="50" w:type="pct"/>
            <w:shd w:val="clear" w:color="auto" w:fill="CCEEFF"/>
            <w:noWrap/>
            <w:vAlign w:val="center"/>
            <w:hideMark/>
          </w:tcPr>
          <w:p w14:paraId="754D18F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9C47EB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23F4152"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7FB9E21E" w14:textId="77777777" w:rsidR="002B5D06" w:rsidRDefault="000B69DD">
            <w:pPr>
              <w:jc w:val="right"/>
              <w:rPr>
                <w:rFonts w:eastAsia="Times New Roman"/>
                <w:sz w:val="20"/>
                <w:szCs w:val="20"/>
              </w:rPr>
            </w:pPr>
            <w:r>
              <w:rPr>
                <w:rFonts w:eastAsia="Times New Roman"/>
                <w:sz w:val="20"/>
                <w:szCs w:val="20"/>
              </w:rPr>
              <w:t>95,626</w:t>
            </w:r>
          </w:p>
        </w:tc>
        <w:tc>
          <w:tcPr>
            <w:tcW w:w="50" w:type="pct"/>
            <w:shd w:val="clear" w:color="auto" w:fill="CCEEFF"/>
            <w:noWrap/>
            <w:vAlign w:val="center"/>
            <w:hideMark/>
          </w:tcPr>
          <w:p w14:paraId="19249881" w14:textId="77777777" w:rsidR="002B5D06" w:rsidRDefault="000B69DD">
            <w:pPr>
              <w:pStyle w:val="NormalWeb"/>
              <w:spacing w:before="0" w:beforeAutospacing="0" w:after="0" w:afterAutospacing="0"/>
              <w:rPr>
                <w:sz w:val="20"/>
                <w:szCs w:val="20"/>
              </w:rPr>
            </w:pPr>
            <w:r>
              <w:rPr>
                <w:sz w:val="20"/>
                <w:szCs w:val="20"/>
              </w:rPr>
              <w:t> </w:t>
            </w:r>
          </w:p>
        </w:tc>
      </w:tr>
      <w:tr w:rsidR="002B5D06" w14:paraId="2D2CBF51" w14:textId="77777777">
        <w:trPr>
          <w:divId w:val="1684360448"/>
          <w:trHeight w:val="225"/>
          <w:tblCellSpacing w:w="15" w:type="dxa"/>
          <w:jc w:val="center"/>
        </w:trPr>
        <w:tc>
          <w:tcPr>
            <w:tcW w:w="0" w:type="auto"/>
            <w:shd w:val="clear" w:color="auto" w:fill="FFFFFF"/>
            <w:vAlign w:val="center"/>
            <w:hideMark/>
          </w:tcPr>
          <w:p w14:paraId="62CE850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7D2716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F54582D"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1C78A3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F0D5D7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EC71B7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7753C10"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78DDC2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8436955" w14:textId="77777777" w:rsidR="002B5D06" w:rsidRDefault="000B69DD">
            <w:pPr>
              <w:pStyle w:val="NormalWeb"/>
              <w:spacing w:before="0" w:beforeAutospacing="0" w:after="0" w:afterAutospacing="0"/>
              <w:rPr>
                <w:sz w:val="20"/>
                <w:szCs w:val="20"/>
              </w:rPr>
            </w:pPr>
            <w:r>
              <w:rPr>
                <w:sz w:val="20"/>
                <w:szCs w:val="20"/>
              </w:rPr>
              <w:t> </w:t>
            </w:r>
          </w:p>
        </w:tc>
      </w:tr>
      <w:tr w:rsidR="002B5D06" w14:paraId="3458F1CE" w14:textId="77777777">
        <w:trPr>
          <w:divId w:val="1684360448"/>
          <w:trHeight w:val="225"/>
          <w:tblCellSpacing w:w="15" w:type="dxa"/>
          <w:jc w:val="center"/>
        </w:trPr>
        <w:tc>
          <w:tcPr>
            <w:tcW w:w="0" w:type="auto"/>
            <w:shd w:val="clear" w:color="auto" w:fill="CCEEFF"/>
            <w:hideMark/>
          </w:tcPr>
          <w:p w14:paraId="28B44D4F" w14:textId="77777777" w:rsidR="002B5D06" w:rsidRDefault="000B69DD">
            <w:pPr>
              <w:pStyle w:val="NormalWeb"/>
              <w:spacing w:before="0" w:beforeAutospacing="0" w:after="0" w:afterAutospacing="0"/>
              <w:rPr>
                <w:sz w:val="20"/>
                <w:szCs w:val="20"/>
              </w:rPr>
            </w:pPr>
            <w:r>
              <w:rPr>
                <w:sz w:val="20"/>
                <w:szCs w:val="20"/>
              </w:rPr>
              <w:t>Property and equipment</w:t>
            </w:r>
          </w:p>
        </w:tc>
        <w:tc>
          <w:tcPr>
            <w:tcW w:w="50" w:type="pct"/>
            <w:shd w:val="clear" w:color="auto" w:fill="CCEEFF"/>
            <w:noWrap/>
            <w:vAlign w:val="center"/>
            <w:hideMark/>
          </w:tcPr>
          <w:p w14:paraId="2806A319"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21ABAFEE"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5288F9A1" w14:textId="77777777" w:rsidR="002B5D06" w:rsidRDefault="000B69DD">
            <w:pPr>
              <w:jc w:val="right"/>
              <w:rPr>
                <w:rFonts w:eastAsia="Times New Roman"/>
                <w:sz w:val="20"/>
                <w:szCs w:val="20"/>
              </w:rPr>
            </w:pPr>
            <w:r>
              <w:rPr>
                <w:rFonts w:eastAsia="Times New Roman"/>
                <w:sz w:val="20"/>
                <w:szCs w:val="20"/>
              </w:rPr>
              <w:t>634,601</w:t>
            </w:r>
          </w:p>
        </w:tc>
        <w:tc>
          <w:tcPr>
            <w:tcW w:w="50" w:type="pct"/>
            <w:shd w:val="clear" w:color="auto" w:fill="CCEEFF"/>
            <w:noWrap/>
            <w:tcMar>
              <w:top w:w="0" w:type="dxa"/>
              <w:left w:w="0" w:type="dxa"/>
              <w:bottom w:w="15" w:type="dxa"/>
              <w:right w:w="0" w:type="dxa"/>
            </w:tcMar>
            <w:vAlign w:val="center"/>
            <w:hideMark/>
          </w:tcPr>
          <w:p w14:paraId="6BDD69D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832E4A1"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4379C7E2"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31F60950" w14:textId="77777777" w:rsidR="002B5D06" w:rsidRDefault="000B69DD">
            <w:pPr>
              <w:jc w:val="right"/>
              <w:rPr>
                <w:rFonts w:eastAsia="Times New Roman"/>
                <w:sz w:val="20"/>
                <w:szCs w:val="20"/>
              </w:rPr>
            </w:pPr>
            <w:r>
              <w:rPr>
                <w:rFonts w:eastAsia="Times New Roman"/>
                <w:sz w:val="20"/>
                <w:szCs w:val="20"/>
              </w:rPr>
              <w:t>579,588</w:t>
            </w:r>
          </w:p>
        </w:tc>
        <w:tc>
          <w:tcPr>
            <w:tcW w:w="50" w:type="pct"/>
            <w:shd w:val="clear" w:color="auto" w:fill="CCEEFF"/>
            <w:noWrap/>
            <w:tcMar>
              <w:top w:w="0" w:type="dxa"/>
              <w:left w:w="0" w:type="dxa"/>
              <w:bottom w:w="15" w:type="dxa"/>
              <w:right w:w="0" w:type="dxa"/>
            </w:tcMar>
            <w:vAlign w:val="center"/>
            <w:hideMark/>
          </w:tcPr>
          <w:p w14:paraId="46CFFE3B" w14:textId="77777777" w:rsidR="002B5D06" w:rsidRDefault="000B69DD">
            <w:pPr>
              <w:pStyle w:val="NormalWeb"/>
              <w:spacing w:before="0" w:beforeAutospacing="0" w:after="0" w:afterAutospacing="0"/>
              <w:rPr>
                <w:sz w:val="20"/>
                <w:szCs w:val="20"/>
              </w:rPr>
            </w:pPr>
            <w:r>
              <w:rPr>
                <w:sz w:val="20"/>
                <w:szCs w:val="20"/>
              </w:rPr>
              <w:t> </w:t>
            </w:r>
          </w:p>
        </w:tc>
      </w:tr>
      <w:tr w:rsidR="002B5D06" w14:paraId="68A60D61" w14:textId="77777777">
        <w:trPr>
          <w:divId w:val="1684360448"/>
          <w:trHeight w:val="225"/>
          <w:tblCellSpacing w:w="15" w:type="dxa"/>
          <w:jc w:val="center"/>
        </w:trPr>
        <w:tc>
          <w:tcPr>
            <w:tcW w:w="0" w:type="auto"/>
            <w:shd w:val="clear" w:color="auto" w:fill="FFFFFF"/>
            <w:vAlign w:val="center"/>
            <w:hideMark/>
          </w:tcPr>
          <w:p w14:paraId="5341338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7632ED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307E12B"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055EEE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BBB34A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7DF59C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E853910"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7EACCA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5B98166" w14:textId="77777777" w:rsidR="002B5D06" w:rsidRDefault="000B69DD">
            <w:pPr>
              <w:pStyle w:val="NormalWeb"/>
              <w:spacing w:before="0" w:beforeAutospacing="0" w:after="0" w:afterAutospacing="0"/>
              <w:rPr>
                <w:sz w:val="20"/>
                <w:szCs w:val="20"/>
              </w:rPr>
            </w:pPr>
            <w:r>
              <w:rPr>
                <w:sz w:val="20"/>
                <w:szCs w:val="20"/>
              </w:rPr>
              <w:t> </w:t>
            </w:r>
          </w:p>
        </w:tc>
      </w:tr>
      <w:tr w:rsidR="002B5D06" w14:paraId="7BACBAA4" w14:textId="77777777">
        <w:trPr>
          <w:divId w:val="1684360448"/>
          <w:trHeight w:val="225"/>
          <w:tblCellSpacing w:w="15" w:type="dxa"/>
          <w:jc w:val="center"/>
        </w:trPr>
        <w:tc>
          <w:tcPr>
            <w:tcW w:w="0" w:type="auto"/>
            <w:shd w:val="clear" w:color="auto" w:fill="CCEEFF"/>
            <w:hideMark/>
          </w:tcPr>
          <w:p w14:paraId="455C2EA9" w14:textId="77777777" w:rsidR="002B5D06" w:rsidRDefault="000B69DD">
            <w:pPr>
              <w:pStyle w:val="NormalWeb"/>
              <w:spacing w:before="0" w:beforeAutospacing="0" w:after="0" w:afterAutospacing="0"/>
              <w:rPr>
                <w:sz w:val="20"/>
                <w:szCs w:val="20"/>
              </w:rPr>
            </w:pPr>
            <w:r>
              <w:rPr>
                <w:sz w:val="20"/>
                <w:szCs w:val="20"/>
              </w:rPr>
              <w:t>TOTAL ASSETS</w:t>
            </w:r>
          </w:p>
        </w:tc>
        <w:tc>
          <w:tcPr>
            <w:tcW w:w="50" w:type="pct"/>
            <w:shd w:val="clear" w:color="auto" w:fill="CCEEFF"/>
            <w:noWrap/>
            <w:vAlign w:val="center"/>
            <w:hideMark/>
          </w:tcPr>
          <w:p w14:paraId="7C76DCDC"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7703F175"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6D531A59" w14:textId="77777777" w:rsidR="002B5D06" w:rsidRDefault="000B69DD">
            <w:pPr>
              <w:jc w:val="right"/>
              <w:rPr>
                <w:rFonts w:eastAsia="Times New Roman"/>
                <w:sz w:val="20"/>
                <w:szCs w:val="20"/>
              </w:rPr>
            </w:pPr>
            <w:r>
              <w:rPr>
                <w:rFonts w:eastAsia="Times New Roman"/>
                <w:sz w:val="20"/>
                <w:szCs w:val="20"/>
              </w:rPr>
              <w:t>693,077</w:t>
            </w:r>
          </w:p>
        </w:tc>
        <w:tc>
          <w:tcPr>
            <w:tcW w:w="50" w:type="pct"/>
            <w:shd w:val="clear" w:color="auto" w:fill="CCEEFF"/>
            <w:noWrap/>
            <w:tcMar>
              <w:top w:w="0" w:type="dxa"/>
              <w:left w:w="0" w:type="dxa"/>
              <w:bottom w:w="45" w:type="dxa"/>
              <w:right w:w="0" w:type="dxa"/>
            </w:tcMar>
            <w:vAlign w:val="center"/>
            <w:hideMark/>
          </w:tcPr>
          <w:p w14:paraId="2826CA7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332BE27"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7CB5C677"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648BBD70" w14:textId="77777777" w:rsidR="002B5D06" w:rsidRDefault="000B69DD">
            <w:pPr>
              <w:jc w:val="right"/>
              <w:rPr>
                <w:rFonts w:eastAsia="Times New Roman"/>
                <w:sz w:val="20"/>
                <w:szCs w:val="20"/>
              </w:rPr>
            </w:pPr>
            <w:r>
              <w:rPr>
                <w:rFonts w:eastAsia="Times New Roman"/>
                <w:sz w:val="20"/>
                <w:szCs w:val="20"/>
              </w:rPr>
              <w:t>675,214</w:t>
            </w:r>
          </w:p>
        </w:tc>
        <w:tc>
          <w:tcPr>
            <w:tcW w:w="50" w:type="pct"/>
            <w:shd w:val="clear" w:color="auto" w:fill="CCEEFF"/>
            <w:noWrap/>
            <w:tcMar>
              <w:top w:w="0" w:type="dxa"/>
              <w:left w:w="0" w:type="dxa"/>
              <w:bottom w:w="45" w:type="dxa"/>
              <w:right w:w="0" w:type="dxa"/>
            </w:tcMar>
            <w:vAlign w:val="center"/>
            <w:hideMark/>
          </w:tcPr>
          <w:p w14:paraId="5FEF556A" w14:textId="77777777" w:rsidR="002B5D06" w:rsidRDefault="000B69DD">
            <w:pPr>
              <w:pStyle w:val="NormalWeb"/>
              <w:spacing w:before="0" w:beforeAutospacing="0" w:after="0" w:afterAutospacing="0"/>
              <w:rPr>
                <w:sz w:val="20"/>
                <w:szCs w:val="20"/>
              </w:rPr>
            </w:pPr>
            <w:r>
              <w:rPr>
                <w:sz w:val="20"/>
                <w:szCs w:val="20"/>
              </w:rPr>
              <w:t> </w:t>
            </w:r>
          </w:p>
        </w:tc>
      </w:tr>
      <w:tr w:rsidR="002B5D06" w14:paraId="698DDE12" w14:textId="77777777">
        <w:trPr>
          <w:divId w:val="1684360448"/>
          <w:trHeight w:val="225"/>
          <w:tblCellSpacing w:w="15" w:type="dxa"/>
          <w:jc w:val="center"/>
        </w:trPr>
        <w:tc>
          <w:tcPr>
            <w:tcW w:w="0" w:type="auto"/>
            <w:shd w:val="clear" w:color="auto" w:fill="FFFFFF"/>
            <w:vAlign w:val="center"/>
            <w:hideMark/>
          </w:tcPr>
          <w:p w14:paraId="2C811E7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079881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166357F"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91EEE8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2B17D0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E16152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036B8C3"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E5AD5C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DC7EAF7" w14:textId="77777777" w:rsidR="002B5D06" w:rsidRDefault="000B69DD">
            <w:pPr>
              <w:pStyle w:val="NormalWeb"/>
              <w:spacing w:before="0" w:beforeAutospacing="0" w:after="0" w:afterAutospacing="0"/>
              <w:rPr>
                <w:sz w:val="20"/>
                <w:szCs w:val="20"/>
              </w:rPr>
            </w:pPr>
            <w:r>
              <w:rPr>
                <w:sz w:val="20"/>
                <w:szCs w:val="20"/>
              </w:rPr>
              <w:t> </w:t>
            </w:r>
          </w:p>
        </w:tc>
      </w:tr>
      <w:tr w:rsidR="002B5D06" w14:paraId="74AFCF51" w14:textId="77777777">
        <w:trPr>
          <w:divId w:val="1684360448"/>
          <w:trHeight w:val="225"/>
          <w:tblCellSpacing w:w="15" w:type="dxa"/>
          <w:jc w:val="center"/>
        </w:trPr>
        <w:tc>
          <w:tcPr>
            <w:tcW w:w="0" w:type="auto"/>
            <w:shd w:val="clear" w:color="auto" w:fill="FFFFFF"/>
            <w:hideMark/>
          </w:tcPr>
          <w:p w14:paraId="028D384D" w14:textId="77777777" w:rsidR="002B5D06" w:rsidRDefault="000B69DD">
            <w:pPr>
              <w:pStyle w:val="NormalWeb"/>
              <w:spacing w:before="0" w:beforeAutospacing="0" w:after="0" w:afterAutospacing="0"/>
              <w:rPr>
                <w:sz w:val="20"/>
                <w:szCs w:val="20"/>
              </w:rPr>
            </w:pPr>
            <w:r>
              <w:rPr>
                <w:rStyle w:val="Strong"/>
                <w:sz w:val="20"/>
                <w:szCs w:val="20"/>
              </w:rPr>
              <w:t>LIABILITIES AND STOCKHOLDERS’ EQUITY</w:t>
            </w:r>
          </w:p>
        </w:tc>
        <w:tc>
          <w:tcPr>
            <w:tcW w:w="50" w:type="pct"/>
            <w:shd w:val="clear" w:color="auto" w:fill="FFFFFF"/>
            <w:noWrap/>
            <w:vAlign w:val="center"/>
            <w:hideMark/>
          </w:tcPr>
          <w:p w14:paraId="7EB59AB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7FC6567"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8CAD69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897453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E46E0B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0288E60"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EEAB8E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DC5B4A5" w14:textId="77777777" w:rsidR="002B5D06" w:rsidRDefault="000B69DD">
            <w:pPr>
              <w:pStyle w:val="NormalWeb"/>
              <w:spacing w:before="0" w:beforeAutospacing="0" w:after="0" w:afterAutospacing="0"/>
              <w:rPr>
                <w:sz w:val="20"/>
                <w:szCs w:val="20"/>
              </w:rPr>
            </w:pPr>
            <w:r>
              <w:rPr>
                <w:sz w:val="20"/>
                <w:szCs w:val="20"/>
              </w:rPr>
              <w:t> </w:t>
            </w:r>
          </w:p>
        </w:tc>
      </w:tr>
      <w:tr w:rsidR="002B5D06" w14:paraId="582CD025" w14:textId="77777777">
        <w:trPr>
          <w:divId w:val="1684360448"/>
          <w:trHeight w:val="225"/>
          <w:tblCellSpacing w:w="15" w:type="dxa"/>
          <w:jc w:val="center"/>
        </w:trPr>
        <w:tc>
          <w:tcPr>
            <w:tcW w:w="0" w:type="auto"/>
            <w:shd w:val="clear" w:color="auto" w:fill="FFFFFF"/>
            <w:hideMark/>
          </w:tcPr>
          <w:p w14:paraId="17B14B2B" w14:textId="77777777" w:rsidR="002B5D06" w:rsidRDefault="000B69DD">
            <w:pPr>
              <w:pStyle w:val="NormalWeb"/>
              <w:spacing w:before="0" w:beforeAutospacing="0" w:after="0" w:afterAutospacing="0"/>
              <w:rPr>
                <w:sz w:val="20"/>
                <w:szCs w:val="20"/>
              </w:rPr>
            </w:pPr>
            <w:r>
              <w:rPr>
                <w:sz w:val="20"/>
                <w:szCs w:val="20"/>
              </w:rPr>
              <w:t>CURRENT LIABILITIES</w:t>
            </w:r>
          </w:p>
        </w:tc>
        <w:tc>
          <w:tcPr>
            <w:tcW w:w="50" w:type="pct"/>
            <w:shd w:val="clear" w:color="auto" w:fill="FFFFFF"/>
            <w:noWrap/>
            <w:vAlign w:val="center"/>
            <w:hideMark/>
          </w:tcPr>
          <w:p w14:paraId="079D641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C15E4C1"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EF5998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F0EB81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2B9161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191FC26"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8831EB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93D1A76" w14:textId="77777777" w:rsidR="002B5D06" w:rsidRDefault="000B69DD">
            <w:pPr>
              <w:pStyle w:val="NormalWeb"/>
              <w:spacing w:before="0" w:beforeAutospacing="0" w:after="0" w:afterAutospacing="0"/>
              <w:rPr>
                <w:sz w:val="20"/>
                <w:szCs w:val="20"/>
              </w:rPr>
            </w:pPr>
            <w:r>
              <w:rPr>
                <w:sz w:val="20"/>
                <w:szCs w:val="20"/>
              </w:rPr>
              <w:t> </w:t>
            </w:r>
          </w:p>
        </w:tc>
      </w:tr>
      <w:tr w:rsidR="002B5D06" w14:paraId="38B1BDFB" w14:textId="77777777">
        <w:trPr>
          <w:divId w:val="1684360448"/>
          <w:trHeight w:val="225"/>
          <w:tblCellSpacing w:w="15" w:type="dxa"/>
          <w:jc w:val="center"/>
        </w:trPr>
        <w:tc>
          <w:tcPr>
            <w:tcW w:w="0" w:type="auto"/>
            <w:shd w:val="clear" w:color="auto" w:fill="CCEEFF"/>
            <w:hideMark/>
          </w:tcPr>
          <w:p w14:paraId="4A3A0CE2" w14:textId="77777777" w:rsidR="002B5D06" w:rsidRDefault="000B69DD">
            <w:pPr>
              <w:pStyle w:val="NormalWeb"/>
              <w:spacing w:before="0" w:beforeAutospacing="0" w:after="0" w:afterAutospacing="0"/>
              <w:ind w:left="225"/>
              <w:rPr>
                <w:sz w:val="20"/>
                <w:szCs w:val="20"/>
              </w:rPr>
            </w:pPr>
            <w:r>
              <w:rPr>
                <w:sz w:val="20"/>
                <w:szCs w:val="20"/>
              </w:rPr>
              <w:t>Accounts payable</w:t>
            </w:r>
          </w:p>
        </w:tc>
        <w:tc>
          <w:tcPr>
            <w:tcW w:w="50" w:type="pct"/>
            <w:shd w:val="clear" w:color="auto" w:fill="CCEEFF"/>
            <w:noWrap/>
            <w:vAlign w:val="center"/>
            <w:hideMark/>
          </w:tcPr>
          <w:p w14:paraId="300D141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0C895F8"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2A2DF5E1" w14:textId="77777777" w:rsidR="002B5D06" w:rsidRDefault="000B69DD">
            <w:pPr>
              <w:jc w:val="right"/>
              <w:rPr>
                <w:rFonts w:eastAsia="Times New Roman"/>
                <w:sz w:val="20"/>
                <w:szCs w:val="20"/>
              </w:rPr>
            </w:pPr>
            <w:r>
              <w:rPr>
                <w:rFonts w:eastAsia="Times New Roman"/>
                <w:sz w:val="20"/>
                <w:szCs w:val="20"/>
              </w:rPr>
              <w:t>2,200</w:t>
            </w:r>
          </w:p>
        </w:tc>
        <w:tc>
          <w:tcPr>
            <w:tcW w:w="50" w:type="pct"/>
            <w:shd w:val="clear" w:color="auto" w:fill="CCEEFF"/>
            <w:noWrap/>
            <w:vAlign w:val="center"/>
            <w:hideMark/>
          </w:tcPr>
          <w:p w14:paraId="403E87B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9E947B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570291E"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7AE6393D" w14:textId="77777777" w:rsidR="002B5D06" w:rsidRDefault="000B69DD">
            <w:pPr>
              <w:jc w:val="right"/>
              <w:rPr>
                <w:rFonts w:eastAsia="Times New Roman"/>
                <w:sz w:val="20"/>
                <w:szCs w:val="20"/>
              </w:rPr>
            </w:pPr>
            <w:r>
              <w:rPr>
                <w:rFonts w:eastAsia="Times New Roman"/>
                <w:sz w:val="20"/>
                <w:szCs w:val="20"/>
              </w:rPr>
              <w:t>1,050</w:t>
            </w:r>
          </w:p>
        </w:tc>
        <w:tc>
          <w:tcPr>
            <w:tcW w:w="50" w:type="pct"/>
            <w:shd w:val="clear" w:color="auto" w:fill="CCEEFF"/>
            <w:noWrap/>
            <w:vAlign w:val="center"/>
            <w:hideMark/>
          </w:tcPr>
          <w:p w14:paraId="6D2ED517" w14:textId="77777777" w:rsidR="002B5D06" w:rsidRDefault="000B69DD">
            <w:pPr>
              <w:pStyle w:val="NormalWeb"/>
              <w:spacing w:before="0" w:beforeAutospacing="0" w:after="0" w:afterAutospacing="0"/>
              <w:rPr>
                <w:sz w:val="20"/>
                <w:szCs w:val="20"/>
              </w:rPr>
            </w:pPr>
            <w:r>
              <w:rPr>
                <w:sz w:val="20"/>
                <w:szCs w:val="20"/>
              </w:rPr>
              <w:t> </w:t>
            </w:r>
          </w:p>
        </w:tc>
      </w:tr>
      <w:tr w:rsidR="002B5D06" w14:paraId="49637832" w14:textId="77777777">
        <w:trPr>
          <w:divId w:val="1684360448"/>
          <w:trHeight w:val="225"/>
          <w:tblCellSpacing w:w="15" w:type="dxa"/>
          <w:jc w:val="center"/>
        </w:trPr>
        <w:tc>
          <w:tcPr>
            <w:tcW w:w="0" w:type="auto"/>
            <w:shd w:val="clear" w:color="auto" w:fill="FFFFFF"/>
            <w:hideMark/>
          </w:tcPr>
          <w:p w14:paraId="15D20BF2" w14:textId="77777777" w:rsidR="002B5D06" w:rsidRDefault="000B69DD">
            <w:pPr>
              <w:pStyle w:val="NormalWeb"/>
              <w:spacing w:before="0" w:beforeAutospacing="0" w:after="0" w:afterAutospacing="0"/>
              <w:ind w:left="225"/>
              <w:rPr>
                <w:sz w:val="20"/>
                <w:szCs w:val="20"/>
              </w:rPr>
            </w:pPr>
            <w:r>
              <w:rPr>
                <w:sz w:val="20"/>
                <w:szCs w:val="20"/>
              </w:rPr>
              <w:t>Contract liabilities</w:t>
            </w:r>
          </w:p>
        </w:tc>
        <w:tc>
          <w:tcPr>
            <w:tcW w:w="50" w:type="pct"/>
            <w:shd w:val="clear" w:color="auto" w:fill="FFFFFF"/>
            <w:noWrap/>
            <w:vAlign w:val="center"/>
            <w:hideMark/>
          </w:tcPr>
          <w:p w14:paraId="3620FA8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A3744E4"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55A9561" w14:textId="77777777" w:rsidR="002B5D06" w:rsidRDefault="000B69DD">
            <w:pPr>
              <w:jc w:val="right"/>
              <w:rPr>
                <w:rFonts w:eastAsia="Times New Roman"/>
                <w:sz w:val="20"/>
                <w:szCs w:val="20"/>
              </w:rPr>
            </w:pPr>
            <w:r>
              <w:rPr>
                <w:rFonts w:eastAsia="Times New Roman"/>
                <w:sz w:val="20"/>
                <w:szCs w:val="20"/>
              </w:rPr>
              <w:t>3,281</w:t>
            </w:r>
          </w:p>
        </w:tc>
        <w:tc>
          <w:tcPr>
            <w:tcW w:w="50" w:type="pct"/>
            <w:shd w:val="clear" w:color="auto" w:fill="FFFFFF"/>
            <w:noWrap/>
            <w:vAlign w:val="center"/>
            <w:hideMark/>
          </w:tcPr>
          <w:p w14:paraId="1F2166B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F6DF7A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8C1DF71"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60A5A081" w14:textId="77777777" w:rsidR="002B5D06" w:rsidRDefault="000B69DD">
            <w:pPr>
              <w:jc w:val="right"/>
              <w:rPr>
                <w:rFonts w:eastAsia="Times New Roman"/>
                <w:sz w:val="20"/>
                <w:szCs w:val="20"/>
              </w:rPr>
            </w:pPr>
            <w:r>
              <w:rPr>
                <w:rFonts w:eastAsia="Times New Roman"/>
                <w:sz w:val="20"/>
                <w:szCs w:val="20"/>
              </w:rPr>
              <w:t>2,995</w:t>
            </w:r>
          </w:p>
        </w:tc>
        <w:tc>
          <w:tcPr>
            <w:tcW w:w="50" w:type="pct"/>
            <w:shd w:val="clear" w:color="auto" w:fill="FFFFFF"/>
            <w:noWrap/>
            <w:vAlign w:val="center"/>
            <w:hideMark/>
          </w:tcPr>
          <w:p w14:paraId="4D0B6661" w14:textId="77777777" w:rsidR="002B5D06" w:rsidRDefault="000B69DD">
            <w:pPr>
              <w:pStyle w:val="NormalWeb"/>
              <w:spacing w:before="0" w:beforeAutospacing="0" w:after="0" w:afterAutospacing="0"/>
              <w:rPr>
                <w:sz w:val="20"/>
                <w:szCs w:val="20"/>
              </w:rPr>
            </w:pPr>
            <w:r>
              <w:rPr>
                <w:sz w:val="20"/>
                <w:szCs w:val="20"/>
              </w:rPr>
              <w:t> </w:t>
            </w:r>
          </w:p>
        </w:tc>
      </w:tr>
      <w:tr w:rsidR="002B5D06" w14:paraId="44F71984" w14:textId="77777777">
        <w:trPr>
          <w:divId w:val="1684360448"/>
          <w:trHeight w:val="225"/>
          <w:tblCellSpacing w:w="15" w:type="dxa"/>
          <w:jc w:val="center"/>
        </w:trPr>
        <w:tc>
          <w:tcPr>
            <w:tcW w:w="0" w:type="auto"/>
            <w:shd w:val="clear" w:color="auto" w:fill="CCEEFF"/>
            <w:hideMark/>
          </w:tcPr>
          <w:p w14:paraId="0806F1A8" w14:textId="77777777" w:rsidR="002B5D06" w:rsidRDefault="000B69DD">
            <w:pPr>
              <w:pStyle w:val="NormalWeb"/>
              <w:spacing w:before="0" w:beforeAutospacing="0" w:after="0" w:afterAutospacing="0"/>
              <w:ind w:left="225"/>
              <w:rPr>
                <w:sz w:val="20"/>
                <w:szCs w:val="20"/>
              </w:rPr>
            </w:pPr>
            <w:r>
              <w:rPr>
                <w:sz w:val="20"/>
                <w:szCs w:val="20"/>
              </w:rPr>
              <w:t>Taxes payable</w:t>
            </w:r>
          </w:p>
        </w:tc>
        <w:tc>
          <w:tcPr>
            <w:tcW w:w="50" w:type="pct"/>
            <w:shd w:val="clear" w:color="auto" w:fill="CCEEFF"/>
            <w:noWrap/>
            <w:vAlign w:val="center"/>
            <w:hideMark/>
          </w:tcPr>
          <w:p w14:paraId="0D71653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243D441"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F329815" w14:textId="77777777" w:rsidR="002B5D06" w:rsidRDefault="000B69DD">
            <w:pPr>
              <w:jc w:val="right"/>
              <w:rPr>
                <w:rFonts w:eastAsia="Times New Roman"/>
                <w:sz w:val="20"/>
                <w:szCs w:val="20"/>
              </w:rPr>
            </w:pPr>
            <w:r>
              <w:rPr>
                <w:rFonts w:eastAsia="Times New Roman"/>
                <w:sz w:val="20"/>
                <w:szCs w:val="20"/>
              </w:rPr>
              <w:t>88,979</w:t>
            </w:r>
          </w:p>
        </w:tc>
        <w:tc>
          <w:tcPr>
            <w:tcW w:w="50" w:type="pct"/>
            <w:shd w:val="clear" w:color="auto" w:fill="CCEEFF"/>
            <w:noWrap/>
            <w:vAlign w:val="center"/>
            <w:hideMark/>
          </w:tcPr>
          <w:p w14:paraId="230128A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E80A1D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7CECBBE"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436B08DF" w14:textId="77777777" w:rsidR="002B5D06" w:rsidRDefault="000B69DD">
            <w:pPr>
              <w:jc w:val="right"/>
              <w:rPr>
                <w:rFonts w:eastAsia="Times New Roman"/>
                <w:sz w:val="20"/>
                <w:szCs w:val="20"/>
              </w:rPr>
            </w:pPr>
            <w:r>
              <w:rPr>
                <w:rFonts w:eastAsia="Times New Roman"/>
                <w:sz w:val="20"/>
                <w:szCs w:val="20"/>
              </w:rPr>
              <w:t>73,830</w:t>
            </w:r>
          </w:p>
        </w:tc>
        <w:tc>
          <w:tcPr>
            <w:tcW w:w="50" w:type="pct"/>
            <w:shd w:val="clear" w:color="auto" w:fill="CCEEFF"/>
            <w:noWrap/>
            <w:vAlign w:val="center"/>
            <w:hideMark/>
          </w:tcPr>
          <w:p w14:paraId="7C402C79" w14:textId="77777777" w:rsidR="002B5D06" w:rsidRDefault="000B69DD">
            <w:pPr>
              <w:pStyle w:val="NormalWeb"/>
              <w:spacing w:before="0" w:beforeAutospacing="0" w:after="0" w:afterAutospacing="0"/>
              <w:rPr>
                <w:sz w:val="20"/>
                <w:szCs w:val="20"/>
              </w:rPr>
            </w:pPr>
            <w:r>
              <w:rPr>
                <w:sz w:val="20"/>
                <w:szCs w:val="20"/>
              </w:rPr>
              <w:t> </w:t>
            </w:r>
          </w:p>
        </w:tc>
      </w:tr>
      <w:tr w:rsidR="002B5D06" w14:paraId="1CBC7655" w14:textId="77777777">
        <w:trPr>
          <w:divId w:val="1684360448"/>
          <w:trHeight w:val="225"/>
          <w:tblCellSpacing w:w="15" w:type="dxa"/>
          <w:jc w:val="center"/>
        </w:trPr>
        <w:tc>
          <w:tcPr>
            <w:tcW w:w="0" w:type="auto"/>
            <w:shd w:val="clear" w:color="auto" w:fill="FFFFFF"/>
            <w:hideMark/>
          </w:tcPr>
          <w:p w14:paraId="569AA4A9" w14:textId="77777777" w:rsidR="002B5D06" w:rsidRDefault="000B69DD">
            <w:pPr>
              <w:pStyle w:val="NormalWeb"/>
              <w:spacing w:before="0" w:beforeAutospacing="0" w:after="0" w:afterAutospacing="0"/>
              <w:ind w:left="225"/>
              <w:rPr>
                <w:sz w:val="20"/>
                <w:szCs w:val="20"/>
              </w:rPr>
            </w:pPr>
            <w:r>
              <w:rPr>
                <w:sz w:val="20"/>
                <w:szCs w:val="20"/>
              </w:rPr>
              <w:t>Advances from a related party</w:t>
            </w:r>
          </w:p>
        </w:tc>
        <w:tc>
          <w:tcPr>
            <w:tcW w:w="50" w:type="pct"/>
            <w:shd w:val="clear" w:color="auto" w:fill="FFFFFF"/>
            <w:noWrap/>
            <w:vAlign w:val="center"/>
            <w:hideMark/>
          </w:tcPr>
          <w:p w14:paraId="05ABBAB8"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826D7B9"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752E947E" w14:textId="77777777" w:rsidR="002B5D06" w:rsidRDefault="000B69DD">
            <w:pPr>
              <w:jc w:val="right"/>
              <w:rPr>
                <w:rFonts w:eastAsia="Times New Roman"/>
                <w:sz w:val="20"/>
                <w:szCs w:val="20"/>
              </w:rPr>
            </w:pPr>
            <w:r>
              <w:rPr>
                <w:rFonts w:eastAsia="Times New Roman"/>
                <w:sz w:val="20"/>
                <w:szCs w:val="20"/>
              </w:rPr>
              <w:t>55,974</w:t>
            </w:r>
          </w:p>
        </w:tc>
        <w:tc>
          <w:tcPr>
            <w:tcW w:w="50" w:type="pct"/>
            <w:shd w:val="clear" w:color="auto" w:fill="FFFFFF"/>
            <w:noWrap/>
            <w:tcMar>
              <w:top w:w="0" w:type="dxa"/>
              <w:left w:w="0" w:type="dxa"/>
              <w:bottom w:w="15" w:type="dxa"/>
              <w:right w:w="0" w:type="dxa"/>
            </w:tcMar>
            <w:vAlign w:val="center"/>
            <w:hideMark/>
          </w:tcPr>
          <w:p w14:paraId="1703A02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12303A9"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37500C90"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14FEC390" w14:textId="77777777" w:rsidR="002B5D06" w:rsidRDefault="000B69DD">
            <w:pPr>
              <w:jc w:val="right"/>
              <w:rPr>
                <w:rFonts w:eastAsia="Times New Roman"/>
                <w:sz w:val="20"/>
                <w:szCs w:val="20"/>
              </w:rPr>
            </w:pPr>
            <w:r>
              <w:rPr>
                <w:rFonts w:eastAsia="Times New Roman"/>
                <w:sz w:val="20"/>
                <w:szCs w:val="20"/>
              </w:rPr>
              <w:t>128,373</w:t>
            </w:r>
          </w:p>
        </w:tc>
        <w:tc>
          <w:tcPr>
            <w:tcW w:w="50" w:type="pct"/>
            <w:shd w:val="clear" w:color="auto" w:fill="FFFFFF"/>
            <w:noWrap/>
            <w:tcMar>
              <w:top w:w="0" w:type="dxa"/>
              <w:left w:w="0" w:type="dxa"/>
              <w:bottom w:w="15" w:type="dxa"/>
              <w:right w:w="0" w:type="dxa"/>
            </w:tcMar>
            <w:vAlign w:val="center"/>
            <w:hideMark/>
          </w:tcPr>
          <w:p w14:paraId="0CA122B0" w14:textId="77777777" w:rsidR="002B5D06" w:rsidRDefault="000B69DD">
            <w:pPr>
              <w:pStyle w:val="NormalWeb"/>
              <w:spacing w:before="0" w:beforeAutospacing="0" w:after="0" w:afterAutospacing="0"/>
              <w:rPr>
                <w:sz w:val="20"/>
                <w:szCs w:val="20"/>
              </w:rPr>
            </w:pPr>
            <w:r>
              <w:rPr>
                <w:sz w:val="20"/>
                <w:szCs w:val="20"/>
              </w:rPr>
              <w:t> </w:t>
            </w:r>
          </w:p>
        </w:tc>
      </w:tr>
      <w:tr w:rsidR="002B5D06" w14:paraId="72ADC911" w14:textId="77777777">
        <w:trPr>
          <w:divId w:val="1684360448"/>
          <w:trHeight w:val="225"/>
          <w:tblCellSpacing w:w="15" w:type="dxa"/>
          <w:jc w:val="center"/>
        </w:trPr>
        <w:tc>
          <w:tcPr>
            <w:tcW w:w="0" w:type="auto"/>
            <w:shd w:val="clear" w:color="auto" w:fill="CCEEFF"/>
            <w:hideMark/>
          </w:tcPr>
          <w:p w14:paraId="05145DCB" w14:textId="77777777" w:rsidR="002B5D06" w:rsidRDefault="000B69DD">
            <w:pPr>
              <w:pStyle w:val="NormalWeb"/>
              <w:spacing w:before="0" w:beforeAutospacing="0" w:after="0" w:afterAutospacing="0"/>
              <w:rPr>
                <w:sz w:val="20"/>
                <w:szCs w:val="20"/>
              </w:rPr>
            </w:pPr>
            <w:r>
              <w:rPr>
                <w:sz w:val="20"/>
                <w:szCs w:val="20"/>
              </w:rPr>
              <w:t>Total Current Liabilities</w:t>
            </w:r>
          </w:p>
        </w:tc>
        <w:tc>
          <w:tcPr>
            <w:tcW w:w="50" w:type="pct"/>
            <w:shd w:val="clear" w:color="auto" w:fill="CCEEFF"/>
            <w:noWrap/>
            <w:vAlign w:val="center"/>
            <w:hideMark/>
          </w:tcPr>
          <w:p w14:paraId="795EF01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A2D76CD"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4D336539" w14:textId="77777777" w:rsidR="002B5D06" w:rsidRDefault="000B69DD">
            <w:pPr>
              <w:jc w:val="right"/>
              <w:rPr>
                <w:rFonts w:eastAsia="Times New Roman"/>
                <w:sz w:val="20"/>
                <w:szCs w:val="20"/>
              </w:rPr>
            </w:pPr>
            <w:r>
              <w:rPr>
                <w:rFonts w:eastAsia="Times New Roman"/>
                <w:sz w:val="20"/>
                <w:szCs w:val="20"/>
              </w:rPr>
              <w:t>150,434</w:t>
            </w:r>
          </w:p>
        </w:tc>
        <w:tc>
          <w:tcPr>
            <w:tcW w:w="50" w:type="pct"/>
            <w:shd w:val="clear" w:color="auto" w:fill="CCEEFF"/>
            <w:noWrap/>
            <w:vAlign w:val="center"/>
            <w:hideMark/>
          </w:tcPr>
          <w:p w14:paraId="47BF11E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81D93D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1BE8F27"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686AD66" w14:textId="77777777" w:rsidR="002B5D06" w:rsidRDefault="000B69DD">
            <w:pPr>
              <w:jc w:val="right"/>
              <w:rPr>
                <w:rFonts w:eastAsia="Times New Roman"/>
                <w:sz w:val="20"/>
                <w:szCs w:val="20"/>
              </w:rPr>
            </w:pPr>
            <w:r>
              <w:rPr>
                <w:rFonts w:eastAsia="Times New Roman"/>
                <w:sz w:val="20"/>
                <w:szCs w:val="20"/>
              </w:rPr>
              <w:t>206,248</w:t>
            </w:r>
          </w:p>
        </w:tc>
        <w:tc>
          <w:tcPr>
            <w:tcW w:w="50" w:type="pct"/>
            <w:shd w:val="clear" w:color="auto" w:fill="CCEEFF"/>
            <w:noWrap/>
            <w:vAlign w:val="center"/>
            <w:hideMark/>
          </w:tcPr>
          <w:p w14:paraId="67B700FD" w14:textId="77777777" w:rsidR="002B5D06" w:rsidRDefault="000B69DD">
            <w:pPr>
              <w:pStyle w:val="NormalWeb"/>
              <w:spacing w:before="0" w:beforeAutospacing="0" w:after="0" w:afterAutospacing="0"/>
              <w:rPr>
                <w:sz w:val="20"/>
                <w:szCs w:val="20"/>
              </w:rPr>
            </w:pPr>
            <w:r>
              <w:rPr>
                <w:sz w:val="20"/>
                <w:szCs w:val="20"/>
              </w:rPr>
              <w:t> </w:t>
            </w:r>
          </w:p>
        </w:tc>
      </w:tr>
      <w:tr w:rsidR="002B5D06" w14:paraId="485269D2" w14:textId="77777777">
        <w:trPr>
          <w:divId w:val="1684360448"/>
          <w:trHeight w:val="225"/>
          <w:tblCellSpacing w:w="15" w:type="dxa"/>
          <w:jc w:val="center"/>
        </w:trPr>
        <w:tc>
          <w:tcPr>
            <w:tcW w:w="0" w:type="auto"/>
            <w:shd w:val="clear" w:color="auto" w:fill="FFFFFF"/>
            <w:vAlign w:val="center"/>
            <w:hideMark/>
          </w:tcPr>
          <w:p w14:paraId="1007853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B8F5CF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5ED2C9F"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6D58389"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8240C5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9F9485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B58B49B"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5155BF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F764C1B" w14:textId="77777777" w:rsidR="002B5D06" w:rsidRDefault="000B69DD">
            <w:pPr>
              <w:pStyle w:val="NormalWeb"/>
              <w:spacing w:before="0" w:beforeAutospacing="0" w:after="0" w:afterAutospacing="0"/>
              <w:rPr>
                <w:sz w:val="20"/>
                <w:szCs w:val="20"/>
              </w:rPr>
            </w:pPr>
            <w:r>
              <w:rPr>
                <w:sz w:val="20"/>
                <w:szCs w:val="20"/>
              </w:rPr>
              <w:t> </w:t>
            </w:r>
          </w:p>
        </w:tc>
      </w:tr>
      <w:tr w:rsidR="002B5D06" w14:paraId="4A5279F8" w14:textId="77777777">
        <w:trPr>
          <w:divId w:val="1684360448"/>
          <w:trHeight w:val="225"/>
          <w:tblCellSpacing w:w="15" w:type="dxa"/>
          <w:jc w:val="center"/>
        </w:trPr>
        <w:tc>
          <w:tcPr>
            <w:tcW w:w="0" w:type="auto"/>
            <w:shd w:val="clear" w:color="auto" w:fill="CCEEFF"/>
            <w:hideMark/>
          </w:tcPr>
          <w:p w14:paraId="1CB2781B" w14:textId="77777777" w:rsidR="002B5D06" w:rsidRDefault="000B69DD">
            <w:pPr>
              <w:pStyle w:val="NormalWeb"/>
              <w:spacing w:before="0" w:beforeAutospacing="0" w:after="0" w:afterAutospacing="0"/>
              <w:rPr>
                <w:sz w:val="20"/>
                <w:szCs w:val="20"/>
              </w:rPr>
            </w:pPr>
            <w:r>
              <w:rPr>
                <w:sz w:val="20"/>
                <w:szCs w:val="20"/>
              </w:rPr>
              <w:t>Long Term Liabilities</w:t>
            </w:r>
          </w:p>
        </w:tc>
        <w:tc>
          <w:tcPr>
            <w:tcW w:w="50" w:type="pct"/>
            <w:shd w:val="clear" w:color="auto" w:fill="CCEEFF"/>
            <w:noWrap/>
            <w:vAlign w:val="center"/>
            <w:hideMark/>
          </w:tcPr>
          <w:p w14:paraId="05B65CF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019D35D"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39CE69E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EC0C77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4AFE05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A3E3C79"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70A2EA1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4FC338D" w14:textId="77777777" w:rsidR="002B5D06" w:rsidRDefault="000B69DD">
            <w:pPr>
              <w:pStyle w:val="NormalWeb"/>
              <w:spacing w:before="0" w:beforeAutospacing="0" w:after="0" w:afterAutospacing="0"/>
              <w:rPr>
                <w:sz w:val="20"/>
                <w:szCs w:val="20"/>
              </w:rPr>
            </w:pPr>
            <w:r>
              <w:rPr>
                <w:sz w:val="20"/>
                <w:szCs w:val="20"/>
              </w:rPr>
              <w:t> </w:t>
            </w:r>
          </w:p>
        </w:tc>
      </w:tr>
      <w:tr w:rsidR="002B5D06" w14:paraId="5707F579" w14:textId="77777777">
        <w:trPr>
          <w:divId w:val="1684360448"/>
          <w:trHeight w:val="225"/>
          <w:tblCellSpacing w:w="15" w:type="dxa"/>
          <w:jc w:val="center"/>
        </w:trPr>
        <w:tc>
          <w:tcPr>
            <w:tcW w:w="0" w:type="auto"/>
            <w:shd w:val="clear" w:color="auto" w:fill="FFFFFF"/>
            <w:hideMark/>
          </w:tcPr>
          <w:p w14:paraId="591DFF73" w14:textId="77777777" w:rsidR="002B5D06" w:rsidRDefault="000B69DD">
            <w:pPr>
              <w:pStyle w:val="NormalWeb"/>
              <w:spacing w:before="0" w:beforeAutospacing="0" w:after="0" w:afterAutospacing="0"/>
              <w:ind w:left="225"/>
              <w:rPr>
                <w:sz w:val="20"/>
                <w:szCs w:val="20"/>
              </w:rPr>
            </w:pPr>
            <w:r>
              <w:rPr>
                <w:sz w:val="20"/>
                <w:szCs w:val="20"/>
              </w:rPr>
              <w:t>Notes payable, net of current portion</w:t>
            </w:r>
          </w:p>
        </w:tc>
        <w:tc>
          <w:tcPr>
            <w:tcW w:w="50" w:type="pct"/>
            <w:shd w:val="clear" w:color="auto" w:fill="FFFFFF"/>
            <w:noWrap/>
            <w:vAlign w:val="center"/>
            <w:hideMark/>
          </w:tcPr>
          <w:p w14:paraId="6EDDCF3E"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E647003"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7E2A11E8" w14:textId="77777777" w:rsidR="002B5D06" w:rsidRDefault="000B69DD">
            <w:pPr>
              <w:jc w:val="right"/>
              <w:rPr>
                <w:rFonts w:eastAsia="Times New Roman"/>
                <w:sz w:val="20"/>
                <w:szCs w:val="20"/>
              </w:rPr>
            </w:pPr>
            <w:r>
              <w:rPr>
                <w:rFonts w:eastAsia="Times New Roman"/>
                <w:sz w:val="20"/>
                <w:szCs w:val="20"/>
              </w:rPr>
              <w:t>127,029</w:t>
            </w:r>
          </w:p>
        </w:tc>
        <w:tc>
          <w:tcPr>
            <w:tcW w:w="50" w:type="pct"/>
            <w:shd w:val="clear" w:color="auto" w:fill="FFFFFF"/>
            <w:noWrap/>
            <w:tcMar>
              <w:top w:w="0" w:type="dxa"/>
              <w:left w:w="0" w:type="dxa"/>
              <w:bottom w:w="15" w:type="dxa"/>
              <w:right w:w="0" w:type="dxa"/>
            </w:tcMar>
            <w:vAlign w:val="center"/>
            <w:hideMark/>
          </w:tcPr>
          <w:p w14:paraId="2EFDE3E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D1DAB46"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64094C3"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0697F21B" w14:textId="77777777" w:rsidR="002B5D06" w:rsidRDefault="000B69DD">
            <w:pPr>
              <w:jc w:val="right"/>
              <w:rPr>
                <w:rFonts w:eastAsia="Times New Roman"/>
                <w:sz w:val="20"/>
                <w:szCs w:val="20"/>
              </w:rPr>
            </w:pPr>
            <w:r>
              <w:rPr>
                <w:rFonts w:eastAsia="Times New Roman"/>
                <w:sz w:val="20"/>
                <w:szCs w:val="20"/>
              </w:rPr>
              <w:t>127,029</w:t>
            </w:r>
          </w:p>
        </w:tc>
        <w:tc>
          <w:tcPr>
            <w:tcW w:w="50" w:type="pct"/>
            <w:shd w:val="clear" w:color="auto" w:fill="FFFFFF"/>
            <w:noWrap/>
            <w:tcMar>
              <w:top w:w="0" w:type="dxa"/>
              <w:left w:w="0" w:type="dxa"/>
              <w:bottom w:w="15" w:type="dxa"/>
              <w:right w:w="0" w:type="dxa"/>
            </w:tcMar>
            <w:vAlign w:val="center"/>
            <w:hideMark/>
          </w:tcPr>
          <w:p w14:paraId="0E2FB38E" w14:textId="77777777" w:rsidR="002B5D06" w:rsidRDefault="000B69DD">
            <w:pPr>
              <w:pStyle w:val="NormalWeb"/>
              <w:spacing w:before="0" w:beforeAutospacing="0" w:after="0" w:afterAutospacing="0"/>
              <w:rPr>
                <w:sz w:val="20"/>
                <w:szCs w:val="20"/>
              </w:rPr>
            </w:pPr>
            <w:r>
              <w:rPr>
                <w:sz w:val="20"/>
                <w:szCs w:val="20"/>
              </w:rPr>
              <w:t> </w:t>
            </w:r>
          </w:p>
        </w:tc>
      </w:tr>
      <w:tr w:rsidR="002B5D06" w14:paraId="18AEEA5F" w14:textId="77777777">
        <w:trPr>
          <w:divId w:val="1684360448"/>
          <w:trHeight w:val="225"/>
          <w:tblCellSpacing w:w="15" w:type="dxa"/>
          <w:jc w:val="center"/>
        </w:trPr>
        <w:tc>
          <w:tcPr>
            <w:tcW w:w="0" w:type="auto"/>
            <w:shd w:val="clear" w:color="auto" w:fill="CCEEFF"/>
            <w:hideMark/>
          </w:tcPr>
          <w:p w14:paraId="67610736" w14:textId="77777777" w:rsidR="002B5D06" w:rsidRDefault="000B69DD">
            <w:pPr>
              <w:pStyle w:val="NormalWeb"/>
              <w:spacing w:before="0" w:beforeAutospacing="0" w:after="0" w:afterAutospacing="0"/>
              <w:rPr>
                <w:sz w:val="20"/>
                <w:szCs w:val="20"/>
              </w:rPr>
            </w:pPr>
            <w:r>
              <w:rPr>
                <w:sz w:val="20"/>
                <w:szCs w:val="20"/>
              </w:rPr>
              <w:t>Total Long-Term Liabilities</w:t>
            </w:r>
          </w:p>
        </w:tc>
        <w:tc>
          <w:tcPr>
            <w:tcW w:w="50" w:type="pct"/>
            <w:shd w:val="clear" w:color="auto" w:fill="CCEEFF"/>
            <w:noWrap/>
            <w:vAlign w:val="center"/>
            <w:hideMark/>
          </w:tcPr>
          <w:p w14:paraId="105E7DCF"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140D23DA"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572517C5" w14:textId="77777777" w:rsidR="002B5D06" w:rsidRDefault="000B69DD">
            <w:pPr>
              <w:jc w:val="right"/>
              <w:rPr>
                <w:rFonts w:eastAsia="Times New Roman"/>
                <w:sz w:val="20"/>
                <w:szCs w:val="20"/>
              </w:rPr>
            </w:pPr>
            <w:r>
              <w:rPr>
                <w:rFonts w:eastAsia="Times New Roman"/>
                <w:sz w:val="20"/>
                <w:szCs w:val="20"/>
              </w:rPr>
              <w:t>127,029</w:t>
            </w:r>
          </w:p>
        </w:tc>
        <w:tc>
          <w:tcPr>
            <w:tcW w:w="50" w:type="pct"/>
            <w:shd w:val="clear" w:color="auto" w:fill="CCEEFF"/>
            <w:noWrap/>
            <w:tcMar>
              <w:top w:w="0" w:type="dxa"/>
              <w:left w:w="0" w:type="dxa"/>
              <w:bottom w:w="15" w:type="dxa"/>
              <w:right w:w="0" w:type="dxa"/>
            </w:tcMar>
            <w:vAlign w:val="center"/>
            <w:hideMark/>
          </w:tcPr>
          <w:p w14:paraId="450DB589"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9FA21DC"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4BF1CDA3"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166AC274" w14:textId="77777777" w:rsidR="002B5D06" w:rsidRDefault="000B69DD">
            <w:pPr>
              <w:jc w:val="right"/>
              <w:rPr>
                <w:rFonts w:eastAsia="Times New Roman"/>
                <w:sz w:val="20"/>
                <w:szCs w:val="20"/>
              </w:rPr>
            </w:pPr>
            <w:r>
              <w:rPr>
                <w:rFonts w:eastAsia="Times New Roman"/>
                <w:sz w:val="20"/>
                <w:szCs w:val="20"/>
              </w:rPr>
              <w:t>127,029</w:t>
            </w:r>
          </w:p>
        </w:tc>
        <w:tc>
          <w:tcPr>
            <w:tcW w:w="50" w:type="pct"/>
            <w:shd w:val="clear" w:color="auto" w:fill="CCEEFF"/>
            <w:noWrap/>
            <w:tcMar>
              <w:top w:w="0" w:type="dxa"/>
              <w:left w:w="0" w:type="dxa"/>
              <w:bottom w:w="15" w:type="dxa"/>
              <w:right w:w="0" w:type="dxa"/>
            </w:tcMar>
            <w:vAlign w:val="center"/>
            <w:hideMark/>
          </w:tcPr>
          <w:p w14:paraId="18B2A69F" w14:textId="77777777" w:rsidR="002B5D06" w:rsidRDefault="000B69DD">
            <w:pPr>
              <w:pStyle w:val="NormalWeb"/>
              <w:spacing w:before="0" w:beforeAutospacing="0" w:after="0" w:afterAutospacing="0"/>
              <w:rPr>
                <w:sz w:val="20"/>
                <w:szCs w:val="20"/>
              </w:rPr>
            </w:pPr>
            <w:r>
              <w:rPr>
                <w:sz w:val="20"/>
                <w:szCs w:val="20"/>
              </w:rPr>
              <w:t> </w:t>
            </w:r>
          </w:p>
        </w:tc>
      </w:tr>
      <w:tr w:rsidR="002B5D06" w14:paraId="5689B396" w14:textId="77777777">
        <w:trPr>
          <w:divId w:val="1684360448"/>
          <w:trHeight w:val="225"/>
          <w:tblCellSpacing w:w="15" w:type="dxa"/>
          <w:jc w:val="center"/>
        </w:trPr>
        <w:tc>
          <w:tcPr>
            <w:tcW w:w="0" w:type="auto"/>
            <w:shd w:val="clear" w:color="auto" w:fill="FFFFFF"/>
            <w:vAlign w:val="center"/>
            <w:hideMark/>
          </w:tcPr>
          <w:p w14:paraId="0961F25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D9BA7F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78666F9"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A292E8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8EBDE1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BB416C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6D9FAB9"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53747AC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696E987" w14:textId="77777777" w:rsidR="002B5D06" w:rsidRDefault="000B69DD">
            <w:pPr>
              <w:pStyle w:val="NormalWeb"/>
              <w:spacing w:before="0" w:beforeAutospacing="0" w:after="0" w:afterAutospacing="0"/>
              <w:rPr>
                <w:sz w:val="20"/>
                <w:szCs w:val="20"/>
              </w:rPr>
            </w:pPr>
            <w:r>
              <w:rPr>
                <w:sz w:val="20"/>
                <w:szCs w:val="20"/>
              </w:rPr>
              <w:t> </w:t>
            </w:r>
          </w:p>
        </w:tc>
      </w:tr>
      <w:tr w:rsidR="002B5D06" w14:paraId="70F886F0" w14:textId="77777777">
        <w:trPr>
          <w:divId w:val="1684360448"/>
          <w:trHeight w:val="225"/>
          <w:tblCellSpacing w:w="15" w:type="dxa"/>
          <w:jc w:val="center"/>
        </w:trPr>
        <w:tc>
          <w:tcPr>
            <w:tcW w:w="0" w:type="auto"/>
            <w:shd w:val="clear" w:color="auto" w:fill="CCEEFF"/>
            <w:hideMark/>
          </w:tcPr>
          <w:p w14:paraId="7BBB6FA2" w14:textId="77777777" w:rsidR="002B5D06" w:rsidRDefault="000B69DD">
            <w:pPr>
              <w:pStyle w:val="NormalWeb"/>
              <w:spacing w:before="0" w:beforeAutospacing="0" w:after="0" w:afterAutospacing="0"/>
              <w:rPr>
                <w:sz w:val="20"/>
                <w:szCs w:val="20"/>
              </w:rPr>
            </w:pPr>
            <w:r>
              <w:rPr>
                <w:sz w:val="20"/>
                <w:szCs w:val="20"/>
              </w:rPr>
              <w:t>Total Liabilities</w:t>
            </w:r>
          </w:p>
        </w:tc>
        <w:tc>
          <w:tcPr>
            <w:tcW w:w="50" w:type="pct"/>
            <w:shd w:val="clear" w:color="auto" w:fill="CCEEFF"/>
            <w:noWrap/>
            <w:vAlign w:val="center"/>
            <w:hideMark/>
          </w:tcPr>
          <w:p w14:paraId="60B69A80"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58521C0E"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610B3314" w14:textId="77777777" w:rsidR="002B5D06" w:rsidRDefault="000B69DD">
            <w:pPr>
              <w:jc w:val="right"/>
              <w:rPr>
                <w:rFonts w:eastAsia="Times New Roman"/>
                <w:sz w:val="20"/>
                <w:szCs w:val="20"/>
              </w:rPr>
            </w:pPr>
            <w:r>
              <w:rPr>
                <w:rFonts w:eastAsia="Times New Roman"/>
                <w:sz w:val="20"/>
                <w:szCs w:val="20"/>
              </w:rPr>
              <w:t>277,463</w:t>
            </w:r>
          </w:p>
        </w:tc>
        <w:tc>
          <w:tcPr>
            <w:tcW w:w="50" w:type="pct"/>
            <w:shd w:val="clear" w:color="auto" w:fill="CCEEFF"/>
            <w:noWrap/>
            <w:tcMar>
              <w:top w:w="0" w:type="dxa"/>
              <w:left w:w="0" w:type="dxa"/>
              <w:bottom w:w="15" w:type="dxa"/>
              <w:right w:w="0" w:type="dxa"/>
            </w:tcMar>
            <w:vAlign w:val="center"/>
            <w:hideMark/>
          </w:tcPr>
          <w:p w14:paraId="05B378F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135128B"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7C1544C5"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56FC3772" w14:textId="77777777" w:rsidR="002B5D06" w:rsidRDefault="000B69DD">
            <w:pPr>
              <w:jc w:val="right"/>
              <w:rPr>
                <w:rFonts w:eastAsia="Times New Roman"/>
                <w:sz w:val="20"/>
                <w:szCs w:val="20"/>
              </w:rPr>
            </w:pPr>
            <w:r>
              <w:rPr>
                <w:rFonts w:eastAsia="Times New Roman"/>
                <w:sz w:val="20"/>
                <w:szCs w:val="20"/>
              </w:rPr>
              <w:t>333,277</w:t>
            </w:r>
          </w:p>
        </w:tc>
        <w:tc>
          <w:tcPr>
            <w:tcW w:w="50" w:type="pct"/>
            <w:shd w:val="clear" w:color="auto" w:fill="CCEEFF"/>
            <w:noWrap/>
            <w:tcMar>
              <w:top w:w="0" w:type="dxa"/>
              <w:left w:w="0" w:type="dxa"/>
              <w:bottom w:w="15" w:type="dxa"/>
              <w:right w:w="0" w:type="dxa"/>
            </w:tcMar>
            <w:vAlign w:val="center"/>
            <w:hideMark/>
          </w:tcPr>
          <w:p w14:paraId="24E7F040" w14:textId="77777777" w:rsidR="002B5D06" w:rsidRDefault="000B69DD">
            <w:pPr>
              <w:pStyle w:val="NormalWeb"/>
              <w:spacing w:before="0" w:beforeAutospacing="0" w:after="0" w:afterAutospacing="0"/>
              <w:rPr>
                <w:sz w:val="20"/>
                <w:szCs w:val="20"/>
              </w:rPr>
            </w:pPr>
            <w:r>
              <w:rPr>
                <w:sz w:val="20"/>
                <w:szCs w:val="20"/>
              </w:rPr>
              <w:t> </w:t>
            </w:r>
          </w:p>
        </w:tc>
      </w:tr>
      <w:tr w:rsidR="002B5D06" w14:paraId="718AC0EC" w14:textId="77777777">
        <w:trPr>
          <w:divId w:val="1684360448"/>
          <w:trHeight w:val="225"/>
          <w:tblCellSpacing w:w="15" w:type="dxa"/>
          <w:jc w:val="center"/>
        </w:trPr>
        <w:tc>
          <w:tcPr>
            <w:tcW w:w="0" w:type="auto"/>
            <w:shd w:val="clear" w:color="auto" w:fill="FFFFFF"/>
            <w:vAlign w:val="center"/>
            <w:hideMark/>
          </w:tcPr>
          <w:p w14:paraId="095D8E2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523A72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3D0E228"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F80E19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E5B152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74754F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693020A"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50C1F49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BD18FE9" w14:textId="77777777" w:rsidR="002B5D06" w:rsidRDefault="000B69DD">
            <w:pPr>
              <w:pStyle w:val="NormalWeb"/>
              <w:spacing w:before="0" w:beforeAutospacing="0" w:after="0" w:afterAutospacing="0"/>
              <w:rPr>
                <w:sz w:val="20"/>
                <w:szCs w:val="20"/>
              </w:rPr>
            </w:pPr>
            <w:r>
              <w:rPr>
                <w:sz w:val="20"/>
                <w:szCs w:val="20"/>
              </w:rPr>
              <w:t> </w:t>
            </w:r>
          </w:p>
        </w:tc>
      </w:tr>
      <w:tr w:rsidR="002B5D06" w14:paraId="41BD7CB3" w14:textId="77777777">
        <w:trPr>
          <w:divId w:val="1684360448"/>
          <w:trHeight w:val="225"/>
          <w:tblCellSpacing w:w="15" w:type="dxa"/>
          <w:jc w:val="center"/>
        </w:trPr>
        <w:tc>
          <w:tcPr>
            <w:tcW w:w="0" w:type="auto"/>
            <w:shd w:val="clear" w:color="auto" w:fill="CCEEFF"/>
            <w:hideMark/>
          </w:tcPr>
          <w:p w14:paraId="7318116C" w14:textId="77777777" w:rsidR="002B5D06" w:rsidRDefault="000B69DD">
            <w:pPr>
              <w:pStyle w:val="NormalWeb"/>
              <w:spacing w:before="0" w:beforeAutospacing="0" w:after="0" w:afterAutospacing="0"/>
              <w:rPr>
                <w:sz w:val="20"/>
                <w:szCs w:val="20"/>
              </w:rPr>
            </w:pPr>
            <w:r>
              <w:rPr>
                <w:sz w:val="20"/>
                <w:szCs w:val="20"/>
              </w:rPr>
              <w:t>STOCKHOLDERS’ EQUITY-</w:t>
            </w:r>
          </w:p>
        </w:tc>
        <w:tc>
          <w:tcPr>
            <w:tcW w:w="50" w:type="pct"/>
            <w:shd w:val="clear" w:color="auto" w:fill="CCEEFF"/>
            <w:noWrap/>
            <w:vAlign w:val="center"/>
            <w:hideMark/>
          </w:tcPr>
          <w:p w14:paraId="7D61477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7FF2AA6"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3313DF5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C6D1AC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0A900E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E94C277"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7BF4FE3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0C93331" w14:textId="77777777" w:rsidR="002B5D06" w:rsidRDefault="000B69DD">
            <w:pPr>
              <w:pStyle w:val="NormalWeb"/>
              <w:spacing w:before="0" w:beforeAutospacing="0" w:after="0" w:afterAutospacing="0"/>
              <w:rPr>
                <w:sz w:val="20"/>
                <w:szCs w:val="20"/>
              </w:rPr>
            </w:pPr>
            <w:r>
              <w:rPr>
                <w:sz w:val="20"/>
                <w:szCs w:val="20"/>
              </w:rPr>
              <w:t> </w:t>
            </w:r>
          </w:p>
        </w:tc>
      </w:tr>
      <w:tr w:rsidR="002B5D06" w14:paraId="5626E441" w14:textId="77777777">
        <w:trPr>
          <w:divId w:val="1684360448"/>
          <w:trHeight w:val="225"/>
          <w:tblCellSpacing w:w="15" w:type="dxa"/>
          <w:jc w:val="center"/>
        </w:trPr>
        <w:tc>
          <w:tcPr>
            <w:tcW w:w="0" w:type="auto"/>
            <w:shd w:val="clear" w:color="auto" w:fill="FFFFFF"/>
            <w:hideMark/>
          </w:tcPr>
          <w:p w14:paraId="1D65A4B7" w14:textId="77777777" w:rsidR="002B5D06" w:rsidRDefault="000B69DD">
            <w:pPr>
              <w:pStyle w:val="NormalWeb"/>
              <w:spacing w:before="0" w:beforeAutospacing="0" w:after="0" w:afterAutospacing="0"/>
              <w:ind w:left="225"/>
              <w:rPr>
                <w:sz w:val="20"/>
                <w:szCs w:val="20"/>
              </w:rPr>
            </w:pPr>
            <w:r>
              <w:rPr>
                <w:sz w:val="20"/>
                <w:szCs w:val="20"/>
              </w:rPr>
              <w:t>Convertible preferred stock, Series 2, par value $0.01; authorized 10,000,000 shares; issued and outstanding 5,000 at June 30, 2025 and June 30, 2024</w:t>
            </w:r>
          </w:p>
        </w:tc>
        <w:tc>
          <w:tcPr>
            <w:tcW w:w="50" w:type="pct"/>
            <w:shd w:val="clear" w:color="auto" w:fill="FFFFFF"/>
            <w:noWrap/>
            <w:vAlign w:val="center"/>
            <w:hideMark/>
          </w:tcPr>
          <w:p w14:paraId="5F6CBC9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98B20CD"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19764AAB" w14:textId="77777777" w:rsidR="002B5D06" w:rsidRDefault="000B69DD">
            <w:pPr>
              <w:jc w:val="right"/>
              <w:rPr>
                <w:rFonts w:eastAsia="Times New Roman"/>
                <w:sz w:val="20"/>
                <w:szCs w:val="20"/>
              </w:rPr>
            </w:pPr>
            <w:r>
              <w:rPr>
                <w:rFonts w:eastAsia="Times New Roman"/>
                <w:sz w:val="20"/>
                <w:szCs w:val="20"/>
              </w:rPr>
              <w:t>50</w:t>
            </w:r>
          </w:p>
        </w:tc>
        <w:tc>
          <w:tcPr>
            <w:tcW w:w="50" w:type="pct"/>
            <w:shd w:val="clear" w:color="auto" w:fill="FFFFFF"/>
            <w:noWrap/>
            <w:vAlign w:val="center"/>
            <w:hideMark/>
          </w:tcPr>
          <w:p w14:paraId="6A1B2EB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FDB8C2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49C8911"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5442FCEF" w14:textId="77777777" w:rsidR="002B5D06" w:rsidRDefault="000B69DD">
            <w:pPr>
              <w:jc w:val="right"/>
              <w:rPr>
                <w:rFonts w:eastAsia="Times New Roman"/>
                <w:sz w:val="20"/>
                <w:szCs w:val="20"/>
              </w:rPr>
            </w:pPr>
            <w:r>
              <w:rPr>
                <w:rFonts w:eastAsia="Times New Roman"/>
                <w:sz w:val="20"/>
                <w:szCs w:val="20"/>
              </w:rPr>
              <w:t>50</w:t>
            </w:r>
          </w:p>
        </w:tc>
        <w:tc>
          <w:tcPr>
            <w:tcW w:w="50" w:type="pct"/>
            <w:shd w:val="clear" w:color="auto" w:fill="FFFFFF"/>
            <w:noWrap/>
            <w:vAlign w:val="center"/>
            <w:hideMark/>
          </w:tcPr>
          <w:p w14:paraId="28EE39A9" w14:textId="77777777" w:rsidR="002B5D06" w:rsidRDefault="000B69DD">
            <w:pPr>
              <w:pStyle w:val="NormalWeb"/>
              <w:spacing w:before="0" w:beforeAutospacing="0" w:after="0" w:afterAutospacing="0"/>
              <w:rPr>
                <w:sz w:val="20"/>
                <w:szCs w:val="20"/>
              </w:rPr>
            </w:pPr>
            <w:r>
              <w:rPr>
                <w:sz w:val="20"/>
                <w:szCs w:val="20"/>
              </w:rPr>
              <w:t> </w:t>
            </w:r>
          </w:p>
        </w:tc>
      </w:tr>
      <w:tr w:rsidR="002B5D06" w14:paraId="78D1E4E8" w14:textId="77777777">
        <w:trPr>
          <w:divId w:val="1684360448"/>
          <w:trHeight w:val="225"/>
          <w:tblCellSpacing w:w="15" w:type="dxa"/>
          <w:jc w:val="center"/>
        </w:trPr>
        <w:tc>
          <w:tcPr>
            <w:tcW w:w="0" w:type="auto"/>
            <w:shd w:val="clear" w:color="auto" w:fill="CCEEFF"/>
            <w:vAlign w:val="center"/>
            <w:hideMark/>
          </w:tcPr>
          <w:p w14:paraId="2D0F85F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793A50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62EFC40"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538FDCA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110850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1CC244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F987D41"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6809E8B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F3113CF" w14:textId="77777777" w:rsidR="002B5D06" w:rsidRDefault="000B69DD">
            <w:pPr>
              <w:pStyle w:val="NormalWeb"/>
              <w:spacing w:before="0" w:beforeAutospacing="0" w:after="0" w:afterAutospacing="0"/>
              <w:rPr>
                <w:sz w:val="20"/>
                <w:szCs w:val="20"/>
              </w:rPr>
            </w:pPr>
            <w:r>
              <w:rPr>
                <w:sz w:val="20"/>
                <w:szCs w:val="20"/>
              </w:rPr>
              <w:t> </w:t>
            </w:r>
          </w:p>
        </w:tc>
      </w:tr>
      <w:tr w:rsidR="002B5D06" w14:paraId="066BF495" w14:textId="77777777">
        <w:trPr>
          <w:divId w:val="1684360448"/>
          <w:trHeight w:val="225"/>
          <w:tblCellSpacing w:w="15" w:type="dxa"/>
          <w:jc w:val="center"/>
        </w:trPr>
        <w:tc>
          <w:tcPr>
            <w:tcW w:w="0" w:type="auto"/>
            <w:shd w:val="clear" w:color="auto" w:fill="FFFFFF"/>
            <w:hideMark/>
          </w:tcPr>
          <w:p w14:paraId="27478A06" w14:textId="77777777" w:rsidR="002B5D06" w:rsidRDefault="000B69DD">
            <w:pPr>
              <w:pStyle w:val="NormalWeb"/>
              <w:spacing w:before="0" w:beforeAutospacing="0" w:after="0" w:afterAutospacing="0"/>
              <w:ind w:left="225"/>
              <w:rPr>
                <w:sz w:val="20"/>
                <w:szCs w:val="20"/>
              </w:rPr>
            </w:pPr>
            <w:r>
              <w:rPr>
                <w:sz w:val="20"/>
                <w:szCs w:val="20"/>
              </w:rPr>
              <w:t>Convertible preferred stock, Series 3, par value $0.01; authorized 1,670,000 shares, zero shares issued and outstanding</w:t>
            </w:r>
          </w:p>
        </w:tc>
        <w:tc>
          <w:tcPr>
            <w:tcW w:w="50" w:type="pct"/>
            <w:shd w:val="clear" w:color="auto" w:fill="FFFFFF"/>
            <w:noWrap/>
            <w:vAlign w:val="center"/>
            <w:hideMark/>
          </w:tcPr>
          <w:p w14:paraId="7E86D7D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612BD14"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67EC72D1" w14:textId="77777777" w:rsidR="002B5D06" w:rsidRDefault="000B69DD">
            <w:pPr>
              <w:jc w:val="right"/>
              <w:rPr>
                <w:rFonts w:eastAsia="Times New Roman"/>
                <w:sz w:val="20"/>
                <w:szCs w:val="20"/>
              </w:rPr>
            </w:pPr>
            <w:r>
              <w:rPr>
                <w:rStyle w:val="Strong"/>
                <w:rFonts w:eastAsia="Times New Roman"/>
                <w:sz w:val="20"/>
                <w:szCs w:val="20"/>
              </w:rPr>
              <w:t>-</w:t>
            </w:r>
          </w:p>
        </w:tc>
        <w:tc>
          <w:tcPr>
            <w:tcW w:w="50" w:type="pct"/>
            <w:shd w:val="clear" w:color="auto" w:fill="FFFFFF"/>
            <w:noWrap/>
            <w:vAlign w:val="center"/>
            <w:hideMark/>
          </w:tcPr>
          <w:p w14:paraId="74FDB1D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39D416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2E1F4D8"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317AA456" w14:textId="77777777" w:rsidR="002B5D06" w:rsidRDefault="000B69DD">
            <w:pPr>
              <w:jc w:val="right"/>
              <w:rPr>
                <w:rFonts w:eastAsia="Times New Roman"/>
                <w:sz w:val="20"/>
                <w:szCs w:val="20"/>
              </w:rPr>
            </w:pPr>
            <w:r>
              <w:rPr>
                <w:rStyle w:val="Strong"/>
                <w:rFonts w:eastAsia="Times New Roman"/>
                <w:sz w:val="20"/>
                <w:szCs w:val="20"/>
              </w:rPr>
              <w:t>-</w:t>
            </w:r>
          </w:p>
        </w:tc>
        <w:tc>
          <w:tcPr>
            <w:tcW w:w="50" w:type="pct"/>
            <w:shd w:val="clear" w:color="auto" w:fill="FFFFFF"/>
            <w:noWrap/>
            <w:vAlign w:val="center"/>
            <w:hideMark/>
          </w:tcPr>
          <w:p w14:paraId="48FF54FB" w14:textId="77777777" w:rsidR="002B5D06" w:rsidRDefault="000B69DD">
            <w:pPr>
              <w:pStyle w:val="NormalWeb"/>
              <w:spacing w:before="0" w:beforeAutospacing="0" w:after="0" w:afterAutospacing="0"/>
              <w:rPr>
                <w:sz w:val="20"/>
                <w:szCs w:val="20"/>
              </w:rPr>
            </w:pPr>
            <w:r>
              <w:rPr>
                <w:sz w:val="20"/>
                <w:szCs w:val="20"/>
              </w:rPr>
              <w:t> </w:t>
            </w:r>
          </w:p>
        </w:tc>
      </w:tr>
      <w:tr w:rsidR="002B5D06" w14:paraId="6EAB58B7" w14:textId="77777777">
        <w:trPr>
          <w:divId w:val="1684360448"/>
          <w:trHeight w:val="225"/>
          <w:tblCellSpacing w:w="15" w:type="dxa"/>
          <w:jc w:val="center"/>
        </w:trPr>
        <w:tc>
          <w:tcPr>
            <w:tcW w:w="0" w:type="auto"/>
            <w:shd w:val="clear" w:color="auto" w:fill="CCEEFF"/>
            <w:vAlign w:val="center"/>
            <w:hideMark/>
          </w:tcPr>
          <w:p w14:paraId="7692B1F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4C27FF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4B4E15A"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0A362ED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BAE915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30B98A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EEBAF14"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32A89AD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949C8DC" w14:textId="77777777" w:rsidR="002B5D06" w:rsidRDefault="000B69DD">
            <w:pPr>
              <w:pStyle w:val="NormalWeb"/>
              <w:spacing w:before="0" w:beforeAutospacing="0" w:after="0" w:afterAutospacing="0"/>
              <w:rPr>
                <w:sz w:val="20"/>
                <w:szCs w:val="20"/>
              </w:rPr>
            </w:pPr>
            <w:r>
              <w:rPr>
                <w:sz w:val="20"/>
                <w:szCs w:val="20"/>
              </w:rPr>
              <w:t> </w:t>
            </w:r>
          </w:p>
        </w:tc>
      </w:tr>
      <w:tr w:rsidR="002B5D06" w14:paraId="473FC6C7" w14:textId="77777777">
        <w:trPr>
          <w:divId w:val="1684360448"/>
          <w:trHeight w:val="225"/>
          <w:tblCellSpacing w:w="15" w:type="dxa"/>
          <w:jc w:val="center"/>
        </w:trPr>
        <w:tc>
          <w:tcPr>
            <w:tcW w:w="0" w:type="auto"/>
            <w:shd w:val="clear" w:color="auto" w:fill="FFFFFF"/>
            <w:hideMark/>
          </w:tcPr>
          <w:p w14:paraId="3E77588B" w14:textId="77777777" w:rsidR="002B5D06" w:rsidRDefault="000B69DD">
            <w:pPr>
              <w:pStyle w:val="NormalWeb"/>
              <w:spacing w:before="0" w:beforeAutospacing="0" w:after="0" w:afterAutospacing="0"/>
              <w:ind w:left="225"/>
              <w:rPr>
                <w:sz w:val="20"/>
                <w:szCs w:val="20"/>
              </w:rPr>
            </w:pPr>
            <w:r>
              <w:rPr>
                <w:sz w:val="20"/>
                <w:szCs w:val="20"/>
              </w:rPr>
              <w:t>Convertible preferred stock, Series 5; no par value,1 share authorized and zero shares issued and outstanding, respectively</w:t>
            </w:r>
          </w:p>
        </w:tc>
        <w:tc>
          <w:tcPr>
            <w:tcW w:w="50" w:type="pct"/>
            <w:shd w:val="clear" w:color="auto" w:fill="FFFFFF"/>
            <w:noWrap/>
            <w:vAlign w:val="center"/>
            <w:hideMark/>
          </w:tcPr>
          <w:p w14:paraId="038CB44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7ECAADC"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5D63940F" w14:textId="77777777" w:rsidR="002B5D06" w:rsidRDefault="000B69DD">
            <w:pPr>
              <w:jc w:val="right"/>
              <w:rPr>
                <w:rFonts w:eastAsia="Times New Roman"/>
                <w:sz w:val="20"/>
                <w:szCs w:val="20"/>
              </w:rPr>
            </w:pPr>
            <w:r>
              <w:rPr>
                <w:rStyle w:val="Strong"/>
                <w:rFonts w:eastAsia="Times New Roman"/>
                <w:sz w:val="20"/>
                <w:szCs w:val="20"/>
              </w:rPr>
              <w:t>-</w:t>
            </w:r>
          </w:p>
        </w:tc>
        <w:tc>
          <w:tcPr>
            <w:tcW w:w="50" w:type="pct"/>
            <w:shd w:val="clear" w:color="auto" w:fill="FFFFFF"/>
            <w:noWrap/>
            <w:vAlign w:val="center"/>
            <w:hideMark/>
          </w:tcPr>
          <w:p w14:paraId="5033F0F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3B12F8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F79B738"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B76C360" w14:textId="77777777" w:rsidR="002B5D06" w:rsidRDefault="000B69DD">
            <w:pPr>
              <w:jc w:val="right"/>
              <w:rPr>
                <w:rFonts w:eastAsia="Times New Roman"/>
                <w:sz w:val="20"/>
                <w:szCs w:val="20"/>
              </w:rPr>
            </w:pPr>
            <w:r>
              <w:rPr>
                <w:rStyle w:val="Strong"/>
                <w:rFonts w:eastAsia="Times New Roman"/>
                <w:sz w:val="20"/>
                <w:szCs w:val="20"/>
              </w:rPr>
              <w:t>-</w:t>
            </w:r>
          </w:p>
        </w:tc>
        <w:tc>
          <w:tcPr>
            <w:tcW w:w="50" w:type="pct"/>
            <w:shd w:val="clear" w:color="auto" w:fill="FFFFFF"/>
            <w:noWrap/>
            <w:vAlign w:val="center"/>
            <w:hideMark/>
          </w:tcPr>
          <w:p w14:paraId="0632003D" w14:textId="77777777" w:rsidR="002B5D06" w:rsidRDefault="000B69DD">
            <w:pPr>
              <w:pStyle w:val="NormalWeb"/>
              <w:spacing w:before="0" w:beforeAutospacing="0" w:after="0" w:afterAutospacing="0"/>
              <w:rPr>
                <w:sz w:val="20"/>
                <w:szCs w:val="20"/>
              </w:rPr>
            </w:pPr>
            <w:r>
              <w:rPr>
                <w:sz w:val="20"/>
                <w:szCs w:val="20"/>
              </w:rPr>
              <w:t> </w:t>
            </w:r>
          </w:p>
        </w:tc>
      </w:tr>
      <w:tr w:rsidR="002B5D06" w14:paraId="49293B4F" w14:textId="77777777">
        <w:trPr>
          <w:divId w:val="1684360448"/>
          <w:trHeight w:val="225"/>
          <w:tblCellSpacing w:w="15" w:type="dxa"/>
          <w:jc w:val="center"/>
        </w:trPr>
        <w:tc>
          <w:tcPr>
            <w:tcW w:w="0" w:type="auto"/>
            <w:shd w:val="clear" w:color="auto" w:fill="CCEEFF"/>
            <w:vAlign w:val="center"/>
            <w:hideMark/>
          </w:tcPr>
          <w:p w14:paraId="74B996F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EE2217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42A4C2A"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35B8A5C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7BB7CF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EB5A469"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9712F14"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6627F16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565B04D" w14:textId="77777777" w:rsidR="002B5D06" w:rsidRDefault="000B69DD">
            <w:pPr>
              <w:pStyle w:val="NormalWeb"/>
              <w:spacing w:before="0" w:beforeAutospacing="0" w:after="0" w:afterAutospacing="0"/>
              <w:rPr>
                <w:sz w:val="20"/>
                <w:szCs w:val="20"/>
              </w:rPr>
            </w:pPr>
            <w:r>
              <w:rPr>
                <w:sz w:val="20"/>
                <w:szCs w:val="20"/>
              </w:rPr>
              <w:t> </w:t>
            </w:r>
          </w:p>
        </w:tc>
      </w:tr>
      <w:tr w:rsidR="002B5D06" w14:paraId="6857B3E6" w14:textId="77777777">
        <w:trPr>
          <w:divId w:val="1684360448"/>
          <w:trHeight w:val="225"/>
          <w:tblCellSpacing w:w="15" w:type="dxa"/>
          <w:jc w:val="center"/>
        </w:trPr>
        <w:tc>
          <w:tcPr>
            <w:tcW w:w="0" w:type="auto"/>
            <w:shd w:val="clear" w:color="auto" w:fill="FFFFFF"/>
            <w:hideMark/>
          </w:tcPr>
          <w:p w14:paraId="4DD52E86" w14:textId="77777777" w:rsidR="002B5D06" w:rsidRDefault="000B69DD">
            <w:pPr>
              <w:pStyle w:val="NormalWeb"/>
              <w:spacing w:before="0" w:beforeAutospacing="0" w:after="0" w:afterAutospacing="0"/>
              <w:ind w:left="225"/>
              <w:rPr>
                <w:sz w:val="20"/>
                <w:szCs w:val="20"/>
              </w:rPr>
            </w:pPr>
            <w:r>
              <w:rPr>
                <w:sz w:val="20"/>
                <w:szCs w:val="20"/>
              </w:rPr>
              <w:t>Common stock, par value $0.01; at June 30, 2025 and June 30, 2024, authorized 60,000,000 shares; issued and outstanding 3,292,945 and 3,292,945 shares, respectively</w:t>
            </w:r>
          </w:p>
        </w:tc>
        <w:tc>
          <w:tcPr>
            <w:tcW w:w="50" w:type="pct"/>
            <w:shd w:val="clear" w:color="auto" w:fill="FFFFFF"/>
            <w:noWrap/>
            <w:vAlign w:val="center"/>
            <w:hideMark/>
          </w:tcPr>
          <w:p w14:paraId="0666A8F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B6BEC5C"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665751D9" w14:textId="77777777" w:rsidR="002B5D06" w:rsidRDefault="000B69DD">
            <w:pPr>
              <w:jc w:val="right"/>
              <w:rPr>
                <w:rFonts w:eastAsia="Times New Roman"/>
                <w:sz w:val="20"/>
                <w:szCs w:val="20"/>
              </w:rPr>
            </w:pPr>
            <w:r>
              <w:rPr>
                <w:rFonts w:eastAsia="Times New Roman"/>
                <w:sz w:val="20"/>
                <w:szCs w:val="20"/>
              </w:rPr>
              <w:t>32,929</w:t>
            </w:r>
          </w:p>
        </w:tc>
        <w:tc>
          <w:tcPr>
            <w:tcW w:w="50" w:type="pct"/>
            <w:shd w:val="clear" w:color="auto" w:fill="FFFFFF"/>
            <w:noWrap/>
            <w:vAlign w:val="center"/>
            <w:hideMark/>
          </w:tcPr>
          <w:p w14:paraId="3EEBD629"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883C50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22B5B9C"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0466726D" w14:textId="77777777" w:rsidR="002B5D06" w:rsidRDefault="000B69DD">
            <w:pPr>
              <w:jc w:val="right"/>
              <w:rPr>
                <w:rFonts w:eastAsia="Times New Roman"/>
                <w:sz w:val="20"/>
                <w:szCs w:val="20"/>
              </w:rPr>
            </w:pPr>
            <w:r>
              <w:rPr>
                <w:rFonts w:eastAsia="Times New Roman"/>
                <w:sz w:val="20"/>
                <w:szCs w:val="20"/>
              </w:rPr>
              <w:t>32,929</w:t>
            </w:r>
          </w:p>
        </w:tc>
        <w:tc>
          <w:tcPr>
            <w:tcW w:w="50" w:type="pct"/>
            <w:shd w:val="clear" w:color="auto" w:fill="FFFFFF"/>
            <w:noWrap/>
            <w:vAlign w:val="center"/>
            <w:hideMark/>
          </w:tcPr>
          <w:p w14:paraId="694071B9" w14:textId="77777777" w:rsidR="002B5D06" w:rsidRDefault="000B69DD">
            <w:pPr>
              <w:pStyle w:val="NormalWeb"/>
              <w:spacing w:before="0" w:beforeAutospacing="0" w:after="0" w:afterAutospacing="0"/>
              <w:rPr>
                <w:sz w:val="20"/>
                <w:szCs w:val="20"/>
              </w:rPr>
            </w:pPr>
            <w:r>
              <w:rPr>
                <w:sz w:val="20"/>
                <w:szCs w:val="20"/>
              </w:rPr>
              <w:t> </w:t>
            </w:r>
          </w:p>
        </w:tc>
      </w:tr>
      <w:tr w:rsidR="002B5D06" w14:paraId="04C67664" w14:textId="77777777">
        <w:trPr>
          <w:divId w:val="1684360448"/>
          <w:trHeight w:val="225"/>
          <w:tblCellSpacing w:w="15" w:type="dxa"/>
          <w:jc w:val="center"/>
        </w:trPr>
        <w:tc>
          <w:tcPr>
            <w:tcW w:w="0" w:type="auto"/>
            <w:shd w:val="clear" w:color="auto" w:fill="CCEEFF"/>
            <w:vAlign w:val="center"/>
            <w:hideMark/>
          </w:tcPr>
          <w:p w14:paraId="079D7BC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FA1AF5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8CFC192"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1541BD4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607325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D22525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8BE0304"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4C866C6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BF94484" w14:textId="77777777" w:rsidR="002B5D06" w:rsidRDefault="000B69DD">
            <w:pPr>
              <w:pStyle w:val="NormalWeb"/>
              <w:spacing w:before="0" w:beforeAutospacing="0" w:after="0" w:afterAutospacing="0"/>
              <w:rPr>
                <w:sz w:val="20"/>
                <w:szCs w:val="20"/>
              </w:rPr>
            </w:pPr>
            <w:r>
              <w:rPr>
                <w:sz w:val="20"/>
                <w:szCs w:val="20"/>
              </w:rPr>
              <w:t> </w:t>
            </w:r>
          </w:p>
        </w:tc>
      </w:tr>
      <w:tr w:rsidR="002B5D06" w14:paraId="3F3469C5" w14:textId="77777777">
        <w:trPr>
          <w:divId w:val="1684360448"/>
          <w:trHeight w:val="225"/>
          <w:tblCellSpacing w:w="15" w:type="dxa"/>
          <w:jc w:val="center"/>
        </w:trPr>
        <w:tc>
          <w:tcPr>
            <w:tcW w:w="0" w:type="auto"/>
            <w:shd w:val="clear" w:color="auto" w:fill="FFFFFF"/>
            <w:hideMark/>
          </w:tcPr>
          <w:p w14:paraId="4CB88629" w14:textId="77777777" w:rsidR="002B5D06" w:rsidRDefault="000B69DD">
            <w:pPr>
              <w:pStyle w:val="NormalWeb"/>
              <w:spacing w:before="0" w:beforeAutospacing="0" w:after="0" w:afterAutospacing="0"/>
              <w:ind w:left="225"/>
              <w:rPr>
                <w:sz w:val="20"/>
                <w:szCs w:val="20"/>
              </w:rPr>
            </w:pPr>
            <w:r>
              <w:rPr>
                <w:sz w:val="20"/>
                <w:szCs w:val="20"/>
              </w:rPr>
              <w:t>Additional paid-in capital</w:t>
            </w:r>
          </w:p>
        </w:tc>
        <w:tc>
          <w:tcPr>
            <w:tcW w:w="50" w:type="pct"/>
            <w:shd w:val="clear" w:color="auto" w:fill="FFFFFF"/>
            <w:noWrap/>
            <w:vAlign w:val="center"/>
            <w:hideMark/>
          </w:tcPr>
          <w:p w14:paraId="5DFFB6B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610C8C5"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3CF2FBF1" w14:textId="77777777" w:rsidR="002B5D06" w:rsidRDefault="000B69DD">
            <w:pPr>
              <w:jc w:val="right"/>
              <w:rPr>
                <w:rFonts w:eastAsia="Times New Roman"/>
                <w:sz w:val="20"/>
                <w:szCs w:val="20"/>
              </w:rPr>
            </w:pPr>
            <w:r>
              <w:rPr>
                <w:rFonts w:eastAsia="Times New Roman"/>
                <w:sz w:val="20"/>
                <w:szCs w:val="20"/>
              </w:rPr>
              <w:t>21,057,116</w:t>
            </w:r>
          </w:p>
        </w:tc>
        <w:tc>
          <w:tcPr>
            <w:tcW w:w="50" w:type="pct"/>
            <w:shd w:val="clear" w:color="auto" w:fill="FFFFFF"/>
            <w:noWrap/>
            <w:vAlign w:val="center"/>
            <w:hideMark/>
          </w:tcPr>
          <w:p w14:paraId="50B8263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39FDC4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6D1B19B"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15977B27" w14:textId="77777777" w:rsidR="002B5D06" w:rsidRDefault="000B69DD">
            <w:pPr>
              <w:jc w:val="right"/>
              <w:rPr>
                <w:rFonts w:eastAsia="Times New Roman"/>
                <w:sz w:val="20"/>
                <w:szCs w:val="20"/>
              </w:rPr>
            </w:pPr>
            <w:r>
              <w:rPr>
                <w:rFonts w:eastAsia="Times New Roman"/>
                <w:sz w:val="20"/>
                <w:szCs w:val="20"/>
              </w:rPr>
              <w:t>21,057,116</w:t>
            </w:r>
          </w:p>
        </w:tc>
        <w:tc>
          <w:tcPr>
            <w:tcW w:w="50" w:type="pct"/>
            <w:shd w:val="clear" w:color="auto" w:fill="FFFFFF"/>
            <w:noWrap/>
            <w:vAlign w:val="center"/>
            <w:hideMark/>
          </w:tcPr>
          <w:p w14:paraId="6F5C3399" w14:textId="77777777" w:rsidR="002B5D06" w:rsidRDefault="000B69DD">
            <w:pPr>
              <w:pStyle w:val="NormalWeb"/>
              <w:spacing w:before="0" w:beforeAutospacing="0" w:after="0" w:afterAutospacing="0"/>
              <w:rPr>
                <w:sz w:val="20"/>
                <w:szCs w:val="20"/>
              </w:rPr>
            </w:pPr>
            <w:r>
              <w:rPr>
                <w:sz w:val="20"/>
                <w:szCs w:val="20"/>
              </w:rPr>
              <w:t> </w:t>
            </w:r>
          </w:p>
        </w:tc>
      </w:tr>
      <w:tr w:rsidR="002B5D06" w14:paraId="12F2A088" w14:textId="77777777">
        <w:trPr>
          <w:divId w:val="1684360448"/>
          <w:trHeight w:val="225"/>
          <w:tblCellSpacing w:w="15" w:type="dxa"/>
          <w:jc w:val="center"/>
        </w:trPr>
        <w:tc>
          <w:tcPr>
            <w:tcW w:w="0" w:type="auto"/>
            <w:shd w:val="clear" w:color="auto" w:fill="CCEEFF"/>
            <w:vAlign w:val="center"/>
            <w:hideMark/>
          </w:tcPr>
          <w:p w14:paraId="58CA87B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CC4D5C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6497DB8"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5C68DAA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D9823B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09ED31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813CD67"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6ABBB1E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DA58BD8" w14:textId="77777777" w:rsidR="002B5D06" w:rsidRDefault="000B69DD">
            <w:pPr>
              <w:pStyle w:val="NormalWeb"/>
              <w:spacing w:before="0" w:beforeAutospacing="0" w:after="0" w:afterAutospacing="0"/>
              <w:rPr>
                <w:sz w:val="20"/>
                <w:szCs w:val="20"/>
              </w:rPr>
            </w:pPr>
            <w:r>
              <w:rPr>
                <w:sz w:val="20"/>
                <w:szCs w:val="20"/>
              </w:rPr>
              <w:t> </w:t>
            </w:r>
          </w:p>
        </w:tc>
      </w:tr>
      <w:tr w:rsidR="002B5D06" w14:paraId="58859D14" w14:textId="77777777">
        <w:trPr>
          <w:divId w:val="1684360448"/>
          <w:trHeight w:val="225"/>
          <w:tblCellSpacing w:w="15" w:type="dxa"/>
          <w:jc w:val="center"/>
        </w:trPr>
        <w:tc>
          <w:tcPr>
            <w:tcW w:w="0" w:type="auto"/>
            <w:shd w:val="clear" w:color="auto" w:fill="FFFFFF"/>
            <w:hideMark/>
          </w:tcPr>
          <w:p w14:paraId="01054AB1" w14:textId="77777777" w:rsidR="002B5D06" w:rsidRDefault="000B69DD">
            <w:pPr>
              <w:pStyle w:val="NormalWeb"/>
              <w:spacing w:before="0" w:beforeAutospacing="0" w:after="0" w:afterAutospacing="0"/>
              <w:ind w:left="225"/>
              <w:rPr>
                <w:sz w:val="20"/>
                <w:szCs w:val="20"/>
              </w:rPr>
            </w:pPr>
            <w:r>
              <w:rPr>
                <w:sz w:val="20"/>
                <w:szCs w:val="20"/>
              </w:rPr>
              <w:t>Accumulated other comprehensive income</w:t>
            </w:r>
          </w:p>
        </w:tc>
        <w:tc>
          <w:tcPr>
            <w:tcW w:w="50" w:type="pct"/>
            <w:shd w:val="clear" w:color="auto" w:fill="FFFFFF"/>
            <w:noWrap/>
            <w:vAlign w:val="center"/>
            <w:hideMark/>
          </w:tcPr>
          <w:p w14:paraId="430F0E2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39E4A81"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5A9D0A7B" w14:textId="77777777" w:rsidR="002B5D06" w:rsidRDefault="000B69DD">
            <w:pPr>
              <w:jc w:val="right"/>
              <w:rPr>
                <w:rFonts w:eastAsia="Times New Roman"/>
                <w:sz w:val="20"/>
                <w:szCs w:val="20"/>
              </w:rPr>
            </w:pPr>
            <w:r>
              <w:rPr>
                <w:rFonts w:eastAsia="Times New Roman"/>
                <w:sz w:val="20"/>
                <w:szCs w:val="20"/>
              </w:rPr>
              <w:t>78,152</w:t>
            </w:r>
          </w:p>
        </w:tc>
        <w:tc>
          <w:tcPr>
            <w:tcW w:w="50" w:type="pct"/>
            <w:shd w:val="clear" w:color="auto" w:fill="FFFFFF"/>
            <w:noWrap/>
            <w:vAlign w:val="center"/>
            <w:hideMark/>
          </w:tcPr>
          <w:p w14:paraId="55A805C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9F3394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2E92E49"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76A18A05" w14:textId="77777777" w:rsidR="002B5D06" w:rsidRDefault="000B69DD">
            <w:pPr>
              <w:jc w:val="right"/>
              <w:rPr>
                <w:rFonts w:eastAsia="Times New Roman"/>
                <w:sz w:val="20"/>
                <w:szCs w:val="20"/>
              </w:rPr>
            </w:pPr>
            <w:r>
              <w:rPr>
                <w:rFonts w:eastAsia="Times New Roman"/>
                <w:sz w:val="20"/>
                <w:szCs w:val="20"/>
              </w:rPr>
              <w:t>8,613</w:t>
            </w:r>
          </w:p>
        </w:tc>
        <w:tc>
          <w:tcPr>
            <w:tcW w:w="50" w:type="pct"/>
            <w:shd w:val="clear" w:color="auto" w:fill="FFFFFF"/>
            <w:noWrap/>
            <w:vAlign w:val="center"/>
            <w:hideMark/>
          </w:tcPr>
          <w:p w14:paraId="2E38EA69" w14:textId="77777777" w:rsidR="002B5D06" w:rsidRDefault="000B69DD">
            <w:pPr>
              <w:pStyle w:val="NormalWeb"/>
              <w:spacing w:before="0" w:beforeAutospacing="0" w:after="0" w:afterAutospacing="0"/>
              <w:rPr>
                <w:sz w:val="20"/>
                <w:szCs w:val="20"/>
              </w:rPr>
            </w:pPr>
            <w:r>
              <w:rPr>
                <w:sz w:val="20"/>
                <w:szCs w:val="20"/>
              </w:rPr>
              <w:t> </w:t>
            </w:r>
          </w:p>
        </w:tc>
      </w:tr>
      <w:tr w:rsidR="002B5D06" w14:paraId="4942C9D1" w14:textId="77777777">
        <w:trPr>
          <w:divId w:val="1684360448"/>
          <w:trHeight w:val="225"/>
          <w:tblCellSpacing w:w="15" w:type="dxa"/>
          <w:jc w:val="center"/>
        </w:trPr>
        <w:tc>
          <w:tcPr>
            <w:tcW w:w="0" w:type="auto"/>
            <w:shd w:val="clear" w:color="auto" w:fill="CCEEFF"/>
            <w:vAlign w:val="center"/>
            <w:hideMark/>
          </w:tcPr>
          <w:p w14:paraId="18E7E76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3A60E4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47F614F"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05C4FC8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1187EF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3CAAA5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0F657ED"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2597E409"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F13E4F1" w14:textId="77777777" w:rsidR="002B5D06" w:rsidRDefault="000B69DD">
            <w:pPr>
              <w:pStyle w:val="NormalWeb"/>
              <w:spacing w:before="0" w:beforeAutospacing="0" w:after="0" w:afterAutospacing="0"/>
              <w:rPr>
                <w:sz w:val="20"/>
                <w:szCs w:val="20"/>
              </w:rPr>
            </w:pPr>
            <w:r>
              <w:rPr>
                <w:sz w:val="20"/>
                <w:szCs w:val="20"/>
              </w:rPr>
              <w:t> </w:t>
            </w:r>
          </w:p>
        </w:tc>
      </w:tr>
      <w:tr w:rsidR="002B5D06" w14:paraId="51AF5D62" w14:textId="77777777">
        <w:trPr>
          <w:divId w:val="1684360448"/>
          <w:trHeight w:val="225"/>
          <w:tblCellSpacing w:w="15" w:type="dxa"/>
          <w:jc w:val="center"/>
        </w:trPr>
        <w:tc>
          <w:tcPr>
            <w:tcW w:w="0" w:type="auto"/>
            <w:shd w:val="clear" w:color="auto" w:fill="FFFFFF"/>
            <w:hideMark/>
          </w:tcPr>
          <w:p w14:paraId="22452FB8" w14:textId="77777777" w:rsidR="002B5D06" w:rsidRDefault="000B69DD">
            <w:pPr>
              <w:pStyle w:val="NormalWeb"/>
              <w:spacing w:before="0" w:beforeAutospacing="0" w:after="0" w:afterAutospacing="0"/>
              <w:ind w:left="225"/>
              <w:rPr>
                <w:sz w:val="20"/>
                <w:szCs w:val="20"/>
              </w:rPr>
            </w:pPr>
            <w:r>
              <w:rPr>
                <w:sz w:val="20"/>
                <w:szCs w:val="20"/>
              </w:rPr>
              <w:t>Accumulated deficit</w:t>
            </w:r>
          </w:p>
        </w:tc>
        <w:tc>
          <w:tcPr>
            <w:tcW w:w="50" w:type="pct"/>
            <w:shd w:val="clear" w:color="auto" w:fill="FFFFFF"/>
            <w:noWrap/>
            <w:vAlign w:val="center"/>
            <w:hideMark/>
          </w:tcPr>
          <w:p w14:paraId="534462AF"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18AC04D"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42FFEC97" w14:textId="77777777" w:rsidR="002B5D06" w:rsidRDefault="000B69DD">
            <w:pPr>
              <w:jc w:val="right"/>
              <w:rPr>
                <w:rFonts w:eastAsia="Times New Roman"/>
                <w:sz w:val="20"/>
                <w:szCs w:val="20"/>
              </w:rPr>
            </w:pPr>
            <w:r>
              <w:rPr>
                <w:rFonts w:eastAsia="Times New Roman"/>
                <w:sz w:val="20"/>
                <w:szCs w:val="20"/>
              </w:rPr>
              <w:t xml:space="preserve">(20,752,633 </w:t>
            </w:r>
          </w:p>
        </w:tc>
        <w:tc>
          <w:tcPr>
            <w:tcW w:w="50" w:type="pct"/>
            <w:shd w:val="clear" w:color="auto" w:fill="FFFFFF"/>
            <w:noWrap/>
            <w:tcMar>
              <w:top w:w="0" w:type="dxa"/>
              <w:left w:w="0" w:type="dxa"/>
              <w:bottom w:w="15" w:type="dxa"/>
              <w:right w:w="0" w:type="dxa"/>
            </w:tcMar>
            <w:vAlign w:val="bottom"/>
            <w:hideMark/>
          </w:tcPr>
          <w:p w14:paraId="6F24338C" w14:textId="77777777" w:rsidR="002B5D06" w:rsidRDefault="000B69DD">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5ADA6D3B"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89D5584"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16E65DB5" w14:textId="77777777" w:rsidR="002B5D06" w:rsidRDefault="000B69DD">
            <w:pPr>
              <w:jc w:val="right"/>
              <w:rPr>
                <w:rFonts w:eastAsia="Times New Roman"/>
                <w:sz w:val="20"/>
                <w:szCs w:val="20"/>
              </w:rPr>
            </w:pPr>
            <w:r>
              <w:rPr>
                <w:rFonts w:eastAsia="Times New Roman"/>
                <w:sz w:val="20"/>
                <w:szCs w:val="20"/>
              </w:rPr>
              <w:t xml:space="preserve">(20,756,771 </w:t>
            </w:r>
          </w:p>
        </w:tc>
        <w:tc>
          <w:tcPr>
            <w:tcW w:w="50" w:type="pct"/>
            <w:shd w:val="clear" w:color="auto" w:fill="FFFFFF"/>
            <w:noWrap/>
            <w:tcMar>
              <w:top w:w="0" w:type="dxa"/>
              <w:left w:w="0" w:type="dxa"/>
              <w:bottom w:w="15" w:type="dxa"/>
              <w:right w:w="0" w:type="dxa"/>
            </w:tcMar>
            <w:vAlign w:val="bottom"/>
            <w:hideMark/>
          </w:tcPr>
          <w:p w14:paraId="1EA59770" w14:textId="77777777" w:rsidR="002B5D06" w:rsidRDefault="000B69DD">
            <w:pPr>
              <w:rPr>
                <w:rFonts w:eastAsia="Times New Roman"/>
                <w:sz w:val="20"/>
                <w:szCs w:val="20"/>
              </w:rPr>
            </w:pPr>
            <w:r>
              <w:rPr>
                <w:rFonts w:eastAsia="Times New Roman"/>
                <w:sz w:val="20"/>
                <w:szCs w:val="20"/>
              </w:rPr>
              <w:t>)</w:t>
            </w:r>
          </w:p>
        </w:tc>
      </w:tr>
      <w:tr w:rsidR="002B5D06" w14:paraId="50819C17" w14:textId="77777777">
        <w:trPr>
          <w:divId w:val="1684360448"/>
          <w:trHeight w:val="225"/>
          <w:tblCellSpacing w:w="15" w:type="dxa"/>
          <w:jc w:val="center"/>
        </w:trPr>
        <w:tc>
          <w:tcPr>
            <w:tcW w:w="0" w:type="auto"/>
            <w:shd w:val="clear" w:color="auto" w:fill="CCEEFF"/>
            <w:vAlign w:val="center"/>
            <w:hideMark/>
          </w:tcPr>
          <w:p w14:paraId="4F9E4D3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70453C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C0EC040"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6CF2319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266302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550F83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E503A57"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76DAF0F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85A6FD8" w14:textId="77777777" w:rsidR="002B5D06" w:rsidRDefault="000B69DD">
            <w:pPr>
              <w:pStyle w:val="NormalWeb"/>
              <w:spacing w:before="0" w:beforeAutospacing="0" w:after="0" w:afterAutospacing="0"/>
              <w:rPr>
                <w:sz w:val="20"/>
                <w:szCs w:val="20"/>
              </w:rPr>
            </w:pPr>
            <w:r>
              <w:rPr>
                <w:sz w:val="20"/>
                <w:szCs w:val="20"/>
              </w:rPr>
              <w:t> </w:t>
            </w:r>
          </w:p>
        </w:tc>
      </w:tr>
      <w:tr w:rsidR="002B5D06" w14:paraId="55DA2C7C" w14:textId="77777777">
        <w:trPr>
          <w:divId w:val="1684360448"/>
          <w:trHeight w:val="225"/>
          <w:tblCellSpacing w:w="15" w:type="dxa"/>
          <w:jc w:val="center"/>
        </w:trPr>
        <w:tc>
          <w:tcPr>
            <w:tcW w:w="0" w:type="auto"/>
            <w:shd w:val="clear" w:color="auto" w:fill="FFFFFF"/>
            <w:hideMark/>
          </w:tcPr>
          <w:p w14:paraId="174E0A68" w14:textId="77777777" w:rsidR="002B5D06" w:rsidRDefault="000B69DD">
            <w:pPr>
              <w:pStyle w:val="NormalWeb"/>
              <w:spacing w:before="0" w:beforeAutospacing="0" w:after="0" w:afterAutospacing="0"/>
              <w:ind w:left="225"/>
              <w:rPr>
                <w:sz w:val="20"/>
                <w:szCs w:val="20"/>
              </w:rPr>
            </w:pPr>
            <w:r>
              <w:rPr>
                <w:sz w:val="20"/>
                <w:szCs w:val="20"/>
              </w:rPr>
              <w:t>TOTAL STOCKHOLDERS’ EQUITY</w:t>
            </w:r>
          </w:p>
        </w:tc>
        <w:tc>
          <w:tcPr>
            <w:tcW w:w="50" w:type="pct"/>
            <w:shd w:val="clear" w:color="auto" w:fill="FFFFFF"/>
            <w:noWrap/>
            <w:vAlign w:val="center"/>
            <w:hideMark/>
          </w:tcPr>
          <w:p w14:paraId="27F1E869"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66DD991"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F4045D9" w14:textId="77777777" w:rsidR="002B5D06" w:rsidRDefault="000B69DD">
            <w:pPr>
              <w:jc w:val="right"/>
              <w:rPr>
                <w:rFonts w:eastAsia="Times New Roman"/>
                <w:sz w:val="20"/>
                <w:szCs w:val="20"/>
              </w:rPr>
            </w:pPr>
            <w:r>
              <w:rPr>
                <w:rFonts w:eastAsia="Times New Roman"/>
                <w:sz w:val="20"/>
                <w:szCs w:val="20"/>
              </w:rPr>
              <w:t>415,614</w:t>
            </w:r>
          </w:p>
        </w:tc>
        <w:tc>
          <w:tcPr>
            <w:tcW w:w="50" w:type="pct"/>
            <w:shd w:val="clear" w:color="auto" w:fill="FFFFFF"/>
            <w:noWrap/>
            <w:tcMar>
              <w:top w:w="0" w:type="dxa"/>
              <w:left w:w="0" w:type="dxa"/>
              <w:bottom w:w="15" w:type="dxa"/>
              <w:right w:w="0" w:type="dxa"/>
            </w:tcMar>
            <w:vAlign w:val="center"/>
            <w:hideMark/>
          </w:tcPr>
          <w:p w14:paraId="1FC47C3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FDCF58F"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AC54AA9"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2DCE1BD3" w14:textId="77777777" w:rsidR="002B5D06" w:rsidRDefault="000B69DD">
            <w:pPr>
              <w:jc w:val="right"/>
              <w:rPr>
                <w:rFonts w:eastAsia="Times New Roman"/>
                <w:sz w:val="20"/>
                <w:szCs w:val="20"/>
              </w:rPr>
            </w:pPr>
            <w:r>
              <w:rPr>
                <w:rFonts w:eastAsia="Times New Roman"/>
                <w:sz w:val="20"/>
                <w:szCs w:val="20"/>
              </w:rPr>
              <w:t>341,937</w:t>
            </w:r>
          </w:p>
        </w:tc>
        <w:tc>
          <w:tcPr>
            <w:tcW w:w="50" w:type="pct"/>
            <w:shd w:val="clear" w:color="auto" w:fill="FFFFFF"/>
            <w:noWrap/>
            <w:tcMar>
              <w:top w:w="0" w:type="dxa"/>
              <w:left w:w="0" w:type="dxa"/>
              <w:bottom w:w="15" w:type="dxa"/>
              <w:right w:w="0" w:type="dxa"/>
            </w:tcMar>
            <w:vAlign w:val="center"/>
            <w:hideMark/>
          </w:tcPr>
          <w:p w14:paraId="570E2CD1" w14:textId="77777777" w:rsidR="002B5D06" w:rsidRDefault="000B69DD">
            <w:pPr>
              <w:pStyle w:val="NormalWeb"/>
              <w:spacing w:before="0" w:beforeAutospacing="0" w:after="0" w:afterAutospacing="0"/>
              <w:rPr>
                <w:sz w:val="20"/>
                <w:szCs w:val="20"/>
              </w:rPr>
            </w:pPr>
            <w:r>
              <w:rPr>
                <w:sz w:val="20"/>
                <w:szCs w:val="20"/>
              </w:rPr>
              <w:t> </w:t>
            </w:r>
          </w:p>
        </w:tc>
      </w:tr>
      <w:tr w:rsidR="002B5D06" w14:paraId="7FF72DA3" w14:textId="77777777">
        <w:trPr>
          <w:divId w:val="1684360448"/>
          <w:trHeight w:val="225"/>
          <w:tblCellSpacing w:w="15" w:type="dxa"/>
          <w:jc w:val="center"/>
        </w:trPr>
        <w:tc>
          <w:tcPr>
            <w:tcW w:w="0" w:type="auto"/>
            <w:shd w:val="clear" w:color="auto" w:fill="CCEEFF"/>
            <w:hideMark/>
          </w:tcPr>
          <w:p w14:paraId="2DE973BB" w14:textId="77777777" w:rsidR="002B5D06" w:rsidRDefault="000B69DD">
            <w:pPr>
              <w:pStyle w:val="NormalWeb"/>
              <w:spacing w:before="0" w:beforeAutospacing="0" w:after="0" w:afterAutospacing="0"/>
              <w:rPr>
                <w:sz w:val="20"/>
                <w:szCs w:val="20"/>
              </w:rPr>
            </w:pPr>
            <w:r>
              <w:rPr>
                <w:rStyle w:val="Strong"/>
                <w:sz w:val="20"/>
                <w:szCs w:val="20"/>
              </w:rPr>
              <w:t>TOTAL LIABILITIES AND STOCKHOLDERS’ EQUITY</w:t>
            </w:r>
          </w:p>
        </w:tc>
        <w:tc>
          <w:tcPr>
            <w:tcW w:w="50" w:type="pct"/>
            <w:shd w:val="clear" w:color="auto" w:fill="CCEEFF"/>
            <w:noWrap/>
            <w:vAlign w:val="center"/>
            <w:hideMark/>
          </w:tcPr>
          <w:p w14:paraId="700988E0"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38D4DF34" w14:textId="77777777" w:rsidR="002B5D06" w:rsidRDefault="000B69DD">
            <w:pPr>
              <w:rPr>
                <w:rFonts w:eastAsia="Times New Roman"/>
                <w:sz w:val="20"/>
                <w:szCs w:val="20"/>
              </w:rPr>
            </w:pPr>
            <w:r>
              <w:rPr>
                <w:rStyle w:val="Strong"/>
                <w:rFonts w:eastAsia="Times New Roman"/>
                <w:sz w:val="20"/>
                <w:szCs w:val="20"/>
              </w:rPr>
              <w:t>$</w:t>
            </w:r>
          </w:p>
        </w:tc>
        <w:tc>
          <w:tcPr>
            <w:tcW w:w="450" w:type="pct"/>
            <w:tcBorders>
              <w:bottom w:val="double" w:sz="6" w:space="0" w:color="auto"/>
            </w:tcBorders>
            <w:shd w:val="clear" w:color="auto" w:fill="CCEEFF"/>
            <w:vAlign w:val="bottom"/>
            <w:hideMark/>
          </w:tcPr>
          <w:p w14:paraId="5983A209" w14:textId="77777777" w:rsidR="002B5D06" w:rsidRDefault="000B69DD">
            <w:pPr>
              <w:jc w:val="right"/>
              <w:rPr>
                <w:rFonts w:eastAsia="Times New Roman"/>
                <w:sz w:val="20"/>
                <w:szCs w:val="20"/>
              </w:rPr>
            </w:pPr>
            <w:r>
              <w:rPr>
                <w:rStyle w:val="Strong"/>
                <w:rFonts w:eastAsia="Times New Roman"/>
                <w:sz w:val="20"/>
                <w:szCs w:val="20"/>
              </w:rPr>
              <w:t>693,077</w:t>
            </w:r>
          </w:p>
        </w:tc>
        <w:tc>
          <w:tcPr>
            <w:tcW w:w="50" w:type="pct"/>
            <w:shd w:val="clear" w:color="auto" w:fill="CCEEFF"/>
            <w:noWrap/>
            <w:tcMar>
              <w:top w:w="0" w:type="dxa"/>
              <w:left w:w="0" w:type="dxa"/>
              <w:bottom w:w="45" w:type="dxa"/>
              <w:right w:w="0" w:type="dxa"/>
            </w:tcMar>
            <w:vAlign w:val="center"/>
            <w:hideMark/>
          </w:tcPr>
          <w:p w14:paraId="29EC0C7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FA5DE02"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7942CAD7" w14:textId="77777777" w:rsidR="002B5D06" w:rsidRDefault="000B69DD">
            <w:pPr>
              <w:rPr>
                <w:rFonts w:eastAsia="Times New Roman"/>
                <w:sz w:val="20"/>
                <w:szCs w:val="20"/>
              </w:rPr>
            </w:pPr>
            <w:r>
              <w:rPr>
                <w:rStyle w:val="Strong"/>
                <w:rFonts w:eastAsia="Times New Roman"/>
                <w:sz w:val="20"/>
                <w:szCs w:val="20"/>
              </w:rPr>
              <w:t>$</w:t>
            </w:r>
          </w:p>
        </w:tc>
        <w:tc>
          <w:tcPr>
            <w:tcW w:w="450" w:type="pct"/>
            <w:tcBorders>
              <w:bottom w:val="double" w:sz="6" w:space="0" w:color="auto"/>
            </w:tcBorders>
            <w:shd w:val="clear" w:color="auto" w:fill="CCEEFF"/>
            <w:vAlign w:val="bottom"/>
            <w:hideMark/>
          </w:tcPr>
          <w:p w14:paraId="126C8B53" w14:textId="77777777" w:rsidR="002B5D06" w:rsidRDefault="000B69DD">
            <w:pPr>
              <w:jc w:val="right"/>
              <w:rPr>
                <w:rFonts w:eastAsia="Times New Roman"/>
                <w:sz w:val="20"/>
                <w:szCs w:val="20"/>
              </w:rPr>
            </w:pPr>
            <w:r>
              <w:rPr>
                <w:rStyle w:val="Strong"/>
                <w:rFonts w:eastAsia="Times New Roman"/>
                <w:sz w:val="20"/>
                <w:szCs w:val="20"/>
              </w:rPr>
              <w:t>675,214</w:t>
            </w:r>
          </w:p>
        </w:tc>
        <w:tc>
          <w:tcPr>
            <w:tcW w:w="50" w:type="pct"/>
            <w:shd w:val="clear" w:color="auto" w:fill="CCEEFF"/>
            <w:noWrap/>
            <w:tcMar>
              <w:top w:w="0" w:type="dxa"/>
              <w:left w:w="0" w:type="dxa"/>
              <w:bottom w:w="45" w:type="dxa"/>
              <w:right w:w="0" w:type="dxa"/>
            </w:tcMar>
            <w:vAlign w:val="center"/>
            <w:hideMark/>
          </w:tcPr>
          <w:p w14:paraId="6929B44F" w14:textId="77777777" w:rsidR="002B5D06" w:rsidRDefault="000B69DD">
            <w:pPr>
              <w:pStyle w:val="NormalWeb"/>
              <w:spacing w:before="0" w:beforeAutospacing="0" w:after="0" w:afterAutospacing="0"/>
              <w:rPr>
                <w:sz w:val="20"/>
                <w:szCs w:val="20"/>
              </w:rPr>
            </w:pPr>
            <w:r>
              <w:rPr>
                <w:sz w:val="20"/>
                <w:szCs w:val="20"/>
              </w:rPr>
              <w:t> </w:t>
            </w:r>
          </w:p>
        </w:tc>
      </w:tr>
    </w:tbl>
    <w:p w14:paraId="489EB87B"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0C1820AD" w14:textId="77777777" w:rsidR="002B5D06" w:rsidRDefault="000B69DD">
      <w:pPr>
        <w:pStyle w:val="NormalWeb"/>
        <w:spacing w:before="0" w:beforeAutospacing="0" w:after="0" w:afterAutospacing="0"/>
        <w:jc w:val="center"/>
        <w:divId w:val="1684360448"/>
        <w:rPr>
          <w:sz w:val="20"/>
          <w:szCs w:val="20"/>
        </w:rPr>
      </w:pPr>
      <w:r>
        <w:rPr>
          <w:rStyle w:val="Strong"/>
          <w:sz w:val="20"/>
          <w:szCs w:val="20"/>
        </w:rPr>
        <w:t>See accompanying notes to consolidated financial statements.</w:t>
      </w:r>
    </w:p>
    <w:p w14:paraId="14AA4619" w14:textId="77777777" w:rsidR="002B5D06" w:rsidRDefault="000B69DD">
      <w:pPr>
        <w:pStyle w:val="NormalWeb"/>
        <w:spacing w:before="0" w:beforeAutospacing="0" w:after="0" w:afterAutospacing="0"/>
        <w:jc w:val="center"/>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09192EA0" w14:textId="77777777">
        <w:trPr>
          <w:divId w:val="1684360448"/>
          <w:trHeight w:val="225"/>
          <w:tblCellSpacing w:w="15" w:type="dxa"/>
          <w:jc w:val="center"/>
        </w:trPr>
        <w:tc>
          <w:tcPr>
            <w:tcW w:w="0" w:type="auto"/>
            <w:vAlign w:val="center"/>
            <w:hideMark/>
          </w:tcPr>
          <w:p w14:paraId="634FD7DD" w14:textId="77777777" w:rsidR="002B5D06" w:rsidRDefault="000B69DD">
            <w:pPr>
              <w:rPr>
                <w:rFonts w:eastAsia="Times New Roman"/>
                <w:sz w:val="20"/>
                <w:szCs w:val="20"/>
              </w:rPr>
            </w:pPr>
            <w:r>
              <w:rPr>
                <w:rFonts w:eastAsia="Times New Roman"/>
                <w:sz w:val="20"/>
                <w:szCs w:val="20"/>
              </w:rPr>
              <w:t> </w:t>
            </w:r>
          </w:p>
        </w:tc>
      </w:tr>
      <w:tr w:rsidR="002B5D06" w14:paraId="7974FEDE" w14:textId="77777777">
        <w:trPr>
          <w:divId w:val="1684360448"/>
          <w:trHeight w:val="225"/>
          <w:tblCellSpacing w:w="15" w:type="dxa"/>
          <w:jc w:val="center"/>
        </w:trPr>
        <w:tc>
          <w:tcPr>
            <w:tcW w:w="0" w:type="auto"/>
            <w:tcBorders>
              <w:bottom w:val="single" w:sz="6" w:space="0" w:color="000000"/>
            </w:tcBorders>
            <w:vAlign w:val="center"/>
            <w:hideMark/>
          </w:tcPr>
          <w:p w14:paraId="261E74D6" w14:textId="77777777" w:rsidR="002B5D06" w:rsidRDefault="000B69DD">
            <w:pPr>
              <w:jc w:val="center"/>
              <w:rPr>
                <w:rFonts w:eastAsia="Times New Roman"/>
                <w:sz w:val="20"/>
                <w:szCs w:val="20"/>
              </w:rPr>
            </w:pPr>
            <w:r>
              <w:rPr>
                <w:rFonts w:eastAsia="Times New Roman"/>
                <w:sz w:val="20"/>
                <w:szCs w:val="20"/>
              </w:rPr>
              <w:t>F-3</w:t>
            </w:r>
          </w:p>
        </w:tc>
      </w:tr>
      <w:tr w:rsidR="002B5D06" w14:paraId="19138C52" w14:textId="77777777">
        <w:trPr>
          <w:divId w:val="1684360448"/>
          <w:trHeight w:val="225"/>
          <w:tblCellSpacing w:w="15" w:type="dxa"/>
          <w:jc w:val="center"/>
        </w:trPr>
        <w:tc>
          <w:tcPr>
            <w:tcW w:w="0" w:type="auto"/>
            <w:vAlign w:val="center"/>
            <w:hideMark/>
          </w:tcPr>
          <w:p w14:paraId="186295A5" w14:textId="77777777" w:rsidR="002B5D06" w:rsidRDefault="002B5D06">
            <w:pPr>
              <w:rPr>
                <w:rFonts w:eastAsia="Times New Roman"/>
                <w:sz w:val="20"/>
                <w:szCs w:val="20"/>
              </w:rPr>
            </w:pPr>
          </w:p>
        </w:tc>
      </w:tr>
      <w:tr w:rsidR="002B5D06" w14:paraId="3F75C8F3" w14:textId="77777777">
        <w:trPr>
          <w:divId w:val="1684360448"/>
          <w:trHeight w:val="225"/>
          <w:tblCellSpacing w:w="15" w:type="dxa"/>
          <w:jc w:val="center"/>
        </w:trPr>
        <w:tc>
          <w:tcPr>
            <w:tcW w:w="0" w:type="auto"/>
            <w:vAlign w:val="center"/>
            <w:hideMark/>
          </w:tcPr>
          <w:p w14:paraId="1DFAF42B" w14:textId="77777777" w:rsidR="002B5D06" w:rsidRDefault="002B5D06">
            <w:pPr>
              <w:rPr>
                <w:rFonts w:eastAsia="Times New Roman"/>
                <w:sz w:val="20"/>
                <w:szCs w:val="20"/>
              </w:rPr>
            </w:pPr>
          </w:p>
        </w:tc>
      </w:tr>
    </w:tbl>
    <w:p w14:paraId="24AAD604"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48E112B9" w14:textId="77777777" w:rsidR="002B5D06" w:rsidRDefault="000B69DD">
      <w:pPr>
        <w:pStyle w:val="NormalWeb"/>
        <w:spacing w:before="0" w:beforeAutospacing="0" w:after="0" w:afterAutospacing="0"/>
        <w:divId w:val="1684360448"/>
        <w:rPr>
          <w:sz w:val="20"/>
          <w:szCs w:val="20"/>
        </w:rPr>
      </w:pPr>
      <w:r>
        <w:rPr>
          <w:sz w:val="20"/>
          <w:szCs w:val="20"/>
        </w:rPr>
        <w:t>  </w:t>
      </w:r>
    </w:p>
    <w:p w14:paraId="7D9810AE" w14:textId="77777777" w:rsidR="002B5D06" w:rsidRDefault="000B69DD">
      <w:pPr>
        <w:pStyle w:val="NormalWeb"/>
        <w:spacing w:before="0" w:beforeAutospacing="0" w:after="0" w:afterAutospacing="0"/>
        <w:jc w:val="center"/>
        <w:divId w:val="1684360448"/>
        <w:rPr>
          <w:sz w:val="20"/>
          <w:szCs w:val="20"/>
        </w:rPr>
      </w:pPr>
      <w:r>
        <w:rPr>
          <w:rStyle w:val="Strong"/>
          <w:sz w:val="20"/>
          <w:szCs w:val="20"/>
        </w:rPr>
        <w:t>ADVANCED OXYGEN TECHNOLOGIES, INC.</w:t>
      </w:r>
    </w:p>
    <w:p w14:paraId="4DC4DC5F" w14:textId="77777777" w:rsidR="002B5D06" w:rsidRDefault="000B69DD">
      <w:pPr>
        <w:pStyle w:val="NormalWeb"/>
        <w:spacing w:before="0" w:beforeAutospacing="0" w:after="0" w:afterAutospacing="0"/>
        <w:jc w:val="center"/>
        <w:divId w:val="1684360448"/>
        <w:rPr>
          <w:sz w:val="20"/>
          <w:szCs w:val="20"/>
        </w:rPr>
      </w:pPr>
      <w:r>
        <w:rPr>
          <w:rStyle w:val="Strong"/>
          <w:sz w:val="20"/>
          <w:szCs w:val="20"/>
        </w:rPr>
        <w:t>AND SUBSIDIARIES</w:t>
      </w:r>
    </w:p>
    <w:p w14:paraId="1446F76A" w14:textId="77777777" w:rsidR="002B5D06" w:rsidRDefault="000B69DD">
      <w:pPr>
        <w:pStyle w:val="NormalWeb"/>
        <w:spacing w:before="0" w:beforeAutospacing="0" w:after="0" w:afterAutospacing="0"/>
        <w:jc w:val="center"/>
        <w:divId w:val="1684360448"/>
        <w:rPr>
          <w:sz w:val="20"/>
          <w:szCs w:val="20"/>
        </w:rPr>
      </w:pPr>
      <w:r>
        <w:rPr>
          <w:rStyle w:val="atag"/>
          <w:b/>
          <w:bCs/>
          <w:sz w:val="20"/>
          <w:szCs w:val="20"/>
        </w:rPr>
        <w:t>CONSOLIDATED STATEMENTS OF OPERATIONS AND COMPREHENSIVE INCOME (LOSS)</w:t>
      </w:r>
    </w:p>
    <w:p w14:paraId="018E5B41" w14:textId="77777777" w:rsidR="002B5D06" w:rsidRDefault="000B69DD">
      <w:pPr>
        <w:pStyle w:val="NormalWeb"/>
        <w:spacing w:before="0" w:beforeAutospacing="0" w:after="0" w:afterAutospacing="0"/>
        <w:jc w:val="center"/>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2B5D06" w14:paraId="7FB2D57E" w14:textId="77777777">
        <w:trPr>
          <w:divId w:val="1684360448"/>
          <w:trHeight w:val="225"/>
          <w:tblCellSpacing w:w="15" w:type="dxa"/>
          <w:jc w:val="center"/>
        </w:trPr>
        <w:tc>
          <w:tcPr>
            <w:tcW w:w="0" w:type="auto"/>
            <w:vAlign w:val="center"/>
            <w:hideMark/>
          </w:tcPr>
          <w:p w14:paraId="4D4F7380"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7C0ED9C0"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60C4A7C3" w14:textId="77777777" w:rsidR="002B5D06" w:rsidRDefault="000B69DD">
            <w:pPr>
              <w:pStyle w:val="NormalWeb"/>
              <w:spacing w:before="0" w:beforeAutospacing="0" w:after="0" w:afterAutospacing="0"/>
              <w:jc w:val="center"/>
              <w:rPr>
                <w:sz w:val="20"/>
                <w:szCs w:val="20"/>
              </w:rPr>
            </w:pPr>
            <w:r>
              <w:rPr>
                <w:rStyle w:val="Strong"/>
                <w:sz w:val="20"/>
                <w:szCs w:val="20"/>
              </w:rPr>
              <w:t>For the Years ended June 30,</w:t>
            </w:r>
          </w:p>
        </w:tc>
        <w:tc>
          <w:tcPr>
            <w:tcW w:w="0" w:type="auto"/>
            <w:noWrap/>
            <w:vAlign w:val="center"/>
            <w:hideMark/>
          </w:tcPr>
          <w:p w14:paraId="7364DE58" w14:textId="77777777" w:rsidR="002B5D06" w:rsidRDefault="000B69DD">
            <w:pPr>
              <w:pStyle w:val="NormalWeb"/>
              <w:spacing w:before="0" w:beforeAutospacing="0" w:after="0" w:afterAutospacing="0"/>
              <w:rPr>
                <w:sz w:val="20"/>
                <w:szCs w:val="20"/>
              </w:rPr>
            </w:pPr>
            <w:r>
              <w:rPr>
                <w:sz w:val="20"/>
                <w:szCs w:val="20"/>
              </w:rPr>
              <w:t> </w:t>
            </w:r>
          </w:p>
        </w:tc>
      </w:tr>
      <w:tr w:rsidR="002B5D06" w14:paraId="21749BEB" w14:textId="77777777">
        <w:trPr>
          <w:divId w:val="1684360448"/>
          <w:trHeight w:val="225"/>
          <w:tblCellSpacing w:w="15" w:type="dxa"/>
          <w:jc w:val="center"/>
        </w:trPr>
        <w:tc>
          <w:tcPr>
            <w:tcW w:w="0" w:type="auto"/>
            <w:vAlign w:val="center"/>
            <w:hideMark/>
          </w:tcPr>
          <w:p w14:paraId="0AB548F9"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67BD3838"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122AC49" w14:textId="77777777" w:rsidR="002B5D06" w:rsidRDefault="000B69DD">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0A385499"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2E123086"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0ADC4E56" w14:textId="77777777" w:rsidR="002B5D06" w:rsidRDefault="000B69DD">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40B601EC" w14:textId="77777777" w:rsidR="002B5D06" w:rsidRDefault="000B69DD">
            <w:pPr>
              <w:pStyle w:val="NormalWeb"/>
              <w:spacing w:before="0" w:beforeAutospacing="0" w:after="0" w:afterAutospacing="0"/>
              <w:rPr>
                <w:sz w:val="20"/>
                <w:szCs w:val="20"/>
              </w:rPr>
            </w:pPr>
            <w:r>
              <w:rPr>
                <w:sz w:val="20"/>
                <w:szCs w:val="20"/>
              </w:rPr>
              <w:t> </w:t>
            </w:r>
          </w:p>
        </w:tc>
      </w:tr>
      <w:tr w:rsidR="002B5D06" w14:paraId="1D6614EF" w14:textId="77777777">
        <w:trPr>
          <w:divId w:val="1684360448"/>
          <w:trHeight w:val="225"/>
          <w:tblCellSpacing w:w="15" w:type="dxa"/>
          <w:jc w:val="center"/>
        </w:trPr>
        <w:tc>
          <w:tcPr>
            <w:tcW w:w="0" w:type="auto"/>
            <w:shd w:val="clear" w:color="auto" w:fill="FFFFFF"/>
            <w:hideMark/>
          </w:tcPr>
          <w:p w14:paraId="118E5067" w14:textId="77777777" w:rsidR="002B5D06" w:rsidRDefault="000B69DD">
            <w:pPr>
              <w:pStyle w:val="NormalWeb"/>
              <w:spacing w:before="0" w:beforeAutospacing="0" w:after="0" w:afterAutospacing="0"/>
              <w:rPr>
                <w:sz w:val="20"/>
                <w:szCs w:val="20"/>
              </w:rPr>
            </w:pPr>
            <w:r>
              <w:rPr>
                <w:sz w:val="20"/>
                <w:szCs w:val="20"/>
              </w:rPr>
              <w:t>Revenues</w:t>
            </w:r>
          </w:p>
        </w:tc>
        <w:tc>
          <w:tcPr>
            <w:tcW w:w="50" w:type="pct"/>
            <w:shd w:val="clear" w:color="auto" w:fill="FFFFFF"/>
            <w:noWrap/>
            <w:vAlign w:val="center"/>
            <w:hideMark/>
          </w:tcPr>
          <w:p w14:paraId="1BAF4494"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shd w:val="clear" w:color="auto" w:fill="FFFFFF"/>
            <w:vAlign w:val="center"/>
            <w:hideMark/>
          </w:tcPr>
          <w:p w14:paraId="2DE6AE5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5BB31E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97511EC"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shd w:val="clear" w:color="auto" w:fill="FFFFFF"/>
            <w:vAlign w:val="center"/>
            <w:hideMark/>
          </w:tcPr>
          <w:p w14:paraId="1B3D89B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2D9ED01" w14:textId="77777777" w:rsidR="002B5D06" w:rsidRDefault="000B69DD">
            <w:pPr>
              <w:pStyle w:val="NormalWeb"/>
              <w:spacing w:before="0" w:beforeAutospacing="0" w:after="0" w:afterAutospacing="0"/>
              <w:rPr>
                <w:sz w:val="20"/>
                <w:szCs w:val="20"/>
              </w:rPr>
            </w:pPr>
            <w:r>
              <w:rPr>
                <w:sz w:val="20"/>
                <w:szCs w:val="20"/>
              </w:rPr>
              <w:t> </w:t>
            </w:r>
          </w:p>
        </w:tc>
      </w:tr>
      <w:tr w:rsidR="002B5D06" w14:paraId="3DE6EB8E" w14:textId="77777777">
        <w:trPr>
          <w:divId w:val="1684360448"/>
          <w:trHeight w:val="225"/>
          <w:tblCellSpacing w:w="15" w:type="dxa"/>
          <w:jc w:val="center"/>
        </w:trPr>
        <w:tc>
          <w:tcPr>
            <w:tcW w:w="0" w:type="auto"/>
            <w:shd w:val="clear" w:color="auto" w:fill="CCEEFF"/>
            <w:hideMark/>
          </w:tcPr>
          <w:p w14:paraId="703DD8EE" w14:textId="77777777" w:rsidR="002B5D06" w:rsidRDefault="000B69DD">
            <w:pPr>
              <w:pStyle w:val="NormalWeb"/>
              <w:spacing w:before="0" w:beforeAutospacing="0" w:after="0" w:afterAutospacing="0"/>
              <w:ind w:left="225"/>
              <w:rPr>
                <w:sz w:val="20"/>
                <w:szCs w:val="20"/>
              </w:rPr>
            </w:pPr>
            <w:r>
              <w:rPr>
                <w:sz w:val="20"/>
                <w:szCs w:val="20"/>
              </w:rPr>
              <w:t>Rent Revenues</w:t>
            </w:r>
          </w:p>
        </w:tc>
        <w:tc>
          <w:tcPr>
            <w:tcW w:w="50" w:type="pct"/>
            <w:shd w:val="clear" w:color="auto" w:fill="CCEEFF"/>
            <w:noWrap/>
            <w:vAlign w:val="center"/>
            <w:hideMark/>
          </w:tcPr>
          <w:p w14:paraId="0FB826F0"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bottom"/>
            <w:hideMark/>
          </w:tcPr>
          <w:p w14:paraId="26BA7E0F" w14:textId="77777777" w:rsidR="002B5D06" w:rsidRDefault="000B69DD">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CCEEFF"/>
            <w:vAlign w:val="bottom"/>
            <w:hideMark/>
          </w:tcPr>
          <w:p w14:paraId="5B82DA1E" w14:textId="77777777" w:rsidR="002B5D06" w:rsidRDefault="000B69DD">
            <w:pPr>
              <w:jc w:val="right"/>
              <w:rPr>
                <w:rFonts w:eastAsia="Times New Roman"/>
                <w:sz w:val="20"/>
                <w:szCs w:val="20"/>
              </w:rPr>
            </w:pPr>
            <w:r>
              <w:rPr>
                <w:rFonts w:eastAsia="Times New Roman"/>
                <w:sz w:val="20"/>
                <w:szCs w:val="20"/>
              </w:rPr>
              <w:t>43,445</w:t>
            </w:r>
          </w:p>
        </w:tc>
        <w:tc>
          <w:tcPr>
            <w:tcW w:w="50" w:type="pct"/>
            <w:shd w:val="clear" w:color="auto" w:fill="CCEEFF"/>
            <w:noWrap/>
            <w:tcMar>
              <w:top w:w="0" w:type="dxa"/>
              <w:left w:w="0" w:type="dxa"/>
              <w:bottom w:w="15" w:type="dxa"/>
              <w:right w:w="0" w:type="dxa"/>
            </w:tcMar>
            <w:vAlign w:val="center"/>
            <w:hideMark/>
          </w:tcPr>
          <w:p w14:paraId="45F6947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FAAF586"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bottom"/>
            <w:hideMark/>
          </w:tcPr>
          <w:p w14:paraId="7C99CA0D" w14:textId="77777777" w:rsidR="002B5D06" w:rsidRDefault="000B69DD">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CCEEFF"/>
            <w:vAlign w:val="bottom"/>
            <w:hideMark/>
          </w:tcPr>
          <w:p w14:paraId="32E953A7" w14:textId="77777777" w:rsidR="002B5D06" w:rsidRDefault="000B69DD">
            <w:pPr>
              <w:jc w:val="right"/>
              <w:rPr>
                <w:rFonts w:eastAsia="Times New Roman"/>
                <w:sz w:val="20"/>
                <w:szCs w:val="20"/>
              </w:rPr>
            </w:pPr>
            <w:r>
              <w:rPr>
                <w:rFonts w:eastAsia="Times New Roman"/>
                <w:sz w:val="20"/>
                <w:szCs w:val="20"/>
              </w:rPr>
              <w:t>42,577</w:t>
            </w:r>
          </w:p>
        </w:tc>
        <w:tc>
          <w:tcPr>
            <w:tcW w:w="50" w:type="pct"/>
            <w:shd w:val="clear" w:color="auto" w:fill="CCEEFF"/>
            <w:noWrap/>
            <w:tcMar>
              <w:top w:w="0" w:type="dxa"/>
              <w:left w:w="0" w:type="dxa"/>
              <w:bottom w:w="15" w:type="dxa"/>
              <w:right w:w="0" w:type="dxa"/>
            </w:tcMar>
            <w:vAlign w:val="center"/>
            <w:hideMark/>
          </w:tcPr>
          <w:p w14:paraId="3C3AFC1E" w14:textId="77777777" w:rsidR="002B5D06" w:rsidRDefault="000B69DD">
            <w:pPr>
              <w:pStyle w:val="NormalWeb"/>
              <w:spacing w:before="0" w:beforeAutospacing="0" w:after="0" w:afterAutospacing="0"/>
              <w:rPr>
                <w:sz w:val="20"/>
                <w:szCs w:val="20"/>
              </w:rPr>
            </w:pPr>
            <w:r>
              <w:rPr>
                <w:sz w:val="20"/>
                <w:szCs w:val="20"/>
              </w:rPr>
              <w:t> </w:t>
            </w:r>
          </w:p>
        </w:tc>
      </w:tr>
      <w:tr w:rsidR="002B5D06" w14:paraId="7E4C1424" w14:textId="77777777">
        <w:trPr>
          <w:divId w:val="1684360448"/>
          <w:trHeight w:val="225"/>
          <w:tblCellSpacing w:w="15" w:type="dxa"/>
          <w:jc w:val="center"/>
        </w:trPr>
        <w:tc>
          <w:tcPr>
            <w:tcW w:w="0" w:type="auto"/>
            <w:shd w:val="clear" w:color="auto" w:fill="FFFFFF"/>
            <w:hideMark/>
          </w:tcPr>
          <w:p w14:paraId="5EE78C90" w14:textId="77777777" w:rsidR="002B5D06" w:rsidRDefault="000B69DD">
            <w:pPr>
              <w:pStyle w:val="NormalWeb"/>
              <w:spacing w:before="0" w:beforeAutospacing="0" w:after="0" w:afterAutospacing="0"/>
              <w:rPr>
                <w:sz w:val="20"/>
                <w:szCs w:val="20"/>
              </w:rPr>
            </w:pPr>
            <w:r>
              <w:rPr>
                <w:sz w:val="20"/>
                <w:szCs w:val="20"/>
              </w:rPr>
              <w:t>Total Revenues</w:t>
            </w:r>
          </w:p>
        </w:tc>
        <w:tc>
          <w:tcPr>
            <w:tcW w:w="50" w:type="pct"/>
            <w:shd w:val="clear" w:color="auto" w:fill="FFFFFF"/>
            <w:noWrap/>
            <w:vAlign w:val="center"/>
            <w:hideMark/>
          </w:tcPr>
          <w:p w14:paraId="7408525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E4ADDBD"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1929A6A8" w14:textId="77777777" w:rsidR="002B5D06" w:rsidRDefault="000B69DD">
            <w:pPr>
              <w:jc w:val="right"/>
              <w:rPr>
                <w:rFonts w:eastAsia="Times New Roman"/>
                <w:sz w:val="20"/>
                <w:szCs w:val="20"/>
              </w:rPr>
            </w:pPr>
            <w:r>
              <w:rPr>
                <w:rFonts w:eastAsia="Times New Roman"/>
                <w:sz w:val="20"/>
                <w:szCs w:val="20"/>
              </w:rPr>
              <w:t>43,445</w:t>
            </w:r>
          </w:p>
        </w:tc>
        <w:tc>
          <w:tcPr>
            <w:tcW w:w="50" w:type="pct"/>
            <w:shd w:val="clear" w:color="auto" w:fill="FFFFFF"/>
            <w:noWrap/>
            <w:vAlign w:val="center"/>
            <w:hideMark/>
          </w:tcPr>
          <w:p w14:paraId="6DEB2C6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213868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21C7627"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48EDAE47" w14:textId="77777777" w:rsidR="002B5D06" w:rsidRDefault="000B69DD">
            <w:pPr>
              <w:jc w:val="right"/>
              <w:rPr>
                <w:rFonts w:eastAsia="Times New Roman"/>
                <w:sz w:val="20"/>
                <w:szCs w:val="20"/>
              </w:rPr>
            </w:pPr>
            <w:r>
              <w:rPr>
                <w:rFonts w:eastAsia="Times New Roman"/>
                <w:sz w:val="20"/>
                <w:szCs w:val="20"/>
              </w:rPr>
              <w:t>42,577</w:t>
            </w:r>
          </w:p>
        </w:tc>
        <w:tc>
          <w:tcPr>
            <w:tcW w:w="50" w:type="pct"/>
            <w:shd w:val="clear" w:color="auto" w:fill="FFFFFF"/>
            <w:noWrap/>
            <w:vAlign w:val="center"/>
            <w:hideMark/>
          </w:tcPr>
          <w:p w14:paraId="6143BA39" w14:textId="77777777" w:rsidR="002B5D06" w:rsidRDefault="000B69DD">
            <w:pPr>
              <w:pStyle w:val="NormalWeb"/>
              <w:spacing w:before="0" w:beforeAutospacing="0" w:after="0" w:afterAutospacing="0"/>
              <w:rPr>
                <w:sz w:val="20"/>
                <w:szCs w:val="20"/>
              </w:rPr>
            </w:pPr>
            <w:r>
              <w:rPr>
                <w:sz w:val="20"/>
                <w:szCs w:val="20"/>
              </w:rPr>
              <w:t> </w:t>
            </w:r>
          </w:p>
        </w:tc>
      </w:tr>
      <w:tr w:rsidR="002B5D06" w14:paraId="43718F95" w14:textId="77777777">
        <w:trPr>
          <w:divId w:val="1684360448"/>
          <w:trHeight w:val="225"/>
          <w:tblCellSpacing w:w="15" w:type="dxa"/>
          <w:jc w:val="center"/>
        </w:trPr>
        <w:tc>
          <w:tcPr>
            <w:tcW w:w="0" w:type="auto"/>
            <w:shd w:val="clear" w:color="auto" w:fill="CCEEFF"/>
            <w:vAlign w:val="center"/>
            <w:hideMark/>
          </w:tcPr>
          <w:p w14:paraId="47AD977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997DFA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26D0C4D"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2C7DA3A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AFB90D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FF1474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64926B7"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6F5F413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4553225" w14:textId="77777777" w:rsidR="002B5D06" w:rsidRDefault="000B69DD">
            <w:pPr>
              <w:pStyle w:val="NormalWeb"/>
              <w:spacing w:before="0" w:beforeAutospacing="0" w:after="0" w:afterAutospacing="0"/>
              <w:rPr>
                <w:sz w:val="20"/>
                <w:szCs w:val="20"/>
              </w:rPr>
            </w:pPr>
            <w:r>
              <w:rPr>
                <w:sz w:val="20"/>
                <w:szCs w:val="20"/>
              </w:rPr>
              <w:t> </w:t>
            </w:r>
          </w:p>
        </w:tc>
      </w:tr>
      <w:tr w:rsidR="002B5D06" w14:paraId="4A6E18B8" w14:textId="77777777">
        <w:trPr>
          <w:divId w:val="1684360448"/>
          <w:trHeight w:val="225"/>
          <w:tblCellSpacing w:w="15" w:type="dxa"/>
          <w:jc w:val="center"/>
        </w:trPr>
        <w:tc>
          <w:tcPr>
            <w:tcW w:w="0" w:type="auto"/>
            <w:shd w:val="clear" w:color="auto" w:fill="FFFFFF"/>
            <w:hideMark/>
          </w:tcPr>
          <w:p w14:paraId="769E0E4F" w14:textId="77777777" w:rsidR="002B5D06" w:rsidRDefault="000B69DD">
            <w:pPr>
              <w:pStyle w:val="NormalWeb"/>
              <w:spacing w:before="0" w:beforeAutospacing="0" w:after="0" w:afterAutospacing="0"/>
              <w:rPr>
                <w:sz w:val="20"/>
                <w:szCs w:val="20"/>
              </w:rPr>
            </w:pPr>
            <w:r>
              <w:rPr>
                <w:sz w:val="20"/>
                <w:szCs w:val="20"/>
              </w:rPr>
              <w:t>Operating Expenses</w:t>
            </w:r>
          </w:p>
        </w:tc>
        <w:tc>
          <w:tcPr>
            <w:tcW w:w="50" w:type="pct"/>
            <w:shd w:val="clear" w:color="auto" w:fill="FFFFFF"/>
            <w:noWrap/>
            <w:vAlign w:val="center"/>
            <w:hideMark/>
          </w:tcPr>
          <w:p w14:paraId="2897DBF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4DE88E4"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8367DD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D85F02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65BD719"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C57B186"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5B423A8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6CCD0AC" w14:textId="77777777" w:rsidR="002B5D06" w:rsidRDefault="000B69DD">
            <w:pPr>
              <w:pStyle w:val="NormalWeb"/>
              <w:spacing w:before="0" w:beforeAutospacing="0" w:after="0" w:afterAutospacing="0"/>
              <w:rPr>
                <w:sz w:val="20"/>
                <w:szCs w:val="20"/>
              </w:rPr>
            </w:pPr>
            <w:r>
              <w:rPr>
                <w:sz w:val="20"/>
                <w:szCs w:val="20"/>
              </w:rPr>
              <w:t> </w:t>
            </w:r>
          </w:p>
        </w:tc>
      </w:tr>
      <w:tr w:rsidR="002B5D06" w14:paraId="5BECBACA" w14:textId="77777777">
        <w:trPr>
          <w:divId w:val="1684360448"/>
          <w:trHeight w:val="225"/>
          <w:tblCellSpacing w:w="15" w:type="dxa"/>
          <w:jc w:val="center"/>
        </w:trPr>
        <w:tc>
          <w:tcPr>
            <w:tcW w:w="0" w:type="auto"/>
            <w:shd w:val="clear" w:color="auto" w:fill="CCEEFF"/>
            <w:hideMark/>
          </w:tcPr>
          <w:p w14:paraId="7CB73A8F" w14:textId="77777777" w:rsidR="002B5D06" w:rsidRDefault="000B69DD">
            <w:pPr>
              <w:pStyle w:val="NormalWeb"/>
              <w:spacing w:before="0" w:beforeAutospacing="0" w:after="0" w:afterAutospacing="0"/>
              <w:rPr>
                <w:sz w:val="20"/>
                <w:szCs w:val="20"/>
              </w:rPr>
            </w:pPr>
            <w:r>
              <w:rPr>
                <w:sz w:val="20"/>
                <w:szCs w:val="20"/>
              </w:rPr>
              <w:t>General and Administrative</w:t>
            </w:r>
          </w:p>
        </w:tc>
        <w:tc>
          <w:tcPr>
            <w:tcW w:w="50" w:type="pct"/>
            <w:shd w:val="clear" w:color="auto" w:fill="CCEEFF"/>
            <w:noWrap/>
            <w:vAlign w:val="center"/>
            <w:hideMark/>
          </w:tcPr>
          <w:p w14:paraId="1C4E797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9975581"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DB7E5F8" w14:textId="77777777" w:rsidR="002B5D06" w:rsidRDefault="000B69DD">
            <w:pPr>
              <w:jc w:val="right"/>
              <w:rPr>
                <w:rFonts w:eastAsia="Times New Roman"/>
                <w:sz w:val="20"/>
                <w:szCs w:val="20"/>
              </w:rPr>
            </w:pPr>
            <w:r>
              <w:rPr>
                <w:rFonts w:eastAsia="Times New Roman"/>
                <w:sz w:val="20"/>
                <w:szCs w:val="20"/>
              </w:rPr>
              <w:t>6,656</w:t>
            </w:r>
          </w:p>
        </w:tc>
        <w:tc>
          <w:tcPr>
            <w:tcW w:w="50" w:type="pct"/>
            <w:shd w:val="clear" w:color="auto" w:fill="CCEEFF"/>
            <w:noWrap/>
            <w:vAlign w:val="center"/>
            <w:hideMark/>
          </w:tcPr>
          <w:p w14:paraId="62FE261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B08601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B5BA92D"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2675F41F" w14:textId="77777777" w:rsidR="002B5D06" w:rsidRDefault="000B69DD">
            <w:pPr>
              <w:jc w:val="right"/>
              <w:rPr>
                <w:rFonts w:eastAsia="Times New Roman"/>
                <w:sz w:val="20"/>
                <w:szCs w:val="20"/>
              </w:rPr>
            </w:pPr>
            <w:r>
              <w:rPr>
                <w:rFonts w:eastAsia="Times New Roman"/>
                <w:sz w:val="20"/>
                <w:szCs w:val="20"/>
              </w:rPr>
              <w:t>6,625</w:t>
            </w:r>
          </w:p>
        </w:tc>
        <w:tc>
          <w:tcPr>
            <w:tcW w:w="50" w:type="pct"/>
            <w:shd w:val="clear" w:color="auto" w:fill="CCEEFF"/>
            <w:noWrap/>
            <w:vAlign w:val="center"/>
            <w:hideMark/>
          </w:tcPr>
          <w:p w14:paraId="16231BC3" w14:textId="77777777" w:rsidR="002B5D06" w:rsidRDefault="000B69DD">
            <w:pPr>
              <w:pStyle w:val="NormalWeb"/>
              <w:spacing w:before="0" w:beforeAutospacing="0" w:after="0" w:afterAutospacing="0"/>
              <w:rPr>
                <w:sz w:val="20"/>
                <w:szCs w:val="20"/>
              </w:rPr>
            </w:pPr>
            <w:r>
              <w:rPr>
                <w:sz w:val="20"/>
                <w:szCs w:val="20"/>
              </w:rPr>
              <w:t> </w:t>
            </w:r>
          </w:p>
        </w:tc>
      </w:tr>
      <w:tr w:rsidR="002B5D06" w14:paraId="4180FCE8" w14:textId="77777777">
        <w:trPr>
          <w:divId w:val="1684360448"/>
          <w:trHeight w:val="225"/>
          <w:tblCellSpacing w:w="15" w:type="dxa"/>
          <w:jc w:val="center"/>
        </w:trPr>
        <w:tc>
          <w:tcPr>
            <w:tcW w:w="0" w:type="auto"/>
            <w:shd w:val="clear" w:color="auto" w:fill="FFFFFF"/>
            <w:hideMark/>
          </w:tcPr>
          <w:p w14:paraId="23C6C501" w14:textId="77777777" w:rsidR="002B5D06" w:rsidRDefault="000B69DD">
            <w:pPr>
              <w:pStyle w:val="NormalWeb"/>
              <w:spacing w:before="0" w:beforeAutospacing="0" w:after="0" w:afterAutospacing="0"/>
              <w:rPr>
                <w:sz w:val="20"/>
                <w:szCs w:val="20"/>
              </w:rPr>
            </w:pPr>
            <w:r>
              <w:rPr>
                <w:sz w:val="20"/>
                <w:szCs w:val="20"/>
              </w:rPr>
              <w:t>Professional fees</w:t>
            </w:r>
          </w:p>
        </w:tc>
        <w:tc>
          <w:tcPr>
            <w:tcW w:w="50" w:type="pct"/>
            <w:shd w:val="clear" w:color="auto" w:fill="FFFFFF"/>
            <w:noWrap/>
            <w:vAlign w:val="center"/>
            <w:hideMark/>
          </w:tcPr>
          <w:p w14:paraId="1B80873D"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CD0FAC4"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6830EF3E" w14:textId="77777777" w:rsidR="002B5D06" w:rsidRDefault="000B69DD">
            <w:pPr>
              <w:jc w:val="right"/>
              <w:rPr>
                <w:rFonts w:eastAsia="Times New Roman"/>
                <w:sz w:val="20"/>
                <w:szCs w:val="20"/>
              </w:rPr>
            </w:pPr>
            <w:r>
              <w:rPr>
                <w:rFonts w:eastAsia="Times New Roman"/>
                <w:sz w:val="20"/>
                <w:szCs w:val="20"/>
              </w:rPr>
              <w:t>23,019</w:t>
            </w:r>
          </w:p>
        </w:tc>
        <w:tc>
          <w:tcPr>
            <w:tcW w:w="50" w:type="pct"/>
            <w:shd w:val="clear" w:color="auto" w:fill="FFFFFF"/>
            <w:noWrap/>
            <w:tcMar>
              <w:top w:w="0" w:type="dxa"/>
              <w:left w:w="0" w:type="dxa"/>
              <w:bottom w:w="15" w:type="dxa"/>
              <w:right w:w="0" w:type="dxa"/>
            </w:tcMar>
            <w:vAlign w:val="center"/>
            <w:hideMark/>
          </w:tcPr>
          <w:p w14:paraId="385706A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DA6E212"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63BCF98"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F97A1DB" w14:textId="77777777" w:rsidR="002B5D06" w:rsidRDefault="000B69DD">
            <w:pPr>
              <w:jc w:val="right"/>
              <w:rPr>
                <w:rFonts w:eastAsia="Times New Roman"/>
                <w:sz w:val="20"/>
                <w:szCs w:val="20"/>
              </w:rPr>
            </w:pPr>
            <w:r>
              <w:rPr>
                <w:rFonts w:eastAsia="Times New Roman"/>
                <w:sz w:val="20"/>
                <w:szCs w:val="20"/>
              </w:rPr>
              <w:t>21,500</w:t>
            </w:r>
          </w:p>
        </w:tc>
        <w:tc>
          <w:tcPr>
            <w:tcW w:w="50" w:type="pct"/>
            <w:shd w:val="clear" w:color="auto" w:fill="FFFFFF"/>
            <w:noWrap/>
            <w:tcMar>
              <w:top w:w="0" w:type="dxa"/>
              <w:left w:w="0" w:type="dxa"/>
              <w:bottom w:w="15" w:type="dxa"/>
              <w:right w:w="0" w:type="dxa"/>
            </w:tcMar>
            <w:vAlign w:val="center"/>
            <w:hideMark/>
          </w:tcPr>
          <w:p w14:paraId="37292BC5" w14:textId="77777777" w:rsidR="002B5D06" w:rsidRDefault="000B69DD">
            <w:pPr>
              <w:pStyle w:val="NormalWeb"/>
              <w:spacing w:before="0" w:beforeAutospacing="0" w:after="0" w:afterAutospacing="0"/>
              <w:rPr>
                <w:sz w:val="20"/>
                <w:szCs w:val="20"/>
              </w:rPr>
            </w:pPr>
            <w:r>
              <w:rPr>
                <w:sz w:val="20"/>
                <w:szCs w:val="20"/>
              </w:rPr>
              <w:t> </w:t>
            </w:r>
          </w:p>
        </w:tc>
      </w:tr>
      <w:tr w:rsidR="002B5D06" w14:paraId="01C56760" w14:textId="77777777">
        <w:trPr>
          <w:divId w:val="1684360448"/>
          <w:trHeight w:val="225"/>
          <w:tblCellSpacing w:w="15" w:type="dxa"/>
          <w:jc w:val="center"/>
        </w:trPr>
        <w:tc>
          <w:tcPr>
            <w:tcW w:w="0" w:type="auto"/>
            <w:shd w:val="clear" w:color="auto" w:fill="CCEEFF"/>
            <w:hideMark/>
          </w:tcPr>
          <w:p w14:paraId="0C73300B" w14:textId="77777777" w:rsidR="002B5D06" w:rsidRDefault="000B69DD">
            <w:pPr>
              <w:pStyle w:val="NormalWeb"/>
              <w:spacing w:before="0" w:beforeAutospacing="0" w:after="0" w:afterAutospacing="0"/>
              <w:rPr>
                <w:sz w:val="20"/>
                <w:szCs w:val="20"/>
              </w:rPr>
            </w:pPr>
            <w:r>
              <w:rPr>
                <w:sz w:val="20"/>
                <w:szCs w:val="20"/>
              </w:rPr>
              <w:t>Total Operating Expenses</w:t>
            </w:r>
          </w:p>
        </w:tc>
        <w:tc>
          <w:tcPr>
            <w:tcW w:w="50" w:type="pct"/>
            <w:shd w:val="clear" w:color="auto" w:fill="CCEEFF"/>
            <w:noWrap/>
            <w:vAlign w:val="center"/>
            <w:hideMark/>
          </w:tcPr>
          <w:p w14:paraId="3A06CEB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2352F94"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D6F063A" w14:textId="77777777" w:rsidR="002B5D06" w:rsidRDefault="000B69DD">
            <w:pPr>
              <w:jc w:val="right"/>
              <w:rPr>
                <w:rFonts w:eastAsia="Times New Roman"/>
                <w:sz w:val="20"/>
                <w:szCs w:val="20"/>
              </w:rPr>
            </w:pPr>
            <w:r>
              <w:rPr>
                <w:rFonts w:eastAsia="Times New Roman"/>
                <w:sz w:val="20"/>
                <w:szCs w:val="20"/>
              </w:rPr>
              <w:t>29,675</w:t>
            </w:r>
          </w:p>
        </w:tc>
        <w:tc>
          <w:tcPr>
            <w:tcW w:w="50" w:type="pct"/>
            <w:shd w:val="clear" w:color="auto" w:fill="CCEEFF"/>
            <w:noWrap/>
            <w:vAlign w:val="center"/>
            <w:hideMark/>
          </w:tcPr>
          <w:p w14:paraId="674EA12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E895D5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6CDA17B"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9B88FE0" w14:textId="77777777" w:rsidR="002B5D06" w:rsidRDefault="000B69DD">
            <w:pPr>
              <w:jc w:val="right"/>
              <w:rPr>
                <w:rFonts w:eastAsia="Times New Roman"/>
                <w:sz w:val="20"/>
                <w:szCs w:val="20"/>
              </w:rPr>
            </w:pPr>
            <w:r>
              <w:rPr>
                <w:rFonts w:eastAsia="Times New Roman"/>
                <w:sz w:val="20"/>
                <w:szCs w:val="20"/>
              </w:rPr>
              <w:t>28,125</w:t>
            </w:r>
          </w:p>
        </w:tc>
        <w:tc>
          <w:tcPr>
            <w:tcW w:w="50" w:type="pct"/>
            <w:shd w:val="clear" w:color="auto" w:fill="CCEEFF"/>
            <w:noWrap/>
            <w:vAlign w:val="center"/>
            <w:hideMark/>
          </w:tcPr>
          <w:p w14:paraId="587453F3" w14:textId="77777777" w:rsidR="002B5D06" w:rsidRDefault="000B69DD">
            <w:pPr>
              <w:pStyle w:val="NormalWeb"/>
              <w:spacing w:before="0" w:beforeAutospacing="0" w:after="0" w:afterAutospacing="0"/>
              <w:rPr>
                <w:sz w:val="20"/>
                <w:szCs w:val="20"/>
              </w:rPr>
            </w:pPr>
            <w:r>
              <w:rPr>
                <w:sz w:val="20"/>
                <w:szCs w:val="20"/>
              </w:rPr>
              <w:t> </w:t>
            </w:r>
          </w:p>
        </w:tc>
      </w:tr>
      <w:tr w:rsidR="002B5D06" w14:paraId="79B603E8" w14:textId="77777777">
        <w:trPr>
          <w:divId w:val="1684360448"/>
          <w:trHeight w:val="225"/>
          <w:tblCellSpacing w:w="15" w:type="dxa"/>
          <w:jc w:val="center"/>
        </w:trPr>
        <w:tc>
          <w:tcPr>
            <w:tcW w:w="0" w:type="auto"/>
            <w:shd w:val="clear" w:color="auto" w:fill="FFFFFF"/>
            <w:vAlign w:val="center"/>
            <w:hideMark/>
          </w:tcPr>
          <w:p w14:paraId="0D1B760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18C1EE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78A300B"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B61E019"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4DF119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CB1FCD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33E5046"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89A6AC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6FFADA8" w14:textId="77777777" w:rsidR="002B5D06" w:rsidRDefault="000B69DD">
            <w:pPr>
              <w:pStyle w:val="NormalWeb"/>
              <w:spacing w:before="0" w:beforeAutospacing="0" w:after="0" w:afterAutospacing="0"/>
              <w:rPr>
                <w:sz w:val="20"/>
                <w:szCs w:val="20"/>
              </w:rPr>
            </w:pPr>
            <w:r>
              <w:rPr>
                <w:sz w:val="20"/>
                <w:szCs w:val="20"/>
              </w:rPr>
              <w:t> </w:t>
            </w:r>
          </w:p>
        </w:tc>
      </w:tr>
      <w:tr w:rsidR="002B5D06" w14:paraId="49622EF6" w14:textId="77777777">
        <w:trPr>
          <w:divId w:val="1684360448"/>
          <w:trHeight w:val="225"/>
          <w:tblCellSpacing w:w="15" w:type="dxa"/>
          <w:jc w:val="center"/>
        </w:trPr>
        <w:tc>
          <w:tcPr>
            <w:tcW w:w="0" w:type="auto"/>
            <w:shd w:val="clear" w:color="auto" w:fill="CCEEFF"/>
            <w:hideMark/>
          </w:tcPr>
          <w:p w14:paraId="56C0E17A" w14:textId="77777777" w:rsidR="002B5D06" w:rsidRDefault="000B69DD">
            <w:pPr>
              <w:pStyle w:val="NormalWeb"/>
              <w:spacing w:before="0" w:beforeAutospacing="0" w:after="0" w:afterAutospacing="0"/>
              <w:rPr>
                <w:sz w:val="20"/>
                <w:szCs w:val="20"/>
              </w:rPr>
            </w:pPr>
            <w:r>
              <w:rPr>
                <w:sz w:val="20"/>
                <w:szCs w:val="20"/>
              </w:rPr>
              <w:t>Income from operations</w:t>
            </w:r>
          </w:p>
        </w:tc>
        <w:tc>
          <w:tcPr>
            <w:tcW w:w="50" w:type="pct"/>
            <w:shd w:val="clear" w:color="auto" w:fill="CCEEFF"/>
            <w:noWrap/>
            <w:vAlign w:val="center"/>
            <w:hideMark/>
          </w:tcPr>
          <w:p w14:paraId="4096EB7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8D3645B"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60BDDF22" w14:textId="77777777" w:rsidR="002B5D06" w:rsidRDefault="000B69DD">
            <w:pPr>
              <w:jc w:val="right"/>
              <w:rPr>
                <w:rFonts w:eastAsia="Times New Roman"/>
                <w:sz w:val="20"/>
                <w:szCs w:val="20"/>
              </w:rPr>
            </w:pPr>
            <w:r>
              <w:rPr>
                <w:rFonts w:eastAsia="Times New Roman"/>
                <w:sz w:val="20"/>
                <w:szCs w:val="20"/>
              </w:rPr>
              <w:t>13,770</w:t>
            </w:r>
          </w:p>
        </w:tc>
        <w:tc>
          <w:tcPr>
            <w:tcW w:w="50" w:type="pct"/>
            <w:shd w:val="clear" w:color="auto" w:fill="CCEEFF"/>
            <w:noWrap/>
            <w:vAlign w:val="center"/>
            <w:hideMark/>
          </w:tcPr>
          <w:p w14:paraId="6F2600B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FF6D68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B91F082"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8C48CC9" w14:textId="77777777" w:rsidR="002B5D06" w:rsidRDefault="000B69DD">
            <w:pPr>
              <w:jc w:val="right"/>
              <w:rPr>
                <w:rFonts w:eastAsia="Times New Roman"/>
                <w:sz w:val="20"/>
                <w:szCs w:val="20"/>
              </w:rPr>
            </w:pPr>
            <w:r>
              <w:rPr>
                <w:rFonts w:eastAsia="Times New Roman"/>
                <w:sz w:val="20"/>
                <w:szCs w:val="20"/>
              </w:rPr>
              <w:t>14,451</w:t>
            </w:r>
          </w:p>
        </w:tc>
        <w:tc>
          <w:tcPr>
            <w:tcW w:w="50" w:type="pct"/>
            <w:shd w:val="clear" w:color="auto" w:fill="CCEEFF"/>
            <w:noWrap/>
            <w:vAlign w:val="center"/>
            <w:hideMark/>
          </w:tcPr>
          <w:p w14:paraId="7759C186" w14:textId="77777777" w:rsidR="002B5D06" w:rsidRDefault="000B69DD">
            <w:pPr>
              <w:pStyle w:val="NormalWeb"/>
              <w:spacing w:before="0" w:beforeAutospacing="0" w:after="0" w:afterAutospacing="0"/>
              <w:rPr>
                <w:sz w:val="20"/>
                <w:szCs w:val="20"/>
              </w:rPr>
            </w:pPr>
            <w:r>
              <w:rPr>
                <w:sz w:val="20"/>
                <w:szCs w:val="20"/>
              </w:rPr>
              <w:t> </w:t>
            </w:r>
          </w:p>
        </w:tc>
      </w:tr>
      <w:tr w:rsidR="002B5D06" w14:paraId="5EA0B75E" w14:textId="77777777">
        <w:trPr>
          <w:divId w:val="1684360448"/>
          <w:trHeight w:val="225"/>
          <w:tblCellSpacing w:w="15" w:type="dxa"/>
          <w:jc w:val="center"/>
        </w:trPr>
        <w:tc>
          <w:tcPr>
            <w:tcW w:w="0" w:type="auto"/>
            <w:shd w:val="clear" w:color="auto" w:fill="FFFFFF"/>
            <w:hideMark/>
          </w:tcPr>
          <w:p w14:paraId="56B061D1" w14:textId="77777777" w:rsidR="002B5D06" w:rsidRDefault="000B69DD">
            <w:pPr>
              <w:pStyle w:val="NormalWeb"/>
              <w:spacing w:before="0" w:beforeAutospacing="0" w:after="0" w:afterAutospacing="0"/>
              <w:rPr>
                <w:sz w:val="20"/>
                <w:szCs w:val="20"/>
              </w:rPr>
            </w:pPr>
            <w:r>
              <w:rPr>
                <w:sz w:val="20"/>
                <w:szCs w:val="20"/>
              </w:rPr>
              <w:t>Other Income (Expense)</w:t>
            </w:r>
          </w:p>
        </w:tc>
        <w:tc>
          <w:tcPr>
            <w:tcW w:w="50" w:type="pct"/>
            <w:shd w:val="clear" w:color="auto" w:fill="FFFFFF"/>
            <w:noWrap/>
            <w:vAlign w:val="center"/>
            <w:hideMark/>
          </w:tcPr>
          <w:p w14:paraId="47A56F9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0B68D1C"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65026D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BEDE9E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132414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FFFAAF1"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E4DD17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A68B97D" w14:textId="77777777" w:rsidR="002B5D06" w:rsidRDefault="000B69DD">
            <w:pPr>
              <w:pStyle w:val="NormalWeb"/>
              <w:spacing w:before="0" w:beforeAutospacing="0" w:after="0" w:afterAutospacing="0"/>
              <w:rPr>
                <w:sz w:val="20"/>
                <w:szCs w:val="20"/>
              </w:rPr>
            </w:pPr>
            <w:r>
              <w:rPr>
                <w:sz w:val="20"/>
                <w:szCs w:val="20"/>
              </w:rPr>
              <w:t> </w:t>
            </w:r>
          </w:p>
        </w:tc>
      </w:tr>
      <w:tr w:rsidR="002B5D06" w14:paraId="0AD9CA60" w14:textId="77777777">
        <w:trPr>
          <w:divId w:val="1684360448"/>
          <w:trHeight w:val="225"/>
          <w:tblCellSpacing w:w="15" w:type="dxa"/>
          <w:jc w:val="center"/>
        </w:trPr>
        <w:tc>
          <w:tcPr>
            <w:tcW w:w="0" w:type="auto"/>
            <w:shd w:val="clear" w:color="auto" w:fill="CCEEFF"/>
            <w:hideMark/>
          </w:tcPr>
          <w:p w14:paraId="56A76B83" w14:textId="77777777" w:rsidR="002B5D06" w:rsidRDefault="000B69DD">
            <w:pPr>
              <w:pStyle w:val="NormalWeb"/>
              <w:spacing w:before="0" w:beforeAutospacing="0" w:after="0" w:afterAutospacing="0"/>
              <w:rPr>
                <w:sz w:val="20"/>
                <w:szCs w:val="20"/>
              </w:rPr>
            </w:pPr>
            <w:r>
              <w:rPr>
                <w:sz w:val="20"/>
                <w:szCs w:val="20"/>
              </w:rPr>
              <w:t xml:space="preserve">Interest Income </w:t>
            </w:r>
          </w:p>
        </w:tc>
        <w:tc>
          <w:tcPr>
            <w:tcW w:w="50" w:type="pct"/>
            <w:shd w:val="clear" w:color="auto" w:fill="CCEEFF"/>
            <w:noWrap/>
            <w:vAlign w:val="center"/>
            <w:hideMark/>
          </w:tcPr>
          <w:p w14:paraId="6FD45CAD"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40F43BC1"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74A52BF5" w14:textId="77777777" w:rsidR="002B5D06" w:rsidRDefault="000B69DD">
            <w:pPr>
              <w:jc w:val="right"/>
              <w:rPr>
                <w:rFonts w:eastAsia="Times New Roman"/>
                <w:sz w:val="20"/>
                <w:szCs w:val="20"/>
              </w:rPr>
            </w:pPr>
            <w:r>
              <w:rPr>
                <w:rFonts w:eastAsia="Times New Roman"/>
                <w:sz w:val="20"/>
                <w:szCs w:val="20"/>
              </w:rPr>
              <w:t>353</w:t>
            </w:r>
          </w:p>
        </w:tc>
        <w:tc>
          <w:tcPr>
            <w:tcW w:w="50" w:type="pct"/>
            <w:shd w:val="clear" w:color="auto" w:fill="CCEEFF"/>
            <w:noWrap/>
            <w:tcMar>
              <w:top w:w="0" w:type="dxa"/>
              <w:left w:w="0" w:type="dxa"/>
              <w:bottom w:w="15" w:type="dxa"/>
              <w:right w:w="0" w:type="dxa"/>
            </w:tcMar>
            <w:vAlign w:val="center"/>
            <w:hideMark/>
          </w:tcPr>
          <w:p w14:paraId="7F9455D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8ADA1B8"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38220BDA"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0D2D755A" w14:textId="77777777" w:rsidR="002B5D06" w:rsidRDefault="000B69DD">
            <w:pPr>
              <w:jc w:val="right"/>
              <w:rPr>
                <w:rFonts w:eastAsia="Times New Roman"/>
                <w:sz w:val="20"/>
                <w:szCs w:val="20"/>
              </w:rPr>
            </w:pPr>
            <w:r>
              <w:rPr>
                <w:rFonts w:eastAsia="Times New Roman"/>
                <w:sz w:val="20"/>
                <w:szCs w:val="20"/>
              </w:rPr>
              <w:t>296</w:t>
            </w:r>
          </w:p>
        </w:tc>
        <w:tc>
          <w:tcPr>
            <w:tcW w:w="50" w:type="pct"/>
            <w:shd w:val="clear" w:color="auto" w:fill="CCEEFF"/>
            <w:noWrap/>
            <w:tcMar>
              <w:top w:w="0" w:type="dxa"/>
              <w:left w:w="0" w:type="dxa"/>
              <w:bottom w:w="15" w:type="dxa"/>
              <w:right w:w="0" w:type="dxa"/>
            </w:tcMar>
            <w:vAlign w:val="center"/>
            <w:hideMark/>
          </w:tcPr>
          <w:p w14:paraId="23FBB84B" w14:textId="77777777" w:rsidR="002B5D06" w:rsidRDefault="000B69DD">
            <w:pPr>
              <w:pStyle w:val="NormalWeb"/>
              <w:spacing w:before="0" w:beforeAutospacing="0" w:after="0" w:afterAutospacing="0"/>
              <w:rPr>
                <w:sz w:val="20"/>
                <w:szCs w:val="20"/>
              </w:rPr>
            </w:pPr>
            <w:r>
              <w:rPr>
                <w:sz w:val="20"/>
                <w:szCs w:val="20"/>
              </w:rPr>
              <w:t> </w:t>
            </w:r>
          </w:p>
        </w:tc>
      </w:tr>
      <w:tr w:rsidR="002B5D06" w14:paraId="5B775F19" w14:textId="77777777">
        <w:trPr>
          <w:divId w:val="1684360448"/>
          <w:trHeight w:val="225"/>
          <w:tblCellSpacing w:w="15" w:type="dxa"/>
          <w:jc w:val="center"/>
        </w:trPr>
        <w:tc>
          <w:tcPr>
            <w:tcW w:w="0" w:type="auto"/>
            <w:shd w:val="clear" w:color="auto" w:fill="FFFFFF"/>
            <w:hideMark/>
          </w:tcPr>
          <w:p w14:paraId="60357008" w14:textId="77777777" w:rsidR="002B5D06" w:rsidRDefault="000B69DD">
            <w:pPr>
              <w:pStyle w:val="NormalWeb"/>
              <w:spacing w:before="0" w:beforeAutospacing="0" w:after="0" w:afterAutospacing="0"/>
              <w:rPr>
                <w:sz w:val="20"/>
                <w:szCs w:val="20"/>
              </w:rPr>
            </w:pPr>
            <w:r>
              <w:rPr>
                <w:sz w:val="20"/>
                <w:szCs w:val="20"/>
              </w:rPr>
              <w:t>Total Other Income (Expense)</w:t>
            </w:r>
          </w:p>
        </w:tc>
        <w:tc>
          <w:tcPr>
            <w:tcW w:w="50" w:type="pct"/>
            <w:shd w:val="clear" w:color="auto" w:fill="FFFFFF"/>
            <w:noWrap/>
            <w:vAlign w:val="center"/>
            <w:hideMark/>
          </w:tcPr>
          <w:p w14:paraId="7D17D4B8"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64893AD"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79561EFF" w14:textId="77777777" w:rsidR="002B5D06" w:rsidRDefault="000B69DD">
            <w:pPr>
              <w:jc w:val="right"/>
              <w:rPr>
                <w:rFonts w:eastAsia="Times New Roman"/>
                <w:sz w:val="20"/>
                <w:szCs w:val="20"/>
              </w:rPr>
            </w:pPr>
            <w:r>
              <w:rPr>
                <w:rFonts w:eastAsia="Times New Roman"/>
                <w:sz w:val="20"/>
                <w:szCs w:val="20"/>
              </w:rPr>
              <w:t>353</w:t>
            </w:r>
          </w:p>
        </w:tc>
        <w:tc>
          <w:tcPr>
            <w:tcW w:w="50" w:type="pct"/>
            <w:shd w:val="clear" w:color="auto" w:fill="FFFFFF"/>
            <w:noWrap/>
            <w:tcMar>
              <w:top w:w="0" w:type="dxa"/>
              <w:left w:w="0" w:type="dxa"/>
              <w:bottom w:w="15" w:type="dxa"/>
              <w:right w:w="0" w:type="dxa"/>
            </w:tcMar>
            <w:vAlign w:val="center"/>
            <w:hideMark/>
          </w:tcPr>
          <w:p w14:paraId="77F023F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2A049A4"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A35F81C"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37C3AB7" w14:textId="77777777" w:rsidR="002B5D06" w:rsidRDefault="000B69DD">
            <w:pPr>
              <w:jc w:val="right"/>
              <w:rPr>
                <w:rFonts w:eastAsia="Times New Roman"/>
                <w:sz w:val="20"/>
                <w:szCs w:val="20"/>
              </w:rPr>
            </w:pPr>
            <w:r>
              <w:rPr>
                <w:rFonts w:eastAsia="Times New Roman"/>
                <w:sz w:val="20"/>
                <w:szCs w:val="20"/>
              </w:rPr>
              <w:t>296</w:t>
            </w:r>
          </w:p>
        </w:tc>
        <w:tc>
          <w:tcPr>
            <w:tcW w:w="50" w:type="pct"/>
            <w:shd w:val="clear" w:color="auto" w:fill="FFFFFF"/>
            <w:noWrap/>
            <w:tcMar>
              <w:top w:w="0" w:type="dxa"/>
              <w:left w:w="0" w:type="dxa"/>
              <w:bottom w:w="15" w:type="dxa"/>
              <w:right w:w="0" w:type="dxa"/>
            </w:tcMar>
            <w:vAlign w:val="center"/>
            <w:hideMark/>
          </w:tcPr>
          <w:p w14:paraId="3FE55194" w14:textId="77777777" w:rsidR="002B5D06" w:rsidRDefault="000B69DD">
            <w:pPr>
              <w:pStyle w:val="NormalWeb"/>
              <w:spacing w:before="0" w:beforeAutospacing="0" w:after="0" w:afterAutospacing="0"/>
              <w:rPr>
                <w:sz w:val="20"/>
                <w:szCs w:val="20"/>
              </w:rPr>
            </w:pPr>
            <w:r>
              <w:rPr>
                <w:sz w:val="20"/>
                <w:szCs w:val="20"/>
              </w:rPr>
              <w:t> </w:t>
            </w:r>
          </w:p>
        </w:tc>
      </w:tr>
      <w:tr w:rsidR="002B5D06" w14:paraId="5AC876A6" w14:textId="77777777">
        <w:trPr>
          <w:divId w:val="1684360448"/>
          <w:trHeight w:val="225"/>
          <w:tblCellSpacing w:w="15" w:type="dxa"/>
          <w:jc w:val="center"/>
        </w:trPr>
        <w:tc>
          <w:tcPr>
            <w:tcW w:w="0" w:type="auto"/>
            <w:shd w:val="clear" w:color="auto" w:fill="CCEEFF"/>
            <w:hideMark/>
          </w:tcPr>
          <w:p w14:paraId="0D88351A" w14:textId="77777777" w:rsidR="002B5D06" w:rsidRDefault="000B69DD">
            <w:pPr>
              <w:pStyle w:val="NormalWeb"/>
              <w:spacing w:before="0" w:beforeAutospacing="0" w:after="0" w:afterAutospacing="0"/>
              <w:rPr>
                <w:sz w:val="20"/>
                <w:szCs w:val="20"/>
              </w:rPr>
            </w:pPr>
            <w:r>
              <w:rPr>
                <w:sz w:val="20"/>
                <w:szCs w:val="20"/>
              </w:rPr>
              <w:t>Income before Income Taxes</w:t>
            </w:r>
          </w:p>
        </w:tc>
        <w:tc>
          <w:tcPr>
            <w:tcW w:w="50" w:type="pct"/>
            <w:shd w:val="clear" w:color="auto" w:fill="CCEEFF"/>
            <w:noWrap/>
            <w:vAlign w:val="center"/>
            <w:hideMark/>
          </w:tcPr>
          <w:p w14:paraId="3D69D2F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FCEB070"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57536B57" w14:textId="77777777" w:rsidR="002B5D06" w:rsidRDefault="000B69DD">
            <w:pPr>
              <w:jc w:val="right"/>
              <w:rPr>
                <w:rFonts w:eastAsia="Times New Roman"/>
                <w:sz w:val="20"/>
                <w:szCs w:val="20"/>
              </w:rPr>
            </w:pPr>
            <w:r>
              <w:rPr>
                <w:rFonts w:eastAsia="Times New Roman"/>
                <w:sz w:val="20"/>
                <w:szCs w:val="20"/>
              </w:rPr>
              <w:t>14,123</w:t>
            </w:r>
          </w:p>
        </w:tc>
        <w:tc>
          <w:tcPr>
            <w:tcW w:w="50" w:type="pct"/>
            <w:shd w:val="clear" w:color="auto" w:fill="CCEEFF"/>
            <w:noWrap/>
            <w:vAlign w:val="center"/>
            <w:hideMark/>
          </w:tcPr>
          <w:p w14:paraId="3649BA5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57EEF0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1A5B631"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D4B41EE" w14:textId="77777777" w:rsidR="002B5D06" w:rsidRDefault="000B69DD">
            <w:pPr>
              <w:jc w:val="right"/>
              <w:rPr>
                <w:rFonts w:eastAsia="Times New Roman"/>
                <w:sz w:val="20"/>
                <w:szCs w:val="20"/>
              </w:rPr>
            </w:pPr>
            <w:r>
              <w:rPr>
                <w:rFonts w:eastAsia="Times New Roman"/>
                <w:sz w:val="20"/>
                <w:szCs w:val="20"/>
              </w:rPr>
              <w:t>14,748</w:t>
            </w:r>
          </w:p>
        </w:tc>
        <w:tc>
          <w:tcPr>
            <w:tcW w:w="50" w:type="pct"/>
            <w:shd w:val="clear" w:color="auto" w:fill="CCEEFF"/>
            <w:noWrap/>
            <w:vAlign w:val="center"/>
            <w:hideMark/>
          </w:tcPr>
          <w:p w14:paraId="0B2D0FEC" w14:textId="77777777" w:rsidR="002B5D06" w:rsidRDefault="000B69DD">
            <w:pPr>
              <w:pStyle w:val="NormalWeb"/>
              <w:spacing w:before="0" w:beforeAutospacing="0" w:after="0" w:afterAutospacing="0"/>
              <w:rPr>
                <w:sz w:val="20"/>
                <w:szCs w:val="20"/>
              </w:rPr>
            </w:pPr>
            <w:r>
              <w:rPr>
                <w:sz w:val="20"/>
                <w:szCs w:val="20"/>
              </w:rPr>
              <w:t> </w:t>
            </w:r>
          </w:p>
        </w:tc>
      </w:tr>
      <w:tr w:rsidR="002B5D06" w14:paraId="6890360E" w14:textId="77777777">
        <w:trPr>
          <w:divId w:val="1684360448"/>
          <w:trHeight w:val="225"/>
          <w:tblCellSpacing w:w="15" w:type="dxa"/>
          <w:jc w:val="center"/>
        </w:trPr>
        <w:tc>
          <w:tcPr>
            <w:tcW w:w="0" w:type="auto"/>
            <w:shd w:val="clear" w:color="auto" w:fill="FFFFFF"/>
            <w:hideMark/>
          </w:tcPr>
          <w:p w14:paraId="577C94B2" w14:textId="77777777" w:rsidR="002B5D06" w:rsidRDefault="000B69DD">
            <w:pPr>
              <w:pStyle w:val="NormalWeb"/>
              <w:spacing w:before="0" w:beforeAutospacing="0" w:after="0" w:afterAutospacing="0"/>
              <w:rPr>
                <w:sz w:val="20"/>
                <w:szCs w:val="20"/>
              </w:rPr>
            </w:pPr>
            <w:r>
              <w:rPr>
                <w:sz w:val="20"/>
                <w:szCs w:val="20"/>
              </w:rPr>
              <w:t>Income Tax Expense</w:t>
            </w:r>
          </w:p>
        </w:tc>
        <w:tc>
          <w:tcPr>
            <w:tcW w:w="50" w:type="pct"/>
            <w:shd w:val="clear" w:color="auto" w:fill="FFFFFF"/>
            <w:noWrap/>
            <w:vAlign w:val="center"/>
            <w:hideMark/>
          </w:tcPr>
          <w:p w14:paraId="61615B0F"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EEF4BF4"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6D41B2FE" w14:textId="77777777" w:rsidR="002B5D06" w:rsidRDefault="000B69DD">
            <w:pPr>
              <w:jc w:val="right"/>
              <w:rPr>
                <w:rFonts w:eastAsia="Times New Roman"/>
                <w:sz w:val="20"/>
                <w:szCs w:val="20"/>
              </w:rPr>
            </w:pPr>
            <w:r>
              <w:rPr>
                <w:rFonts w:eastAsia="Times New Roman"/>
                <w:sz w:val="20"/>
                <w:szCs w:val="20"/>
              </w:rPr>
              <w:t>9,985</w:t>
            </w:r>
          </w:p>
        </w:tc>
        <w:tc>
          <w:tcPr>
            <w:tcW w:w="50" w:type="pct"/>
            <w:shd w:val="clear" w:color="auto" w:fill="FFFFFF"/>
            <w:noWrap/>
            <w:tcMar>
              <w:top w:w="0" w:type="dxa"/>
              <w:left w:w="0" w:type="dxa"/>
              <w:bottom w:w="15" w:type="dxa"/>
              <w:right w:w="0" w:type="dxa"/>
            </w:tcMar>
            <w:vAlign w:val="center"/>
            <w:hideMark/>
          </w:tcPr>
          <w:p w14:paraId="0C7CB51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73BB561"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38AA2068"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71AA0B46" w14:textId="77777777" w:rsidR="002B5D06" w:rsidRDefault="000B69DD">
            <w:pPr>
              <w:jc w:val="right"/>
              <w:rPr>
                <w:rFonts w:eastAsia="Times New Roman"/>
                <w:sz w:val="20"/>
                <w:szCs w:val="20"/>
              </w:rPr>
            </w:pPr>
            <w:r>
              <w:rPr>
                <w:rFonts w:eastAsia="Times New Roman"/>
                <w:sz w:val="20"/>
                <w:szCs w:val="20"/>
              </w:rPr>
              <w:t>9,184</w:t>
            </w:r>
          </w:p>
        </w:tc>
        <w:tc>
          <w:tcPr>
            <w:tcW w:w="50" w:type="pct"/>
            <w:shd w:val="clear" w:color="auto" w:fill="FFFFFF"/>
            <w:noWrap/>
            <w:tcMar>
              <w:top w:w="0" w:type="dxa"/>
              <w:left w:w="0" w:type="dxa"/>
              <w:bottom w:w="15" w:type="dxa"/>
              <w:right w:w="0" w:type="dxa"/>
            </w:tcMar>
            <w:vAlign w:val="center"/>
            <w:hideMark/>
          </w:tcPr>
          <w:p w14:paraId="237F5FF0" w14:textId="77777777" w:rsidR="002B5D06" w:rsidRDefault="000B69DD">
            <w:pPr>
              <w:pStyle w:val="NormalWeb"/>
              <w:spacing w:before="0" w:beforeAutospacing="0" w:after="0" w:afterAutospacing="0"/>
              <w:rPr>
                <w:sz w:val="20"/>
                <w:szCs w:val="20"/>
              </w:rPr>
            </w:pPr>
            <w:r>
              <w:rPr>
                <w:sz w:val="20"/>
                <w:szCs w:val="20"/>
              </w:rPr>
              <w:t> </w:t>
            </w:r>
          </w:p>
        </w:tc>
      </w:tr>
      <w:tr w:rsidR="002B5D06" w14:paraId="2F95012D" w14:textId="77777777">
        <w:trPr>
          <w:divId w:val="1684360448"/>
          <w:trHeight w:val="225"/>
          <w:tblCellSpacing w:w="15" w:type="dxa"/>
          <w:jc w:val="center"/>
        </w:trPr>
        <w:tc>
          <w:tcPr>
            <w:tcW w:w="0" w:type="auto"/>
            <w:shd w:val="clear" w:color="auto" w:fill="CCEEFF"/>
            <w:vAlign w:val="center"/>
            <w:hideMark/>
          </w:tcPr>
          <w:p w14:paraId="7F7695F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3633D1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12C06B5"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610A15A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AEEC2C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4B3FF5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857E11B"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3E63B89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2ADC616" w14:textId="77777777" w:rsidR="002B5D06" w:rsidRDefault="000B69DD">
            <w:pPr>
              <w:pStyle w:val="NormalWeb"/>
              <w:spacing w:before="0" w:beforeAutospacing="0" w:after="0" w:afterAutospacing="0"/>
              <w:rPr>
                <w:sz w:val="20"/>
                <w:szCs w:val="20"/>
              </w:rPr>
            </w:pPr>
            <w:r>
              <w:rPr>
                <w:sz w:val="20"/>
                <w:szCs w:val="20"/>
              </w:rPr>
              <w:t> </w:t>
            </w:r>
          </w:p>
        </w:tc>
      </w:tr>
      <w:tr w:rsidR="002B5D06" w14:paraId="6876F162" w14:textId="77777777">
        <w:trPr>
          <w:divId w:val="1684360448"/>
          <w:trHeight w:val="225"/>
          <w:tblCellSpacing w:w="15" w:type="dxa"/>
          <w:jc w:val="center"/>
        </w:trPr>
        <w:tc>
          <w:tcPr>
            <w:tcW w:w="0" w:type="auto"/>
            <w:shd w:val="clear" w:color="auto" w:fill="FFFFFF"/>
            <w:hideMark/>
          </w:tcPr>
          <w:p w14:paraId="025AE442" w14:textId="77777777" w:rsidR="002B5D06" w:rsidRDefault="000B69DD">
            <w:pPr>
              <w:pStyle w:val="NormalWeb"/>
              <w:spacing w:before="0" w:beforeAutospacing="0" w:after="0" w:afterAutospacing="0"/>
              <w:rPr>
                <w:sz w:val="20"/>
                <w:szCs w:val="20"/>
              </w:rPr>
            </w:pPr>
            <w:r>
              <w:rPr>
                <w:sz w:val="20"/>
                <w:szCs w:val="20"/>
              </w:rPr>
              <w:t>NET INCOME</w:t>
            </w:r>
          </w:p>
        </w:tc>
        <w:tc>
          <w:tcPr>
            <w:tcW w:w="50" w:type="pct"/>
            <w:shd w:val="clear" w:color="auto" w:fill="FFFFFF"/>
            <w:noWrap/>
            <w:vAlign w:val="center"/>
            <w:hideMark/>
          </w:tcPr>
          <w:p w14:paraId="73F36156"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5AEA0446"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5EB2CEB7" w14:textId="77777777" w:rsidR="002B5D06" w:rsidRDefault="000B69DD">
            <w:pPr>
              <w:jc w:val="right"/>
              <w:rPr>
                <w:rFonts w:eastAsia="Times New Roman"/>
                <w:sz w:val="20"/>
                <w:szCs w:val="20"/>
              </w:rPr>
            </w:pPr>
            <w:r>
              <w:rPr>
                <w:rFonts w:eastAsia="Times New Roman"/>
                <w:sz w:val="20"/>
                <w:szCs w:val="20"/>
              </w:rPr>
              <w:t>4,138</w:t>
            </w:r>
          </w:p>
        </w:tc>
        <w:tc>
          <w:tcPr>
            <w:tcW w:w="50" w:type="pct"/>
            <w:shd w:val="clear" w:color="auto" w:fill="FFFFFF"/>
            <w:noWrap/>
            <w:tcMar>
              <w:top w:w="0" w:type="dxa"/>
              <w:left w:w="0" w:type="dxa"/>
              <w:bottom w:w="45" w:type="dxa"/>
              <w:right w:w="0" w:type="dxa"/>
            </w:tcMar>
            <w:vAlign w:val="center"/>
            <w:hideMark/>
          </w:tcPr>
          <w:p w14:paraId="0CB121C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26A1E06"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3C0E8547"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141BB802" w14:textId="77777777" w:rsidR="002B5D06" w:rsidRDefault="000B69DD">
            <w:pPr>
              <w:jc w:val="right"/>
              <w:rPr>
                <w:rFonts w:eastAsia="Times New Roman"/>
                <w:sz w:val="20"/>
                <w:szCs w:val="20"/>
              </w:rPr>
            </w:pPr>
            <w:r>
              <w:rPr>
                <w:rFonts w:eastAsia="Times New Roman"/>
                <w:sz w:val="20"/>
                <w:szCs w:val="20"/>
              </w:rPr>
              <w:t>5,564</w:t>
            </w:r>
          </w:p>
        </w:tc>
        <w:tc>
          <w:tcPr>
            <w:tcW w:w="50" w:type="pct"/>
            <w:shd w:val="clear" w:color="auto" w:fill="FFFFFF"/>
            <w:noWrap/>
            <w:tcMar>
              <w:top w:w="0" w:type="dxa"/>
              <w:left w:w="0" w:type="dxa"/>
              <w:bottom w:w="45" w:type="dxa"/>
              <w:right w:w="0" w:type="dxa"/>
            </w:tcMar>
            <w:vAlign w:val="center"/>
            <w:hideMark/>
          </w:tcPr>
          <w:p w14:paraId="066EEC96" w14:textId="77777777" w:rsidR="002B5D06" w:rsidRDefault="000B69DD">
            <w:pPr>
              <w:pStyle w:val="NormalWeb"/>
              <w:spacing w:before="0" w:beforeAutospacing="0" w:after="0" w:afterAutospacing="0"/>
              <w:rPr>
                <w:sz w:val="20"/>
                <w:szCs w:val="20"/>
              </w:rPr>
            </w:pPr>
            <w:r>
              <w:rPr>
                <w:sz w:val="20"/>
                <w:szCs w:val="20"/>
              </w:rPr>
              <w:t> </w:t>
            </w:r>
          </w:p>
        </w:tc>
      </w:tr>
      <w:tr w:rsidR="002B5D06" w14:paraId="719B1529" w14:textId="77777777">
        <w:trPr>
          <w:divId w:val="1684360448"/>
          <w:trHeight w:val="225"/>
          <w:tblCellSpacing w:w="15" w:type="dxa"/>
          <w:jc w:val="center"/>
        </w:trPr>
        <w:tc>
          <w:tcPr>
            <w:tcW w:w="0" w:type="auto"/>
            <w:shd w:val="clear" w:color="auto" w:fill="CCEEFF"/>
            <w:vAlign w:val="center"/>
            <w:hideMark/>
          </w:tcPr>
          <w:p w14:paraId="361733F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3314BC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5349186"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4CBF63B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5608F5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467B0C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8F4C623"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4162076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8C1E5D5" w14:textId="77777777" w:rsidR="002B5D06" w:rsidRDefault="000B69DD">
            <w:pPr>
              <w:pStyle w:val="NormalWeb"/>
              <w:spacing w:before="0" w:beforeAutospacing="0" w:after="0" w:afterAutospacing="0"/>
              <w:rPr>
                <w:sz w:val="20"/>
                <w:szCs w:val="20"/>
              </w:rPr>
            </w:pPr>
            <w:r>
              <w:rPr>
                <w:sz w:val="20"/>
                <w:szCs w:val="20"/>
              </w:rPr>
              <w:t> </w:t>
            </w:r>
          </w:p>
        </w:tc>
      </w:tr>
      <w:tr w:rsidR="002B5D06" w14:paraId="19215BD7" w14:textId="77777777">
        <w:trPr>
          <w:divId w:val="1684360448"/>
          <w:trHeight w:val="225"/>
          <w:tblCellSpacing w:w="15" w:type="dxa"/>
          <w:jc w:val="center"/>
        </w:trPr>
        <w:tc>
          <w:tcPr>
            <w:tcW w:w="0" w:type="auto"/>
            <w:shd w:val="clear" w:color="auto" w:fill="FFFFFF"/>
            <w:hideMark/>
          </w:tcPr>
          <w:p w14:paraId="6587BE9A" w14:textId="77777777" w:rsidR="002B5D06" w:rsidRDefault="000B69DD">
            <w:pPr>
              <w:pStyle w:val="NormalWeb"/>
              <w:spacing w:before="0" w:beforeAutospacing="0" w:after="0" w:afterAutospacing="0"/>
              <w:rPr>
                <w:sz w:val="20"/>
                <w:szCs w:val="20"/>
              </w:rPr>
            </w:pPr>
            <w:r>
              <w:rPr>
                <w:sz w:val="20"/>
                <w:szCs w:val="20"/>
              </w:rPr>
              <w:t>Weighted Average number of common shares outstanding</w:t>
            </w:r>
          </w:p>
        </w:tc>
        <w:tc>
          <w:tcPr>
            <w:tcW w:w="50" w:type="pct"/>
            <w:shd w:val="clear" w:color="auto" w:fill="FFFFFF"/>
            <w:noWrap/>
            <w:vAlign w:val="center"/>
            <w:hideMark/>
          </w:tcPr>
          <w:p w14:paraId="23A80BC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0D80E50"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BA9B7B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8F9476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E35766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40C903B"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1060B7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FF29A96" w14:textId="77777777" w:rsidR="002B5D06" w:rsidRDefault="000B69DD">
            <w:pPr>
              <w:pStyle w:val="NormalWeb"/>
              <w:spacing w:before="0" w:beforeAutospacing="0" w:after="0" w:afterAutospacing="0"/>
              <w:rPr>
                <w:sz w:val="20"/>
                <w:szCs w:val="20"/>
              </w:rPr>
            </w:pPr>
            <w:r>
              <w:rPr>
                <w:sz w:val="20"/>
                <w:szCs w:val="20"/>
              </w:rPr>
              <w:t> </w:t>
            </w:r>
          </w:p>
        </w:tc>
      </w:tr>
      <w:tr w:rsidR="002B5D06" w14:paraId="6F129E4D" w14:textId="77777777">
        <w:trPr>
          <w:divId w:val="1684360448"/>
          <w:trHeight w:val="225"/>
          <w:tblCellSpacing w:w="15" w:type="dxa"/>
          <w:jc w:val="center"/>
        </w:trPr>
        <w:tc>
          <w:tcPr>
            <w:tcW w:w="0" w:type="auto"/>
            <w:shd w:val="clear" w:color="auto" w:fill="CCEEFF"/>
            <w:hideMark/>
          </w:tcPr>
          <w:p w14:paraId="2FCCF796" w14:textId="77777777" w:rsidR="002B5D06" w:rsidRDefault="000B69DD">
            <w:pPr>
              <w:pStyle w:val="NormalWeb"/>
              <w:spacing w:before="0" w:beforeAutospacing="0" w:after="0" w:afterAutospacing="0"/>
              <w:ind w:left="225"/>
              <w:rPr>
                <w:sz w:val="20"/>
                <w:szCs w:val="20"/>
              </w:rPr>
            </w:pPr>
            <w:r>
              <w:rPr>
                <w:sz w:val="20"/>
                <w:szCs w:val="20"/>
              </w:rPr>
              <w:t>Basic</w:t>
            </w:r>
          </w:p>
        </w:tc>
        <w:tc>
          <w:tcPr>
            <w:tcW w:w="50" w:type="pct"/>
            <w:shd w:val="clear" w:color="auto" w:fill="CCEEFF"/>
            <w:noWrap/>
            <w:vAlign w:val="center"/>
            <w:hideMark/>
          </w:tcPr>
          <w:p w14:paraId="6542FCF9"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5EFC13C"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69D50066" w14:textId="77777777" w:rsidR="002B5D06" w:rsidRDefault="000B69DD">
            <w:pPr>
              <w:jc w:val="right"/>
              <w:rPr>
                <w:rFonts w:eastAsia="Times New Roman"/>
                <w:sz w:val="20"/>
                <w:szCs w:val="20"/>
              </w:rPr>
            </w:pPr>
            <w:r>
              <w:rPr>
                <w:rFonts w:eastAsia="Times New Roman"/>
                <w:sz w:val="20"/>
                <w:szCs w:val="20"/>
              </w:rPr>
              <w:t>3,292,945</w:t>
            </w:r>
          </w:p>
        </w:tc>
        <w:tc>
          <w:tcPr>
            <w:tcW w:w="50" w:type="pct"/>
            <w:shd w:val="clear" w:color="auto" w:fill="CCEEFF"/>
            <w:noWrap/>
            <w:vAlign w:val="center"/>
            <w:hideMark/>
          </w:tcPr>
          <w:p w14:paraId="2B7D2E9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C70E8A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29B8A9F"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7421B1C7" w14:textId="77777777" w:rsidR="002B5D06" w:rsidRDefault="000B69DD">
            <w:pPr>
              <w:jc w:val="right"/>
              <w:rPr>
                <w:rFonts w:eastAsia="Times New Roman"/>
                <w:sz w:val="20"/>
                <w:szCs w:val="20"/>
              </w:rPr>
            </w:pPr>
            <w:r>
              <w:rPr>
                <w:rFonts w:eastAsia="Times New Roman"/>
                <w:sz w:val="20"/>
                <w:szCs w:val="20"/>
              </w:rPr>
              <w:t>3,292,945</w:t>
            </w:r>
          </w:p>
        </w:tc>
        <w:tc>
          <w:tcPr>
            <w:tcW w:w="50" w:type="pct"/>
            <w:shd w:val="clear" w:color="auto" w:fill="CCEEFF"/>
            <w:noWrap/>
            <w:vAlign w:val="center"/>
            <w:hideMark/>
          </w:tcPr>
          <w:p w14:paraId="4BAE0C17" w14:textId="77777777" w:rsidR="002B5D06" w:rsidRDefault="000B69DD">
            <w:pPr>
              <w:pStyle w:val="NormalWeb"/>
              <w:spacing w:before="0" w:beforeAutospacing="0" w:after="0" w:afterAutospacing="0"/>
              <w:rPr>
                <w:sz w:val="20"/>
                <w:szCs w:val="20"/>
              </w:rPr>
            </w:pPr>
            <w:r>
              <w:rPr>
                <w:sz w:val="20"/>
                <w:szCs w:val="20"/>
              </w:rPr>
              <w:t> </w:t>
            </w:r>
          </w:p>
        </w:tc>
      </w:tr>
      <w:tr w:rsidR="002B5D06" w14:paraId="2D0B2471" w14:textId="77777777">
        <w:trPr>
          <w:divId w:val="1684360448"/>
          <w:trHeight w:val="225"/>
          <w:tblCellSpacing w:w="15" w:type="dxa"/>
          <w:jc w:val="center"/>
        </w:trPr>
        <w:tc>
          <w:tcPr>
            <w:tcW w:w="0" w:type="auto"/>
            <w:shd w:val="clear" w:color="auto" w:fill="FFFFFF"/>
            <w:hideMark/>
          </w:tcPr>
          <w:p w14:paraId="384FE8E8" w14:textId="77777777" w:rsidR="002B5D06" w:rsidRDefault="000B69DD">
            <w:pPr>
              <w:pStyle w:val="NormalWeb"/>
              <w:spacing w:before="0" w:beforeAutospacing="0" w:after="0" w:afterAutospacing="0"/>
              <w:ind w:left="225"/>
              <w:rPr>
                <w:sz w:val="20"/>
                <w:szCs w:val="20"/>
              </w:rPr>
            </w:pPr>
            <w:r>
              <w:rPr>
                <w:sz w:val="20"/>
                <w:szCs w:val="20"/>
              </w:rPr>
              <w:t>Diluted</w:t>
            </w:r>
          </w:p>
        </w:tc>
        <w:tc>
          <w:tcPr>
            <w:tcW w:w="50" w:type="pct"/>
            <w:shd w:val="clear" w:color="auto" w:fill="FFFFFF"/>
            <w:noWrap/>
            <w:vAlign w:val="center"/>
            <w:hideMark/>
          </w:tcPr>
          <w:p w14:paraId="6CA6ECB6"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center"/>
            <w:hideMark/>
          </w:tcPr>
          <w:p w14:paraId="5AD3F98D"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double" w:sz="6" w:space="0" w:color="auto"/>
            </w:tcBorders>
            <w:shd w:val="clear" w:color="auto" w:fill="FFFFFF"/>
            <w:vAlign w:val="bottom"/>
            <w:hideMark/>
          </w:tcPr>
          <w:p w14:paraId="111984BF" w14:textId="77777777" w:rsidR="002B5D06" w:rsidRDefault="000B69DD">
            <w:pPr>
              <w:jc w:val="right"/>
              <w:rPr>
                <w:rFonts w:eastAsia="Times New Roman"/>
                <w:sz w:val="20"/>
                <w:szCs w:val="20"/>
              </w:rPr>
            </w:pPr>
            <w:r>
              <w:rPr>
                <w:rFonts w:eastAsia="Times New Roman"/>
                <w:sz w:val="20"/>
                <w:szCs w:val="20"/>
              </w:rPr>
              <w:t>3,302,945</w:t>
            </w:r>
          </w:p>
        </w:tc>
        <w:tc>
          <w:tcPr>
            <w:tcW w:w="50" w:type="pct"/>
            <w:shd w:val="clear" w:color="auto" w:fill="FFFFFF"/>
            <w:noWrap/>
            <w:tcMar>
              <w:top w:w="0" w:type="dxa"/>
              <w:left w:w="0" w:type="dxa"/>
              <w:bottom w:w="45" w:type="dxa"/>
              <w:right w:w="0" w:type="dxa"/>
            </w:tcMar>
            <w:vAlign w:val="center"/>
            <w:hideMark/>
          </w:tcPr>
          <w:p w14:paraId="1B0643C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A638342"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center"/>
            <w:hideMark/>
          </w:tcPr>
          <w:p w14:paraId="36AF63E1"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double" w:sz="6" w:space="0" w:color="auto"/>
            </w:tcBorders>
            <w:shd w:val="clear" w:color="auto" w:fill="FFFFFF"/>
            <w:vAlign w:val="bottom"/>
            <w:hideMark/>
          </w:tcPr>
          <w:p w14:paraId="01976D9B" w14:textId="77777777" w:rsidR="002B5D06" w:rsidRDefault="000B69DD">
            <w:pPr>
              <w:jc w:val="right"/>
              <w:rPr>
                <w:rFonts w:eastAsia="Times New Roman"/>
                <w:sz w:val="20"/>
                <w:szCs w:val="20"/>
              </w:rPr>
            </w:pPr>
            <w:r>
              <w:rPr>
                <w:rFonts w:eastAsia="Times New Roman"/>
                <w:sz w:val="20"/>
                <w:szCs w:val="20"/>
              </w:rPr>
              <w:t>3,302,945</w:t>
            </w:r>
          </w:p>
        </w:tc>
        <w:tc>
          <w:tcPr>
            <w:tcW w:w="50" w:type="pct"/>
            <w:shd w:val="clear" w:color="auto" w:fill="FFFFFF"/>
            <w:noWrap/>
            <w:tcMar>
              <w:top w:w="0" w:type="dxa"/>
              <w:left w:w="0" w:type="dxa"/>
              <w:bottom w:w="45" w:type="dxa"/>
              <w:right w:w="0" w:type="dxa"/>
            </w:tcMar>
            <w:vAlign w:val="center"/>
            <w:hideMark/>
          </w:tcPr>
          <w:p w14:paraId="295495FF" w14:textId="77777777" w:rsidR="002B5D06" w:rsidRDefault="000B69DD">
            <w:pPr>
              <w:pStyle w:val="NormalWeb"/>
              <w:spacing w:before="0" w:beforeAutospacing="0" w:after="0" w:afterAutospacing="0"/>
              <w:rPr>
                <w:sz w:val="20"/>
                <w:szCs w:val="20"/>
              </w:rPr>
            </w:pPr>
            <w:r>
              <w:rPr>
                <w:sz w:val="20"/>
                <w:szCs w:val="20"/>
              </w:rPr>
              <w:t> </w:t>
            </w:r>
          </w:p>
        </w:tc>
      </w:tr>
      <w:tr w:rsidR="002B5D06" w14:paraId="711C7712" w14:textId="77777777">
        <w:trPr>
          <w:divId w:val="1684360448"/>
          <w:trHeight w:val="225"/>
          <w:tblCellSpacing w:w="15" w:type="dxa"/>
          <w:jc w:val="center"/>
        </w:trPr>
        <w:tc>
          <w:tcPr>
            <w:tcW w:w="0" w:type="auto"/>
            <w:shd w:val="clear" w:color="auto" w:fill="CCEEFF"/>
            <w:vAlign w:val="center"/>
            <w:hideMark/>
          </w:tcPr>
          <w:p w14:paraId="1F81C90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108BAD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6F47DEB"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7C8F7E2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7E8947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0934B8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DC64946"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4AF5CF3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31BEB3D" w14:textId="77777777" w:rsidR="002B5D06" w:rsidRDefault="000B69DD">
            <w:pPr>
              <w:pStyle w:val="NormalWeb"/>
              <w:spacing w:before="0" w:beforeAutospacing="0" w:after="0" w:afterAutospacing="0"/>
              <w:rPr>
                <w:sz w:val="20"/>
                <w:szCs w:val="20"/>
              </w:rPr>
            </w:pPr>
            <w:r>
              <w:rPr>
                <w:sz w:val="20"/>
                <w:szCs w:val="20"/>
              </w:rPr>
              <w:t> </w:t>
            </w:r>
          </w:p>
        </w:tc>
      </w:tr>
      <w:tr w:rsidR="002B5D06" w14:paraId="19696764" w14:textId="77777777">
        <w:trPr>
          <w:divId w:val="1684360448"/>
          <w:trHeight w:val="225"/>
          <w:tblCellSpacing w:w="15" w:type="dxa"/>
          <w:jc w:val="center"/>
        </w:trPr>
        <w:tc>
          <w:tcPr>
            <w:tcW w:w="0" w:type="auto"/>
            <w:shd w:val="clear" w:color="auto" w:fill="FFFFFF"/>
            <w:hideMark/>
          </w:tcPr>
          <w:p w14:paraId="6C10EDAA" w14:textId="77777777" w:rsidR="002B5D06" w:rsidRDefault="000B69DD">
            <w:pPr>
              <w:pStyle w:val="NormalWeb"/>
              <w:spacing w:before="0" w:beforeAutospacing="0" w:after="0" w:afterAutospacing="0"/>
              <w:rPr>
                <w:sz w:val="20"/>
                <w:szCs w:val="20"/>
              </w:rPr>
            </w:pPr>
            <w:r>
              <w:rPr>
                <w:sz w:val="20"/>
                <w:szCs w:val="20"/>
              </w:rPr>
              <w:t>Basic earnings per Share</w:t>
            </w:r>
          </w:p>
        </w:tc>
        <w:tc>
          <w:tcPr>
            <w:tcW w:w="50" w:type="pct"/>
            <w:shd w:val="clear" w:color="auto" w:fill="FFFFFF"/>
            <w:noWrap/>
            <w:vAlign w:val="center"/>
            <w:hideMark/>
          </w:tcPr>
          <w:p w14:paraId="607A83F9"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5725D2FA"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611BB3C2" w14:textId="77777777" w:rsidR="002B5D06" w:rsidRDefault="000B69DD">
            <w:pPr>
              <w:jc w:val="right"/>
              <w:rPr>
                <w:rFonts w:eastAsia="Times New Roman"/>
                <w:sz w:val="20"/>
                <w:szCs w:val="20"/>
              </w:rPr>
            </w:pPr>
            <w:r>
              <w:rPr>
                <w:rFonts w:eastAsia="Times New Roman"/>
                <w:sz w:val="20"/>
                <w:szCs w:val="20"/>
              </w:rPr>
              <w:t>0.00</w:t>
            </w:r>
          </w:p>
        </w:tc>
        <w:tc>
          <w:tcPr>
            <w:tcW w:w="50" w:type="pct"/>
            <w:shd w:val="clear" w:color="auto" w:fill="FFFFFF"/>
            <w:noWrap/>
            <w:tcMar>
              <w:top w:w="0" w:type="dxa"/>
              <w:left w:w="0" w:type="dxa"/>
              <w:bottom w:w="45" w:type="dxa"/>
              <w:right w:w="0" w:type="dxa"/>
            </w:tcMar>
            <w:vAlign w:val="center"/>
            <w:hideMark/>
          </w:tcPr>
          <w:p w14:paraId="7ECC0BB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4EB51EF"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02B33CD5"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3131665C" w14:textId="77777777" w:rsidR="002B5D06" w:rsidRDefault="000B69DD">
            <w:pPr>
              <w:jc w:val="right"/>
              <w:rPr>
                <w:rFonts w:eastAsia="Times New Roman"/>
                <w:sz w:val="20"/>
                <w:szCs w:val="20"/>
              </w:rPr>
            </w:pPr>
            <w:r>
              <w:rPr>
                <w:rFonts w:eastAsia="Times New Roman"/>
                <w:sz w:val="20"/>
                <w:szCs w:val="20"/>
              </w:rPr>
              <w:t>0.00</w:t>
            </w:r>
          </w:p>
        </w:tc>
        <w:tc>
          <w:tcPr>
            <w:tcW w:w="50" w:type="pct"/>
            <w:shd w:val="clear" w:color="auto" w:fill="FFFFFF"/>
            <w:noWrap/>
            <w:tcMar>
              <w:top w:w="0" w:type="dxa"/>
              <w:left w:w="0" w:type="dxa"/>
              <w:bottom w:w="45" w:type="dxa"/>
              <w:right w:w="0" w:type="dxa"/>
            </w:tcMar>
            <w:vAlign w:val="center"/>
            <w:hideMark/>
          </w:tcPr>
          <w:p w14:paraId="4F30ACFE" w14:textId="77777777" w:rsidR="002B5D06" w:rsidRDefault="000B69DD">
            <w:pPr>
              <w:pStyle w:val="NormalWeb"/>
              <w:spacing w:before="0" w:beforeAutospacing="0" w:after="0" w:afterAutospacing="0"/>
              <w:rPr>
                <w:sz w:val="20"/>
                <w:szCs w:val="20"/>
              </w:rPr>
            </w:pPr>
            <w:r>
              <w:rPr>
                <w:sz w:val="20"/>
                <w:szCs w:val="20"/>
              </w:rPr>
              <w:t> </w:t>
            </w:r>
          </w:p>
        </w:tc>
      </w:tr>
      <w:tr w:rsidR="002B5D06" w14:paraId="72587C7E" w14:textId="77777777">
        <w:trPr>
          <w:divId w:val="1684360448"/>
          <w:trHeight w:val="225"/>
          <w:tblCellSpacing w:w="15" w:type="dxa"/>
          <w:jc w:val="center"/>
        </w:trPr>
        <w:tc>
          <w:tcPr>
            <w:tcW w:w="0" w:type="auto"/>
            <w:shd w:val="clear" w:color="auto" w:fill="CCEEFF"/>
            <w:hideMark/>
          </w:tcPr>
          <w:p w14:paraId="7BB01601" w14:textId="77777777" w:rsidR="002B5D06" w:rsidRDefault="000B69DD">
            <w:pPr>
              <w:pStyle w:val="NormalWeb"/>
              <w:spacing w:before="0" w:beforeAutospacing="0" w:after="0" w:afterAutospacing="0"/>
              <w:rPr>
                <w:sz w:val="20"/>
                <w:szCs w:val="20"/>
              </w:rPr>
            </w:pPr>
            <w:r>
              <w:rPr>
                <w:sz w:val="20"/>
                <w:szCs w:val="20"/>
              </w:rPr>
              <w:t>Dilutive earnings per Share</w:t>
            </w:r>
          </w:p>
        </w:tc>
        <w:tc>
          <w:tcPr>
            <w:tcW w:w="50" w:type="pct"/>
            <w:shd w:val="clear" w:color="auto" w:fill="CCEEFF"/>
            <w:noWrap/>
            <w:vAlign w:val="center"/>
            <w:hideMark/>
          </w:tcPr>
          <w:p w14:paraId="2D492AC9"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6AFB35C3"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424A6463" w14:textId="77777777" w:rsidR="002B5D06" w:rsidRDefault="000B69DD">
            <w:pPr>
              <w:jc w:val="right"/>
              <w:rPr>
                <w:rFonts w:eastAsia="Times New Roman"/>
                <w:sz w:val="20"/>
                <w:szCs w:val="20"/>
              </w:rPr>
            </w:pPr>
            <w:r>
              <w:rPr>
                <w:rFonts w:eastAsia="Times New Roman"/>
                <w:sz w:val="20"/>
                <w:szCs w:val="20"/>
              </w:rPr>
              <w:t>0.00</w:t>
            </w:r>
          </w:p>
        </w:tc>
        <w:tc>
          <w:tcPr>
            <w:tcW w:w="50" w:type="pct"/>
            <w:shd w:val="clear" w:color="auto" w:fill="CCEEFF"/>
            <w:noWrap/>
            <w:tcMar>
              <w:top w:w="0" w:type="dxa"/>
              <w:left w:w="0" w:type="dxa"/>
              <w:bottom w:w="45" w:type="dxa"/>
              <w:right w:w="0" w:type="dxa"/>
            </w:tcMar>
            <w:vAlign w:val="center"/>
            <w:hideMark/>
          </w:tcPr>
          <w:p w14:paraId="3AFA0F3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625B3DA"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0F717F00"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1021DD73" w14:textId="77777777" w:rsidR="002B5D06" w:rsidRDefault="000B69DD">
            <w:pPr>
              <w:jc w:val="right"/>
              <w:rPr>
                <w:rFonts w:eastAsia="Times New Roman"/>
                <w:sz w:val="20"/>
                <w:szCs w:val="20"/>
              </w:rPr>
            </w:pPr>
            <w:r>
              <w:rPr>
                <w:rFonts w:eastAsia="Times New Roman"/>
                <w:sz w:val="20"/>
                <w:szCs w:val="20"/>
              </w:rPr>
              <w:t>0.00</w:t>
            </w:r>
          </w:p>
        </w:tc>
        <w:tc>
          <w:tcPr>
            <w:tcW w:w="50" w:type="pct"/>
            <w:shd w:val="clear" w:color="auto" w:fill="CCEEFF"/>
            <w:noWrap/>
            <w:tcMar>
              <w:top w:w="0" w:type="dxa"/>
              <w:left w:w="0" w:type="dxa"/>
              <w:bottom w:w="45" w:type="dxa"/>
              <w:right w:w="0" w:type="dxa"/>
            </w:tcMar>
            <w:vAlign w:val="center"/>
            <w:hideMark/>
          </w:tcPr>
          <w:p w14:paraId="7E392BF6" w14:textId="77777777" w:rsidR="002B5D06" w:rsidRDefault="000B69DD">
            <w:pPr>
              <w:pStyle w:val="NormalWeb"/>
              <w:spacing w:before="0" w:beforeAutospacing="0" w:after="0" w:afterAutospacing="0"/>
              <w:rPr>
                <w:sz w:val="20"/>
                <w:szCs w:val="20"/>
              </w:rPr>
            </w:pPr>
            <w:r>
              <w:rPr>
                <w:sz w:val="20"/>
                <w:szCs w:val="20"/>
              </w:rPr>
              <w:t> </w:t>
            </w:r>
          </w:p>
        </w:tc>
      </w:tr>
      <w:tr w:rsidR="002B5D06" w14:paraId="4EBE1E76" w14:textId="77777777">
        <w:trPr>
          <w:divId w:val="1684360448"/>
          <w:trHeight w:val="225"/>
          <w:tblCellSpacing w:w="15" w:type="dxa"/>
          <w:jc w:val="center"/>
        </w:trPr>
        <w:tc>
          <w:tcPr>
            <w:tcW w:w="0" w:type="auto"/>
            <w:shd w:val="clear" w:color="auto" w:fill="FFFFFF"/>
            <w:vAlign w:val="center"/>
            <w:hideMark/>
          </w:tcPr>
          <w:p w14:paraId="47ACDEF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DF37B6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0D31DE7"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0E2EF2D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A263C3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7E06F8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82389AD"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665807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EFD8402" w14:textId="77777777" w:rsidR="002B5D06" w:rsidRDefault="000B69DD">
            <w:pPr>
              <w:pStyle w:val="NormalWeb"/>
              <w:spacing w:before="0" w:beforeAutospacing="0" w:after="0" w:afterAutospacing="0"/>
              <w:rPr>
                <w:sz w:val="20"/>
                <w:szCs w:val="20"/>
              </w:rPr>
            </w:pPr>
            <w:r>
              <w:rPr>
                <w:sz w:val="20"/>
                <w:szCs w:val="20"/>
              </w:rPr>
              <w:t> </w:t>
            </w:r>
          </w:p>
        </w:tc>
      </w:tr>
      <w:tr w:rsidR="002B5D06" w14:paraId="510A6BEC" w14:textId="77777777">
        <w:trPr>
          <w:divId w:val="1684360448"/>
          <w:trHeight w:val="225"/>
          <w:tblCellSpacing w:w="15" w:type="dxa"/>
          <w:jc w:val="center"/>
        </w:trPr>
        <w:tc>
          <w:tcPr>
            <w:tcW w:w="0" w:type="auto"/>
            <w:shd w:val="clear" w:color="auto" w:fill="CCEEFF"/>
            <w:hideMark/>
          </w:tcPr>
          <w:p w14:paraId="6EA3779F" w14:textId="77777777" w:rsidR="002B5D06" w:rsidRDefault="000B69DD">
            <w:pPr>
              <w:pStyle w:val="NormalWeb"/>
              <w:spacing w:before="0" w:beforeAutospacing="0" w:after="0" w:afterAutospacing="0"/>
              <w:rPr>
                <w:sz w:val="20"/>
                <w:szCs w:val="20"/>
              </w:rPr>
            </w:pPr>
            <w:r>
              <w:rPr>
                <w:sz w:val="20"/>
                <w:szCs w:val="20"/>
              </w:rPr>
              <w:t>OTHER COMPREHENSIVE INCOME (LOSS)</w:t>
            </w:r>
          </w:p>
        </w:tc>
        <w:tc>
          <w:tcPr>
            <w:tcW w:w="50" w:type="pct"/>
            <w:shd w:val="clear" w:color="auto" w:fill="CCEEFF"/>
            <w:noWrap/>
            <w:vAlign w:val="center"/>
            <w:hideMark/>
          </w:tcPr>
          <w:p w14:paraId="1030F80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1A8530D"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7186F52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1770A4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ED1C8B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10DF18B"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4EF82BE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1B8FE8F" w14:textId="77777777" w:rsidR="002B5D06" w:rsidRDefault="000B69DD">
            <w:pPr>
              <w:pStyle w:val="NormalWeb"/>
              <w:spacing w:before="0" w:beforeAutospacing="0" w:after="0" w:afterAutospacing="0"/>
              <w:rPr>
                <w:sz w:val="20"/>
                <w:szCs w:val="20"/>
              </w:rPr>
            </w:pPr>
            <w:r>
              <w:rPr>
                <w:sz w:val="20"/>
                <w:szCs w:val="20"/>
              </w:rPr>
              <w:t> </w:t>
            </w:r>
          </w:p>
        </w:tc>
      </w:tr>
      <w:tr w:rsidR="002B5D06" w14:paraId="6F6AA3E0" w14:textId="77777777">
        <w:trPr>
          <w:divId w:val="1684360448"/>
          <w:trHeight w:val="225"/>
          <w:tblCellSpacing w:w="15" w:type="dxa"/>
          <w:jc w:val="center"/>
        </w:trPr>
        <w:tc>
          <w:tcPr>
            <w:tcW w:w="0" w:type="auto"/>
            <w:shd w:val="clear" w:color="auto" w:fill="FFFFFF"/>
            <w:hideMark/>
          </w:tcPr>
          <w:p w14:paraId="17DB0A83" w14:textId="77777777" w:rsidR="002B5D06" w:rsidRDefault="000B69DD">
            <w:pPr>
              <w:pStyle w:val="NormalWeb"/>
              <w:spacing w:before="0" w:beforeAutospacing="0" w:after="0" w:afterAutospacing="0"/>
              <w:rPr>
                <w:sz w:val="20"/>
                <w:szCs w:val="20"/>
              </w:rPr>
            </w:pPr>
            <w:r>
              <w:rPr>
                <w:sz w:val="20"/>
                <w:szCs w:val="20"/>
              </w:rPr>
              <w:t>NET INCOME</w:t>
            </w:r>
          </w:p>
        </w:tc>
        <w:tc>
          <w:tcPr>
            <w:tcW w:w="50" w:type="pct"/>
            <w:shd w:val="clear" w:color="auto" w:fill="FFFFFF"/>
            <w:noWrap/>
            <w:vAlign w:val="center"/>
            <w:hideMark/>
          </w:tcPr>
          <w:p w14:paraId="492F0BE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2CE834E6" w14:textId="77777777" w:rsidR="002B5D06" w:rsidRDefault="000B69DD">
            <w:pPr>
              <w:rPr>
                <w:rFonts w:eastAsia="Times New Roman"/>
                <w:sz w:val="20"/>
                <w:szCs w:val="20"/>
              </w:rPr>
            </w:pPr>
            <w:r>
              <w:rPr>
                <w:rFonts w:eastAsia="Times New Roman"/>
                <w:sz w:val="20"/>
                <w:szCs w:val="20"/>
              </w:rPr>
              <w:t>$</w:t>
            </w:r>
          </w:p>
        </w:tc>
        <w:tc>
          <w:tcPr>
            <w:tcW w:w="450" w:type="pct"/>
            <w:shd w:val="clear" w:color="auto" w:fill="FFFFFF"/>
            <w:vAlign w:val="bottom"/>
            <w:hideMark/>
          </w:tcPr>
          <w:p w14:paraId="634213D3" w14:textId="77777777" w:rsidR="002B5D06" w:rsidRDefault="000B69DD">
            <w:pPr>
              <w:jc w:val="right"/>
              <w:rPr>
                <w:rFonts w:eastAsia="Times New Roman"/>
                <w:sz w:val="20"/>
                <w:szCs w:val="20"/>
              </w:rPr>
            </w:pPr>
            <w:r>
              <w:rPr>
                <w:rFonts w:eastAsia="Times New Roman"/>
                <w:sz w:val="20"/>
                <w:szCs w:val="20"/>
              </w:rPr>
              <w:t>4,138</w:t>
            </w:r>
          </w:p>
        </w:tc>
        <w:tc>
          <w:tcPr>
            <w:tcW w:w="50" w:type="pct"/>
            <w:shd w:val="clear" w:color="auto" w:fill="FFFFFF"/>
            <w:noWrap/>
            <w:vAlign w:val="center"/>
            <w:hideMark/>
          </w:tcPr>
          <w:p w14:paraId="78FF6F4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A5DBB2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78E1D3CE" w14:textId="77777777" w:rsidR="002B5D06" w:rsidRDefault="000B69DD">
            <w:pPr>
              <w:rPr>
                <w:rFonts w:eastAsia="Times New Roman"/>
                <w:sz w:val="20"/>
                <w:szCs w:val="20"/>
              </w:rPr>
            </w:pPr>
            <w:r>
              <w:rPr>
                <w:rFonts w:eastAsia="Times New Roman"/>
                <w:sz w:val="20"/>
                <w:szCs w:val="20"/>
              </w:rPr>
              <w:t>$</w:t>
            </w:r>
          </w:p>
        </w:tc>
        <w:tc>
          <w:tcPr>
            <w:tcW w:w="450" w:type="pct"/>
            <w:shd w:val="clear" w:color="auto" w:fill="FFFFFF"/>
            <w:vAlign w:val="bottom"/>
            <w:hideMark/>
          </w:tcPr>
          <w:p w14:paraId="0A8783CB" w14:textId="77777777" w:rsidR="002B5D06" w:rsidRDefault="000B69DD">
            <w:pPr>
              <w:jc w:val="right"/>
              <w:rPr>
                <w:rFonts w:eastAsia="Times New Roman"/>
                <w:sz w:val="20"/>
                <w:szCs w:val="20"/>
              </w:rPr>
            </w:pPr>
            <w:r>
              <w:rPr>
                <w:rFonts w:eastAsia="Times New Roman"/>
                <w:sz w:val="20"/>
                <w:szCs w:val="20"/>
              </w:rPr>
              <w:t>5,564</w:t>
            </w:r>
          </w:p>
        </w:tc>
        <w:tc>
          <w:tcPr>
            <w:tcW w:w="50" w:type="pct"/>
            <w:shd w:val="clear" w:color="auto" w:fill="FFFFFF"/>
            <w:noWrap/>
            <w:vAlign w:val="center"/>
            <w:hideMark/>
          </w:tcPr>
          <w:p w14:paraId="0BD7C343" w14:textId="77777777" w:rsidR="002B5D06" w:rsidRDefault="000B69DD">
            <w:pPr>
              <w:pStyle w:val="NormalWeb"/>
              <w:spacing w:before="0" w:beforeAutospacing="0" w:after="0" w:afterAutospacing="0"/>
              <w:rPr>
                <w:sz w:val="20"/>
                <w:szCs w:val="20"/>
              </w:rPr>
            </w:pPr>
            <w:r>
              <w:rPr>
                <w:sz w:val="20"/>
                <w:szCs w:val="20"/>
              </w:rPr>
              <w:t> </w:t>
            </w:r>
          </w:p>
        </w:tc>
      </w:tr>
      <w:tr w:rsidR="002B5D06" w14:paraId="5D655F76" w14:textId="77777777">
        <w:trPr>
          <w:divId w:val="1684360448"/>
          <w:trHeight w:val="225"/>
          <w:tblCellSpacing w:w="15" w:type="dxa"/>
          <w:jc w:val="center"/>
        </w:trPr>
        <w:tc>
          <w:tcPr>
            <w:tcW w:w="0" w:type="auto"/>
            <w:shd w:val="clear" w:color="auto" w:fill="CCEEFF"/>
            <w:hideMark/>
          </w:tcPr>
          <w:p w14:paraId="691DAD9A" w14:textId="77777777" w:rsidR="002B5D06" w:rsidRDefault="000B69DD">
            <w:pPr>
              <w:pStyle w:val="NormalWeb"/>
              <w:spacing w:before="0" w:beforeAutospacing="0" w:after="0" w:afterAutospacing="0"/>
              <w:rPr>
                <w:sz w:val="20"/>
                <w:szCs w:val="20"/>
              </w:rPr>
            </w:pPr>
            <w:r>
              <w:rPr>
                <w:sz w:val="20"/>
                <w:szCs w:val="20"/>
              </w:rPr>
              <w:t>Foreign Currency Translation Adjustments</w:t>
            </w:r>
          </w:p>
        </w:tc>
        <w:tc>
          <w:tcPr>
            <w:tcW w:w="50" w:type="pct"/>
            <w:shd w:val="clear" w:color="auto" w:fill="CCEEFF"/>
            <w:noWrap/>
            <w:vAlign w:val="center"/>
            <w:hideMark/>
          </w:tcPr>
          <w:p w14:paraId="3299D612"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52B6444F"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35676763" w14:textId="77777777" w:rsidR="002B5D06" w:rsidRDefault="000B69DD">
            <w:pPr>
              <w:jc w:val="right"/>
              <w:rPr>
                <w:rFonts w:eastAsia="Times New Roman"/>
                <w:sz w:val="20"/>
                <w:szCs w:val="20"/>
              </w:rPr>
            </w:pPr>
            <w:r>
              <w:rPr>
                <w:rFonts w:eastAsia="Times New Roman"/>
                <w:sz w:val="20"/>
                <w:szCs w:val="20"/>
              </w:rPr>
              <w:t>69,539</w:t>
            </w:r>
          </w:p>
        </w:tc>
        <w:tc>
          <w:tcPr>
            <w:tcW w:w="50" w:type="pct"/>
            <w:shd w:val="clear" w:color="auto" w:fill="CCEEFF"/>
            <w:noWrap/>
            <w:tcMar>
              <w:top w:w="0" w:type="dxa"/>
              <w:left w:w="0" w:type="dxa"/>
              <w:bottom w:w="15" w:type="dxa"/>
              <w:right w:w="0" w:type="dxa"/>
            </w:tcMar>
            <w:vAlign w:val="center"/>
            <w:hideMark/>
          </w:tcPr>
          <w:p w14:paraId="5AF60EE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CA61712"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7ACFE9FF"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1550E163" w14:textId="77777777" w:rsidR="002B5D06" w:rsidRDefault="000B69DD">
            <w:pPr>
              <w:jc w:val="right"/>
              <w:rPr>
                <w:rFonts w:eastAsia="Times New Roman"/>
                <w:sz w:val="20"/>
                <w:szCs w:val="20"/>
              </w:rPr>
            </w:pPr>
            <w:r>
              <w:rPr>
                <w:rFonts w:eastAsia="Times New Roman"/>
                <w:sz w:val="20"/>
                <w:szCs w:val="20"/>
              </w:rPr>
              <w:t xml:space="preserve">(14,406 </w:t>
            </w:r>
          </w:p>
        </w:tc>
        <w:tc>
          <w:tcPr>
            <w:tcW w:w="50" w:type="pct"/>
            <w:shd w:val="clear" w:color="auto" w:fill="CCEEFF"/>
            <w:noWrap/>
            <w:tcMar>
              <w:top w:w="0" w:type="dxa"/>
              <w:left w:w="0" w:type="dxa"/>
              <w:bottom w:w="15" w:type="dxa"/>
              <w:right w:w="0" w:type="dxa"/>
            </w:tcMar>
            <w:vAlign w:val="bottom"/>
            <w:hideMark/>
          </w:tcPr>
          <w:p w14:paraId="5AE34F48" w14:textId="77777777" w:rsidR="002B5D06" w:rsidRDefault="000B69DD">
            <w:pPr>
              <w:rPr>
                <w:rFonts w:eastAsia="Times New Roman"/>
                <w:sz w:val="20"/>
                <w:szCs w:val="20"/>
              </w:rPr>
            </w:pPr>
            <w:r>
              <w:rPr>
                <w:rFonts w:eastAsia="Times New Roman"/>
                <w:sz w:val="20"/>
                <w:szCs w:val="20"/>
              </w:rPr>
              <w:t>)</w:t>
            </w:r>
          </w:p>
        </w:tc>
      </w:tr>
      <w:tr w:rsidR="002B5D06" w14:paraId="1ADA501F" w14:textId="77777777">
        <w:trPr>
          <w:divId w:val="1684360448"/>
          <w:trHeight w:val="225"/>
          <w:tblCellSpacing w:w="15" w:type="dxa"/>
          <w:jc w:val="center"/>
        </w:trPr>
        <w:tc>
          <w:tcPr>
            <w:tcW w:w="0" w:type="auto"/>
            <w:shd w:val="clear" w:color="auto" w:fill="FFFFFF"/>
            <w:hideMark/>
          </w:tcPr>
          <w:p w14:paraId="150C17B3" w14:textId="77777777" w:rsidR="002B5D06" w:rsidRDefault="000B69DD">
            <w:pPr>
              <w:pStyle w:val="NormalWeb"/>
              <w:spacing w:before="0" w:beforeAutospacing="0" w:after="0" w:afterAutospacing="0"/>
              <w:rPr>
                <w:sz w:val="20"/>
                <w:szCs w:val="20"/>
              </w:rPr>
            </w:pPr>
            <w:r>
              <w:rPr>
                <w:sz w:val="20"/>
                <w:szCs w:val="20"/>
              </w:rPr>
              <w:t>TOTAL COMPREHENSIVE INCOME (LOSS)</w:t>
            </w:r>
          </w:p>
        </w:tc>
        <w:tc>
          <w:tcPr>
            <w:tcW w:w="50" w:type="pct"/>
            <w:shd w:val="clear" w:color="auto" w:fill="FFFFFF"/>
            <w:noWrap/>
            <w:vAlign w:val="center"/>
            <w:hideMark/>
          </w:tcPr>
          <w:p w14:paraId="0BF5DBBD"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71FB8D7E"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5A6FFE94" w14:textId="77777777" w:rsidR="002B5D06" w:rsidRDefault="000B69DD">
            <w:pPr>
              <w:jc w:val="right"/>
              <w:rPr>
                <w:rFonts w:eastAsia="Times New Roman"/>
                <w:sz w:val="20"/>
                <w:szCs w:val="20"/>
              </w:rPr>
            </w:pPr>
            <w:r>
              <w:rPr>
                <w:rFonts w:eastAsia="Times New Roman"/>
                <w:sz w:val="20"/>
                <w:szCs w:val="20"/>
              </w:rPr>
              <w:t>73,677</w:t>
            </w:r>
          </w:p>
        </w:tc>
        <w:tc>
          <w:tcPr>
            <w:tcW w:w="50" w:type="pct"/>
            <w:shd w:val="clear" w:color="auto" w:fill="FFFFFF"/>
            <w:noWrap/>
            <w:tcMar>
              <w:top w:w="0" w:type="dxa"/>
              <w:left w:w="0" w:type="dxa"/>
              <w:bottom w:w="45" w:type="dxa"/>
              <w:right w:w="0" w:type="dxa"/>
            </w:tcMar>
            <w:vAlign w:val="center"/>
            <w:hideMark/>
          </w:tcPr>
          <w:p w14:paraId="15864B8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C0B889A"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418455A2"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0CD611F4" w14:textId="77777777" w:rsidR="002B5D06" w:rsidRDefault="000B69DD">
            <w:pPr>
              <w:jc w:val="right"/>
              <w:rPr>
                <w:rFonts w:eastAsia="Times New Roman"/>
                <w:sz w:val="20"/>
                <w:szCs w:val="20"/>
              </w:rPr>
            </w:pPr>
            <w:r>
              <w:rPr>
                <w:rFonts w:eastAsia="Times New Roman"/>
                <w:sz w:val="20"/>
                <w:szCs w:val="20"/>
              </w:rPr>
              <w:t xml:space="preserve">(8,842 </w:t>
            </w:r>
          </w:p>
        </w:tc>
        <w:tc>
          <w:tcPr>
            <w:tcW w:w="50" w:type="pct"/>
            <w:shd w:val="clear" w:color="auto" w:fill="FFFFFF"/>
            <w:noWrap/>
            <w:tcMar>
              <w:top w:w="0" w:type="dxa"/>
              <w:left w:w="0" w:type="dxa"/>
              <w:bottom w:w="45" w:type="dxa"/>
              <w:right w:w="0" w:type="dxa"/>
            </w:tcMar>
            <w:vAlign w:val="bottom"/>
            <w:hideMark/>
          </w:tcPr>
          <w:p w14:paraId="0B7B78EA" w14:textId="77777777" w:rsidR="002B5D06" w:rsidRDefault="000B69DD">
            <w:pPr>
              <w:rPr>
                <w:rFonts w:eastAsia="Times New Roman"/>
                <w:sz w:val="20"/>
                <w:szCs w:val="20"/>
              </w:rPr>
            </w:pPr>
            <w:r>
              <w:rPr>
                <w:rFonts w:eastAsia="Times New Roman"/>
                <w:sz w:val="20"/>
                <w:szCs w:val="20"/>
              </w:rPr>
              <w:t>)</w:t>
            </w:r>
          </w:p>
        </w:tc>
      </w:tr>
    </w:tbl>
    <w:p w14:paraId="4440880F"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AB07645" w14:textId="77777777" w:rsidR="002B5D06" w:rsidRDefault="000B69DD">
      <w:pPr>
        <w:pStyle w:val="NormalWeb"/>
        <w:spacing w:before="0" w:beforeAutospacing="0" w:after="0" w:afterAutospacing="0"/>
        <w:jc w:val="center"/>
        <w:divId w:val="1684360448"/>
        <w:rPr>
          <w:sz w:val="20"/>
          <w:szCs w:val="20"/>
        </w:rPr>
      </w:pPr>
      <w:r>
        <w:rPr>
          <w:rStyle w:val="Strong"/>
          <w:sz w:val="20"/>
          <w:szCs w:val="20"/>
        </w:rPr>
        <w:t>See accompanying notes to consolidated financial statements.</w:t>
      </w:r>
      <w:r>
        <w:rPr>
          <w:sz w:val="20"/>
          <w:szCs w:val="20"/>
        </w:rPr>
        <w:t> </w:t>
      </w:r>
    </w:p>
    <w:p w14:paraId="5EB63890" w14:textId="77777777" w:rsidR="002B5D06" w:rsidRDefault="000B69DD">
      <w:pPr>
        <w:pStyle w:val="NormalWeb"/>
        <w:spacing w:before="0" w:beforeAutospacing="0" w:after="0" w:afterAutospacing="0"/>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43D0641C" w14:textId="77777777">
        <w:trPr>
          <w:divId w:val="1684360448"/>
          <w:trHeight w:val="225"/>
          <w:tblCellSpacing w:w="15" w:type="dxa"/>
          <w:jc w:val="center"/>
        </w:trPr>
        <w:tc>
          <w:tcPr>
            <w:tcW w:w="0" w:type="auto"/>
            <w:vAlign w:val="center"/>
            <w:hideMark/>
          </w:tcPr>
          <w:p w14:paraId="0FA4E420" w14:textId="77777777" w:rsidR="002B5D06" w:rsidRDefault="000B69DD">
            <w:pPr>
              <w:rPr>
                <w:rFonts w:eastAsia="Times New Roman"/>
                <w:sz w:val="20"/>
                <w:szCs w:val="20"/>
              </w:rPr>
            </w:pPr>
            <w:r>
              <w:rPr>
                <w:rFonts w:eastAsia="Times New Roman"/>
                <w:sz w:val="20"/>
                <w:szCs w:val="20"/>
              </w:rPr>
              <w:t> </w:t>
            </w:r>
          </w:p>
        </w:tc>
      </w:tr>
      <w:tr w:rsidR="002B5D06" w14:paraId="2C95E378" w14:textId="77777777">
        <w:trPr>
          <w:divId w:val="1684360448"/>
          <w:trHeight w:val="225"/>
          <w:tblCellSpacing w:w="15" w:type="dxa"/>
          <w:jc w:val="center"/>
        </w:trPr>
        <w:tc>
          <w:tcPr>
            <w:tcW w:w="0" w:type="auto"/>
            <w:tcBorders>
              <w:bottom w:val="single" w:sz="6" w:space="0" w:color="000000"/>
            </w:tcBorders>
            <w:vAlign w:val="center"/>
            <w:hideMark/>
          </w:tcPr>
          <w:p w14:paraId="2C9D60C3" w14:textId="77777777" w:rsidR="002B5D06" w:rsidRDefault="000B69DD">
            <w:pPr>
              <w:jc w:val="center"/>
              <w:rPr>
                <w:rFonts w:eastAsia="Times New Roman"/>
                <w:sz w:val="20"/>
                <w:szCs w:val="20"/>
              </w:rPr>
            </w:pPr>
            <w:r>
              <w:rPr>
                <w:rFonts w:eastAsia="Times New Roman"/>
                <w:sz w:val="20"/>
                <w:szCs w:val="20"/>
              </w:rPr>
              <w:t>F-4</w:t>
            </w:r>
          </w:p>
        </w:tc>
      </w:tr>
      <w:tr w:rsidR="002B5D06" w14:paraId="0FB695B1" w14:textId="77777777">
        <w:trPr>
          <w:divId w:val="1684360448"/>
          <w:trHeight w:val="225"/>
          <w:tblCellSpacing w:w="15" w:type="dxa"/>
          <w:jc w:val="center"/>
        </w:trPr>
        <w:tc>
          <w:tcPr>
            <w:tcW w:w="0" w:type="auto"/>
            <w:vAlign w:val="center"/>
            <w:hideMark/>
          </w:tcPr>
          <w:p w14:paraId="0D444924" w14:textId="77777777" w:rsidR="002B5D06" w:rsidRDefault="002B5D06">
            <w:pPr>
              <w:rPr>
                <w:rFonts w:eastAsia="Times New Roman"/>
                <w:sz w:val="20"/>
                <w:szCs w:val="20"/>
              </w:rPr>
            </w:pPr>
          </w:p>
        </w:tc>
      </w:tr>
      <w:tr w:rsidR="002B5D06" w14:paraId="1698A8D9" w14:textId="77777777">
        <w:trPr>
          <w:divId w:val="1684360448"/>
          <w:trHeight w:val="225"/>
          <w:tblCellSpacing w:w="15" w:type="dxa"/>
          <w:jc w:val="center"/>
        </w:trPr>
        <w:tc>
          <w:tcPr>
            <w:tcW w:w="0" w:type="auto"/>
            <w:vAlign w:val="center"/>
            <w:hideMark/>
          </w:tcPr>
          <w:p w14:paraId="6A994FD6" w14:textId="77777777" w:rsidR="002B5D06" w:rsidRDefault="002B5D06">
            <w:pPr>
              <w:rPr>
                <w:rFonts w:eastAsia="Times New Roman"/>
                <w:sz w:val="20"/>
                <w:szCs w:val="20"/>
              </w:rPr>
            </w:pPr>
          </w:p>
        </w:tc>
      </w:tr>
    </w:tbl>
    <w:p w14:paraId="79925A14"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7E96BBE1" w14:textId="77777777" w:rsidR="002B5D06" w:rsidRDefault="000B69DD">
      <w:pPr>
        <w:pStyle w:val="NormalWeb"/>
        <w:spacing w:before="0" w:beforeAutospacing="0" w:after="0" w:afterAutospacing="0"/>
        <w:divId w:val="1684360448"/>
        <w:rPr>
          <w:sz w:val="20"/>
          <w:szCs w:val="20"/>
        </w:rPr>
      </w:pPr>
      <w:r>
        <w:rPr>
          <w:sz w:val="20"/>
          <w:szCs w:val="20"/>
        </w:rPr>
        <w:t> </w:t>
      </w:r>
    </w:p>
    <w:p w14:paraId="77B2A870" w14:textId="77777777" w:rsidR="002B5D06" w:rsidRDefault="000B69DD">
      <w:pPr>
        <w:pStyle w:val="NormalWeb"/>
        <w:spacing w:before="0" w:beforeAutospacing="0" w:after="0" w:afterAutospacing="0"/>
        <w:jc w:val="center"/>
        <w:divId w:val="1684360448"/>
        <w:rPr>
          <w:sz w:val="20"/>
          <w:szCs w:val="20"/>
        </w:rPr>
      </w:pPr>
      <w:r>
        <w:rPr>
          <w:rStyle w:val="Strong"/>
          <w:sz w:val="20"/>
          <w:szCs w:val="20"/>
        </w:rPr>
        <w:t>ADVANCED OXYGEN TECHNOLOGIES, INC. AND SUBSIDIARIES</w:t>
      </w:r>
    </w:p>
    <w:p w14:paraId="1BF4BAB7" w14:textId="77777777" w:rsidR="002B5D06" w:rsidRDefault="000B69DD">
      <w:pPr>
        <w:pStyle w:val="NormalWeb"/>
        <w:spacing w:before="0" w:beforeAutospacing="0" w:after="0" w:afterAutospacing="0"/>
        <w:jc w:val="center"/>
        <w:divId w:val="1684360448"/>
        <w:rPr>
          <w:sz w:val="20"/>
          <w:szCs w:val="20"/>
        </w:rPr>
      </w:pPr>
      <w:r>
        <w:rPr>
          <w:rStyle w:val="atag"/>
          <w:b/>
          <w:bCs/>
          <w:sz w:val="20"/>
          <w:szCs w:val="20"/>
        </w:rPr>
        <w:t xml:space="preserve">CONSOLIDATED STATEMENTS OF STOCKHOLDERS’ EQUITY </w:t>
      </w:r>
    </w:p>
    <w:p w14:paraId="16ABB2DC" w14:textId="77777777" w:rsidR="002B5D06" w:rsidRDefault="000B69DD">
      <w:pPr>
        <w:pStyle w:val="NormalWeb"/>
        <w:spacing w:before="0" w:beforeAutospacing="0" w:after="0" w:afterAutospacing="0"/>
        <w:jc w:val="center"/>
        <w:divId w:val="1684360448"/>
        <w:rPr>
          <w:sz w:val="20"/>
          <w:szCs w:val="20"/>
        </w:rPr>
      </w:pPr>
      <w:r>
        <w:rPr>
          <w:rStyle w:val="Strong"/>
          <w:sz w:val="20"/>
          <w:szCs w:val="20"/>
        </w:rPr>
        <w:t>For the Years Ended June 30, 2025 and 2024</w:t>
      </w:r>
    </w:p>
    <w:p w14:paraId="53F9541F"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1079"/>
        <w:gridCol w:w="74"/>
        <w:gridCol w:w="100"/>
        <w:gridCol w:w="449"/>
        <w:gridCol w:w="74"/>
        <w:gridCol w:w="74"/>
        <w:gridCol w:w="120"/>
        <w:gridCol w:w="544"/>
        <w:gridCol w:w="75"/>
        <w:gridCol w:w="75"/>
        <w:gridCol w:w="75"/>
        <w:gridCol w:w="744"/>
        <w:gridCol w:w="75"/>
        <w:gridCol w:w="75"/>
        <w:gridCol w:w="120"/>
        <w:gridCol w:w="544"/>
        <w:gridCol w:w="75"/>
        <w:gridCol w:w="75"/>
        <w:gridCol w:w="119"/>
        <w:gridCol w:w="834"/>
        <w:gridCol w:w="75"/>
        <w:gridCol w:w="75"/>
        <w:gridCol w:w="171"/>
        <w:gridCol w:w="894"/>
        <w:gridCol w:w="90"/>
        <w:gridCol w:w="75"/>
        <w:gridCol w:w="197"/>
        <w:gridCol w:w="1028"/>
        <w:gridCol w:w="90"/>
        <w:gridCol w:w="75"/>
        <w:gridCol w:w="176"/>
        <w:gridCol w:w="909"/>
        <w:gridCol w:w="105"/>
      </w:tblGrid>
      <w:tr w:rsidR="002B5D06" w14:paraId="7A84C334" w14:textId="77777777">
        <w:trPr>
          <w:divId w:val="1684360448"/>
          <w:trHeight w:val="225"/>
          <w:tblCellSpacing w:w="15" w:type="dxa"/>
          <w:jc w:val="center"/>
        </w:trPr>
        <w:tc>
          <w:tcPr>
            <w:tcW w:w="0" w:type="auto"/>
            <w:vAlign w:val="center"/>
            <w:hideMark/>
          </w:tcPr>
          <w:p w14:paraId="1F1D1DED"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3B11DFD2" w14:textId="77777777" w:rsidR="002B5D06" w:rsidRDefault="000B69DD">
            <w:pPr>
              <w:pStyle w:val="NormalWeb"/>
              <w:spacing w:before="0" w:beforeAutospacing="0" w:after="0" w:afterAutospacing="0"/>
              <w:rPr>
                <w:sz w:val="20"/>
                <w:szCs w:val="20"/>
              </w:rPr>
            </w:pPr>
            <w:r>
              <w:rPr>
                <w:sz w:val="20"/>
                <w:szCs w:val="20"/>
              </w:rPr>
              <w:t> </w:t>
            </w:r>
          </w:p>
        </w:tc>
        <w:tc>
          <w:tcPr>
            <w:tcW w:w="300" w:type="pct"/>
            <w:gridSpan w:val="6"/>
            <w:tcBorders>
              <w:bottom w:val="single" w:sz="6" w:space="0" w:color="auto"/>
            </w:tcBorders>
            <w:vAlign w:val="bottom"/>
            <w:hideMark/>
          </w:tcPr>
          <w:p w14:paraId="37C44325" w14:textId="77777777" w:rsidR="002B5D06" w:rsidRDefault="000B69DD">
            <w:pPr>
              <w:pStyle w:val="NormalWeb"/>
              <w:spacing w:before="0" w:beforeAutospacing="0" w:after="0" w:afterAutospacing="0"/>
              <w:jc w:val="center"/>
              <w:rPr>
                <w:sz w:val="20"/>
                <w:szCs w:val="20"/>
              </w:rPr>
            </w:pPr>
            <w:r>
              <w:rPr>
                <w:rStyle w:val="Strong"/>
                <w:sz w:val="20"/>
                <w:szCs w:val="20"/>
              </w:rPr>
              <w:t>Preferred Stock</w:t>
            </w:r>
          </w:p>
          <w:p w14:paraId="7F50C3B2" w14:textId="77777777" w:rsidR="002B5D06" w:rsidRDefault="000B69DD">
            <w:pPr>
              <w:pStyle w:val="NormalWeb"/>
              <w:spacing w:before="0" w:beforeAutospacing="0" w:after="0" w:afterAutospacing="0"/>
              <w:jc w:val="center"/>
              <w:rPr>
                <w:sz w:val="20"/>
                <w:szCs w:val="20"/>
              </w:rPr>
            </w:pPr>
            <w:r>
              <w:rPr>
                <w:rStyle w:val="Strong"/>
                <w:sz w:val="20"/>
                <w:szCs w:val="20"/>
              </w:rPr>
              <w:t>Convertible Series 2</w:t>
            </w:r>
          </w:p>
        </w:tc>
        <w:tc>
          <w:tcPr>
            <w:tcW w:w="0" w:type="auto"/>
            <w:noWrap/>
            <w:vAlign w:val="center"/>
            <w:hideMark/>
          </w:tcPr>
          <w:p w14:paraId="58707B06"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6E2C7CA7" w14:textId="77777777" w:rsidR="002B5D06" w:rsidRDefault="000B69DD">
            <w:pPr>
              <w:pStyle w:val="NormalWeb"/>
              <w:spacing w:before="0" w:beforeAutospacing="0" w:after="0" w:afterAutospacing="0"/>
              <w:rPr>
                <w:sz w:val="20"/>
                <w:szCs w:val="20"/>
              </w:rPr>
            </w:pPr>
            <w:r>
              <w:rPr>
                <w:sz w:val="20"/>
                <w:szCs w:val="20"/>
              </w:rPr>
              <w:t> </w:t>
            </w:r>
          </w:p>
        </w:tc>
        <w:tc>
          <w:tcPr>
            <w:tcW w:w="300" w:type="pct"/>
            <w:gridSpan w:val="6"/>
            <w:tcBorders>
              <w:bottom w:val="single" w:sz="6" w:space="0" w:color="auto"/>
            </w:tcBorders>
            <w:vAlign w:val="bottom"/>
            <w:hideMark/>
          </w:tcPr>
          <w:p w14:paraId="3BB70CF4" w14:textId="77777777" w:rsidR="002B5D06" w:rsidRDefault="000B69DD">
            <w:pPr>
              <w:pStyle w:val="NormalWeb"/>
              <w:spacing w:before="0" w:beforeAutospacing="0" w:after="0" w:afterAutospacing="0"/>
              <w:jc w:val="center"/>
              <w:rPr>
                <w:sz w:val="20"/>
                <w:szCs w:val="20"/>
              </w:rPr>
            </w:pPr>
            <w:r>
              <w:rPr>
                <w:rStyle w:val="Strong"/>
                <w:sz w:val="20"/>
                <w:szCs w:val="20"/>
              </w:rPr>
              <w:t>Common</w:t>
            </w:r>
          </w:p>
          <w:p w14:paraId="7878B0E6" w14:textId="77777777" w:rsidR="002B5D06" w:rsidRDefault="000B69DD">
            <w:pPr>
              <w:pStyle w:val="NormalWeb"/>
              <w:spacing w:before="0" w:beforeAutospacing="0" w:after="0" w:afterAutospacing="0"/>
              <w:jc w:val="center"/>
              <w:rPr>
                <w:sz w:val="20"/>
                <w:szCs w:val="20"/>
              </w:rPr>
            </w:pPr>
            <w:r>
              <w:rPr>
                <w:rStyle w:val="Strong"/>
                <w:sz w:val="20"/>
                <w:szCs w:val="20"/>
              </w:rPr>
              <w:t>Stock</w:t>
            </w:r>
          </w:p>
        </w:tc>
        <w:tc>
          <w:tcPr>
            <w:tcW w:w="0" w:type="auto"/>
            <w:noWrap/>
            <w:vAlign w:val="center"/>
            <w:hideMark/>
          </w:tcPr>
          <w:p w14:paraId="4927539A"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04BF1217" w14:textId="77777777" w:rsidR="002B5D06" w:rsidRDefault="000B69DD">
            <w:pPr>
              <w:pStyle w:val="NormalWeb"/>
              <w:spacing w:before="0" w:beforeAutospacing="0" w:after="0" w:afterAutospacing="0"/>
              <w:rPr>
                <w:sz w:val="20"/>
                <w:szCs w:val="20"/>
              </w:rPr>
            </w:pPr>
            <w:r>
              <w:rPr>
                <w:sz w:val="20"/>
                <w:szCs w:val="20"/>
              </w:rPr>
              <w:t> </w:t>
            </w:r>
          </w:p>
        </w:tc>
        <w:tc>
          <w:tcPr>
            <w:tcW w:w="300" w:type="pct"/>
            <w:gridSpan w:val="2"/>
            <w:vAlign w:val="bottom"/>
            <w:hideMark/>
          </w:tcPr>
          <w:p w14:paraId="3125B959" w14:textId="77777777" w:rsidR="002B5D06" w:rsidRDefault="000B69DD">
            <w:pPr>
              <w:pStyle w:val="NormalWeb"/>
              <w:spacing w:before="0" w:beforeAutospacing="0" w:after="0" w:afterAutospacing="0"/>
              <w:jc w:val="center"/>
              <w:rPr>
                <w:sz w:val="20"/>
                <w:szCs w:val="20"/>
              </w:rPr>
            </w:pPr>
            <w:r>
              <w:rPr>
                <w:rStyle w:val="Strong"/>
                <w:sz w:val="20"/>
                <w:szCs w:val="20"/>
              </w:rPr>
              <w:t>Additional</w:t>
            </w:r>
          </w:p>
          <w:p w14:paraId="0F445FA1" w14:textId="77777777" w:rsidR="002B5D06" w:rsidRDefault="000B69DD">
            <w:pPr>
              <w:pStyle w:val="NormalWeb"/>
              <w:spacing w:before="0" w:beforeAutospacing="0" w:after="0" w:afterAutospacing="0"/>
              <w:jc w:val="center"/>
              <w:rPr>
                <w:sz w:val="20"/>
                <w:szCs w:val="20"/>
              </w:rPr>
            </w:pPr>
            <w:r>
              <w:rPr>
                <w:rStyle w:val="Strong"/>
                <w:sz w:val="20"/>
                <w:szCs w:val="20"/>
              </w:rPr>
              <w:t>Paid In</w:t>
            </w:r>
          </w:p>
          <w:p w14:paraId="4D15643A" w14:textId="77777777" w:rsidR="002B5D06" w:rsidRDefault="000B69DD">
            <w:pPr>
              <w:pStyle w:val="NormalWeb"/>
              <w:spacing w:before="0" w:beforeAutospacing="0" w:after="0" w:afterAutospacing="0"/>
              <w:jc w:val="center"/>
              <w:rPr>
                <w:sz w:val="20"/>
                <w:szCs w:val="20"/>
              </w:rPr>
            </w:pPr>
            <w:r>
              <w:rPr>
                <w:rStyle w:val="Strong"/>
                <w:sz w:val="20"/>
                <w:szCs w:val="20"/>
              </w:rPr>
              <w:t>Capital</w:t>
            </w:r>
          </w:p>
        </w:tc>
        <w:tc>
          <w:tcPr>
            <w:tcW w:w="0" w:type="auto"/>
            <w:noWrap/>
            <w:vAlign w:val="center"/>
            <w:hideMark/>
          </w:tcPr>
          <w:p w14:paraId="48B2DC83"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10C26675" w14:textId="77777777" w:rsidR="002B5D06" w:rsidRDefault="000B69DD">
            <w:pPr>
              <w:pStyle w:val="NormalWeb"/>
              <w:spacing w:before="0" w:beforeAutospacing="0" w:after="0" w:afterAutospacing="0"/>
              <w:rPr>
                <w:sz w:val="20"/>
                <w:szCs w:val="20"/>
              </w:rPr>
            </w:pPr>
            <w:r>
              <w:rPr>
                <w:sz w:val="20"/>
                <w:szCs w:val="20"/>
              </w:rPr>
              <w:t> </w:t>
            </w:r>
          </w:p>
        </w:tc>
        <w:tc>
          <w:tcPr>
            <w:tcW w:w="300" w:type="pct"/>
            <w:gridSpan w:val="2"/>
            <w:vAlign w:val="bottom"/>
            <w:hideMark/>
          </w:tcPr>
          <w:p w14:paraId="0CE15A51" w14:textId="77777777" w:rsidR="002B5D06" w:rsidRDefault="000B69DD">
            <w:pPr>
              <w:pStyle w:val="NormalWeb"/>
              <w:spacing w:before="0" w:beforeAutospacing="0" w:after="0" w:afterAutospacing="0"/>
              <w:jc w:val="center"/>
              <w:rPr>
                <w:sz w:val="20"/>
                <w:szCs w:val="20"/>
              </w:rPr>
            </w:pPr>
            <w:r>
              <w:rPr>
                <w:rStyle w:val="Strong"/>
                <w:sz w:val="20"/>
                <w:szCs w:val="20"/>
              </w:rPr>
              <w:t>Accumulated Deficit</w:t>
            </w:r>
          </w:p>
        </w:tc>
        <w:tc>
          <w:tcPr>
            <w:tcW w:w="0" w:type="auto"/>
            <w:noWrap/>
            <w:vAlign w:val="center"/>
            <w:hideMark/>
          </w:tcPr>
          <w:p w14:paraId="3C5297AA"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47911E1D" w14:textId="77777777" w:rsidR="002B5D06" w:rsidRDefault="000B69DD">
            <w:pPr>
              <w:pStyle w:val="NormalWeb"/>
              <w:spacing w:before="0" w:beforeAutospacing="0" w:after="0" w:afterAutospacing="0"/>
              <w:rPr>
                <w:sz w:val="20"/>
                <w:szCs w:val="20"/>
              </w:rPr>
            </w:pPr>
            <w:r>
              <w:rPr>
                <w:sz w:val="20"/>
                <w:szCs w:val="20"/>
              </w:rPr>
              <w:t> </w:t>
            </w:r>
          </w:p>
        </w:tc>
        <w:tc>
          <w:tcPr>
            <w:tcW w:w="300" w:type="pct"/>
            <w:gridSpan w:val="2"/>
            <w:vAlign w:val="bottom"/>
            <w:hideMark/>
          </w:tcPr>
          <w:p w14:paraId="253D11B5" w14:textId="77777777" w:rsidR="002B5D06" w:rsidRDefault="000B69DD">
            <w:pPr>
              <w:pStyle w:val="NormalWeb"/>
              <w:spacing w:before="0" w:beforeAutospacing="0" w:after="0" w:afterAutospacing="0"/>
              <w:jc w:val="center"/>
              <w:rPr>
                <w:sz w:val="20"/>
                <w:szCs w:val="20"/>
              </w:rPr>
            </w:pPr>
            <w:r>
              <w:rPr>
                <w:rStyle w:val="Strong"/>
                <w:sz w:val="20"/>
                <w:szCs w:val="20"/>
              </w:rPr>
              <w:t>Accumulated Other Comprehensive Income (loss)</w:t>
            </w:r>
          </w:p>
        </w:tc>
        <w:tc>
          <w:tcPr>
            <w:tcW w:w="0" w:type="auto"/>
            <w:noWrap/>
            <w:vAlign w:val="center"/>
            <w:hideMark/>
          </w:tcPr>
          <w:p w14:paraId="32DD180F"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66F0BFFA" w14:textId="77777777" w:rsidR="002B5D06" w:rsidRDefault="000B69DD">
            <w:pPr>
              <w:pStyle w:val="NormalWeb"/>
              <w:spacing w:before="0" w:beforeAutospacing="0" w:after="0" w:afterAutospacing="0"/>
              <w:rPr>
                <w:sz w:val="20"/>
                <w:szCs w:val="20"/>
              </w:rPr>
            </w:pPr>
            <w:r>
              <w:rPr>
                <w:sz w:val="20"/>
                <w:szCs w:val="20"/>
              </w:rPr>
              <w:t> </w:t>
            </w:r>
          </w:p>
        </w:tc>
        <w:tc>
          <w:tcPr>
            <w:tcW w:w="300" w:type="pct"/>
            <w:gridSpan w:val="2"/>
            <w:vAlign w:val="bottom"/>
            <w:hideMark/>
          </w:tcPr>
          <w:p w14:paraId="3D01D36E" w14:textId="77777777" w:rsidR="002B5D06" w:rsidRDefault="000B69DD">
            <w:pPr>
              <w:pStyle w:val="NormalWeb"/>
              <w:spacing w:before="0" w:beforeAutospacing="0" w:after="0" w:afterAutospacing="0"/>
              <w:jc w:val="center"/>
              <w:rPr>
                <w:sz w:val="20"/>
                <w:szCs w:val="20"/>
              </w:rPr>
            </w:pPr>
            <w:r>
              <w:rPr>
                <w:rStyle w:val="Strong"/>
                <w:sz w:val="20"/>
                <w:szCs w:val="20"/>
              </w:rPr>
              <w:t>Total Stockholders’ Equity</w:t>
            </w:r>
          </w:p>
        </w:tc>
        <w:tc>
          <w:tcPr>
            <w:tcW w:w="0" w:type="auto"/>
            <w:noWrap/>
            <w:vAlign w:val="center"/>
            <w:hideMark/>
          </w:tcPr>
          <w:p w14:paraId="0A18F53C" w14:textId="77777777" w:rsidR="002B5D06" w:rsidRDefault="000B69DD">
            <w:pPr>
              <w:pStyle w:val="NormalWeb"/>
              <w:spacing w:before="0" w:beforeAutospacing="0" w:after="0" w:afterAutospacing="0"/>
              <w:rPr>
                <w:sz w:val="20"/>
                <w:szCs w:val="20"/>
              </w:rPr>
            </w:pPr>
            <w:r>
              <w:rPr>
                <w:sz w:val="20"/>
                <w:szCs w:val="20"/>
              </w:rPr>
              <w:t> </w:t>
            </w:r>
          </w:p>
        </w:tc>
      </w:tr>
      <w:tr w:rsidR="002B5D06" w14:paraId="4186FF1D" w14:textId="77777777">
        <w:trPr>
          <w:divId w:val="1684360448"/>
          <w:trHeight w:val="225"/>
          <w:tblCellSpacing w:w="15" w:type="dxa"/>
          <w:jc w:val="center"/>
        </w:trPr>
        <w:tc>
          <w:tcPr>
            <w:tcW w:w="0" w:type="auto"/>
            <w:vAlign w:val="center"/>
            <w:hideMark/>
          </w:tcPr>
          <w:p w14:paraId="52419BE0"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3A05AF20" w14:textId="77777777" w:rsidR="002B5D06" w:rsidRDefault="000B69DD">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071C34CC" w14:textId="77777777" w:rsidR="002B5D06" w:rsidRDefault="000B69DD">
            <w:pPr>
              <w:pStyle w:val="NormalWeb"/>
              <w:spacing w:before="0" w:beforeAutospacing="0" w:after="0" w:afterAutospacing="0"/>
              <w:jc w:val="center"/>
              <w:rPr>
                <w:sz w:val="20"/>
                <w:szCs w:val="20"/>
              </w:rPr>
            </w:pPr>
            <w:r>
              <w:rPr>
                <w:rStyle w:val="Strong"/>
                <w:sz w:val="20"/>
                <w:szCs w:val="20"/>
              </w:rPr>
              <w:t>Shares</w:t>
            </w:r>
          </w:p>
        </w:tc>
        <w:tc>
          <w:tcPr>
            <w:tcW w:w="0" w:type="auto"/>
            <w:noWrap/>
            <w:tcMar>
              <w:top w:w="0" w:type="dxa"/>
              <w:left w:w="0" w:type="dxa"/>
              <w:bottom w:w="15" w:type="dxa"/>
              <w:right w:w="0" w:type="dxa"/>
            </w:tcMar>
            <w:vAlign w:val="center"/>
            <w:hideMark/>
          </w:tcPr>
          <w:p w14:paraId="6022253D"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18FB78AB" w14:textId="77777777" w:rsidR="002B5D06" w:rsidRDefault="000B69DD">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0250F3FE" w14:textId="77777777" w:rsidR="002B5D06" w:rsidRDefault="000B69DD">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76AD0FC4"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6842D0C2" w14:textId="77777777" w:rsidR="002B5D06" w:rsidRDefault="000B69DD">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664F8B4D" w14:textId="77777777" w:rsidR="002B5D06" w:rsidRDefault="000B69DD">
            <w:pPr>
              <w:pStyle w:val="NormalWeb"/>
              <w:spacing w:before="0" w:beforeAutospacing="0" w:after="0" w:afterAutospacing="0"/>
              <w:jc w:val="center"/>
              <w:rPr>
                <w:sz w:val="20"/>
                <w:szCs w:val="20"/>
              </w:rPr>
            </w:pPr>
            <w:r>
              <w:rPr>
                <w:rStyle w:val="Strong"/>
                <w:sz w:val="20"/>
                <w:szCs w:val="20"/>
              </w:rPr>
              <w:t>Shares</w:t>
            </w:r>
          </w:p>
        </w:tc>
        <w:tc>
          <w:tcPr>
            <w:tcW w:w="0" w:type="auto"/>
            <w:noWrap/>
            <w:tcMar>
              <w:top w:w="0" w:type="dxa"/>
              <w:left w:w="0" w:type="dxa"/>
              <w:bottom w:w="15" w:type="dxa"/>
              <w:right w:w="0" w:type="dxa"/>
            </w:tcMar>
            <w:vAlign w:val="center"/>
            <w:hideMark/>
          </w:tcPr>
          <w:p w14:paraId="149FE73C"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5576AF9A" w14:textId="77777777" w:rsidR="002B5D06" w:rsidRDefault="000B69DD">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453B99BC" w14:textId="77777777" w:rsidR="002B5D06" w:rsidRDefault="000B69DD">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1A85A5A1"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142FCD49" w14:textId="77777777" w:rsidR="002B5D06" w:rsidRDefault="000B69DD">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08E31B0D" w14:textId="77777777" w:rsidR="002B5D06" w:rsidRDefault="000B69DD">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0B9177AD"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66A8D2EE" w14:textId="77777777" w:rsidR="002B5D06" w:rsidRDefault="000B69DD">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75B0DF4E" w14:textId="77777777" w:rsidR="002B5D06" w:rsidRDefault="000B69DD">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1D73B44A"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7AD84595" w14:textId="77777777" w:rsidR="002B5D06" w:rsidRDefault="000B69DD">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55F26900" w14:textId="77777777" w:rsidR="002B5D06" w:rsidRDefault="000B69DD">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4FB31937"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24DB2242" w14:textId="77777777" w:rsidR="002B5D06" w:rsidRDefault="000B69DD">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05BDF833" w14:textId="77777777" w:rsidR="002B5D06" w:rsidRDefault="000B69DD">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63E7752C" w14:textId="77777777" w:rsidR="002B5D06" w:rsidRDefault="000B69DD">
            <w:pPr>
              <w:pStyle w:val="NormalWeb"/>
              <w:spacing w:before="0" w:beforeAutospacing="0" w:after="0" w:afterAutospacing="0"/>
              <w:rPr>
                <w:sz w:val="20"/>
                <w:szCs w:val="20"/>
              </w:rPr>
            </w:pPr>
            <w:r>
              <w:rPr>
                <w:sz w:val="20"/>
                <w:szCs w:val="20"/>
              </w:rPr>
              <w:t> </w:t>
            </w:r>
          </w:p>
        </w:tc>
      </w:tr>
      <w:tr w:rsidR="000B69DD" w14:paraId="1BCE0640" w14:textId="77777777">
        <w:trPr>
          <w:divId w:val="1684360448"/>
          <w:trHeight w:val="225"/>
          <w:tblCellSpacing w:w="15" w:type="dxa"/>
          <w:jc w:val="center"/>
        </w:trPr>
        <w:tc>
          <w:tcPr>
            <w:tcW w:w="0" w:type="auto"/>
            <w:shd w:val="clear" w:color="auto" w:fill="CCEEFF"/>
            <w:hideMark/>
          </w:tcPr>
          <w:p w14:paraId="72F5C51D" w14:textId="77777777" w:rsidR="002B5D06" w:rsidRDefault="000B69DD">
            <w:pPr>
              <w:pStyle w:val="NormalWeb"/>
              <w:spacing w:before="0" w:beforeAutospacing="0" w:after="0" w:afterAutospacing="0"/>
              <w:rPr>
                <w:sz w:val="20"/>
                <w:szCs w:val="20"/>
              </w:rPr>
            </w:pPr>
            <w:r>
              <w:rPr>
                <w:rStyle w:val="Strong"/>
                <w:sz w:val="20"/>
                <w:szCs w:val="20"/>
              </w:rPr>
              <w:t>Balance at June 30, 2023</w:t>
            </w:r>
          </w:p>
        </w:tc>
        <w:tc>
          <w:tcPr>
            <w:tcW w:w="50" w:type="pct"/>
            <w:shd w:val="clear" w:color="auto" w:fill="CCEEFF"/>
            <w:noWrap/>
            <w:vAlign w:val="center"/>
            <w:hideMark/>
          </w:tcPr>
          <w:p w14:paraId="5997D19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051330D"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36204A59" w14:textId="77777777" w:rsidR="002B5D06" w:rsidRDefault="000B69DD">
            <w:pPr>
              <w:jc w:val="right"/>
              <w:rPr>
                <w:rFonts w:eastAsia="Times New Roman"/>
                <w:sz w:val="20"/>
                <w:szCs w:val="20"/>
              </w:rPr>
            </w:pPr>
            <w:r>
              <w:rPr>
                <w:rFonts w:eastAsia="Times New Roman"/>
                <w:sz w:val="20"/>
                <w:szCs w:val="20"/>
              </w:rPr>
              <w:t>5,000</w:t>
            </w:r>
          </w:p>
        </w:tc>
        <w:tc>
          <w:tcPr>
            <w:tcW w:w="50" w:type="pct"/>
            <w:shd w:val="clear" w:color="auto" w:fill="CCEEFF"/>
            <w:noWrap/>
            <w:vAlign w:val="center"/>
            <w:hideMark/>
          </w:tcPr>
          <w:p w14:paraId="0FD0FCE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F82986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01CD479" w14:textId="77777777" w:rsidR="002B5D06" w:rsidRDefault="000B69DD">
            <w:pPr>
              <w:rPr>
                <w:rFonts w:eastAsia="Times New Roman"/>
                <w:sz w:val="20"/>
                <w:szCs w:val="20"/>
              </w:rPr>
            </w:pPr>
            <w:r>
              <w:rPr>
                <w:rFonts w:eastAsia="Times New Roman"/>
                <w:sz w:val="20"/>
                <w:szCs w:val="20"/>
              </w:rPr>
              <w:t>$</w:t>
            </w:r>
          </w:p>
        </w:tc>
        <w:tc>
          <w:tcPr>
            <w:tcW w:w="300" w:type="pct"/>
            <w:shd w:val="clear" w:color="auto" w:fill="CCEEFF"/>
            <w:vAlign w:val="bottom"/>
            <w:hideMark/>
          </w:tcPr>
          <w:p w14:paraId="5D0FFCDF" w14:textId="77777777" w:rsidR="002B5D06" w:rsidRDefault="000B69DD">
            <w:pPr>
              <w:jc w:val="right"/>
              <w:rPr>
                <w:rFonts w:eastAsia="Times New Roman"/>
                <w:sz w:val="20"/>
                <w:szCs w:val="20"/>
              </w:rPr>
            </w:pPr>
            <w:r>
              <w:rPr>
                <w:rFonts w:eastAsia="Times New Roman"/>
                <w:sz w:val="20"/>
                <w:szCs w:val="20"/>
              </w:rPr>
              <w:t>50</w:t>
            </w:r>
          </w:p>
        </w:tc>
        <w:tc>
          <w:tcPr>
            <w:tcW w:w="50" w:type="pct"/>
            <w:shd w:val="clear" w:color="auto" w:fill="CCEEFF"/>
            <w:noWrap/>
            <w:vAlign w:val="center"/>
            <w:hideMark/>
          </w:tcPr>
          <w:p w14:paraId="4964EBD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FB7DE4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BD862AE"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074E68DC" w14:textId="77777777" w:rsidR="002B5D06" w:rsidRDefault="000B69DD">
            <w:pPr>
              <w:jc w:val="right"/>
              <w:rPr>
                <w:rFonts w:eastAsia="Times New Roman"/>
                <w:sz w:val="20"/>
                <w:szCs w:val="20"/>
              </w:rPr>
            </w:pPr>
            <w:r>
              <w:rPr>
                <w:rFonts w:eastAsia="Times New Roman"/>
                <w:sz w:val="20"/>
                <w:szCs w:val="20"/>
              </w:rPr>
              <w:t>3,292,945</w:t>
            </w:r>
          </w:p>
        </w:tc>
        <w:tc>
          <w:tcPr>
            <w:tcW w:w="50" w:type="pct"/>
            <w:shd w:val="clear" w:color="auto" w:fill="CCEEFF"/>
            <w:noWrap/>
            <w:vAlign w:val="center"/>
            <w:hideMark/>
          </w:tcPr>
          <w:p w14:paraId="6619638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70B7D2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ECCC524" w14:textId="77777777" w:rsidR="002B5D06" w:rsidRDefault="000B69DD">
            <w:pPr>
              <w:rPr>
                <w:rFonts w:eastAsia="Times New Roman"/>
                <w:sz w:val="20"/>
                <w:szCs w:val="20"/>
              </w:rPr>
            </w:pPr>
            <w:r>
              <w:rPr>
                <w:rFonts w:eastAsia="Times New Roman"/>
                <w:sz w:val="20"/>
                <w:szCs w:val="20"/>
              </w:rPr>
              <w:t>$</w:t>
            </w:r>
          </w:p>
        </w:tc>
        <w:tc>
          <w:tcPr>
            <w:tcW w:w="300" w:type="pct"/>
            <w:shd w:val="clear" w:color="auto" w:fill="CCEEFF"/>
            <w:vAlign w:val="bottom"/>
            <w:hideMark/>
          </w:tcPr>
          <w:p w14:paraId="60B3C1AE" w14:textId="77777777" w:rsidR="002B5D06" w:rsidRDefault="000B69DD">
            <w:pPr>
              <w:jc w:val="right"/>
              <w:rPr>
                <w:rFonts w:eastAsia="Times New Roman"/>
                <w:sz w:val="20"/>
                <w:szCs w:val="20"/>
              </w:rPr>
            </w:pPr>
            <w:r>
              <w:rPr>
                <w:rFonts w:eastAsia="Times New Roman"/>
                <w:sz w:val="20"/>
                <w:szCs w:val="20"/>
              </w:rPr>
              <w:t>32,929</w:t>
            </w:r>
          </w:p>
        </w:tc>
        <w:tc>
          <w:tcPr>
            <w:tcW w:w="50" w:type="pct"/>
            <w:shd w:val="clear" w:color="auto" w:fill="CCEEFF"/>
            <w:noWrap/>
            <w:vAlign w:val="center"/>
            <w:hideMark/>
          </w:tcPr>
          <w:p w14:paraId="6B1A149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295B42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42D5CBE" w14:textId="77777777" w:rsidR="002B5D06" w:rsidRDefault="000B69DD">
            <w:pPr>
              <w:rPr>
                <w:rFonts w:eastAsia="Times New Roman"/>
                <w:sz w:val="20"/>
                <w:szCs w:val="20"/>
              </w:rPr>
            </w:pPr>
            <w:r>
              <w:rPr>
                <w:rFonts w:eastAsia="Times New Roman"/>
                <w:sz w:val="20"/>
                <w:szCs w:val="20"/>
              </w:rPr>
              <w:t>$</w:t>
            </w:r>
          </w:p>
        </w:tc>
        <w:tc>
          <w:tcPr>
            <w:tcW w:w="300" w:type="pct"/>
            <w:shd w:val="clear" w:color="auto" w:fill="CCEEFF"/>
            <w:vAlign w:val="bottom"/>
            <w:hideMark/>
          </w:tcPr>
          <w:p w14:paraId="7B4BA250" w14:textId="77777777" w:rsidR="002B5D06" w:rsidRDefault="000B69DD">
            <w:pPr>
              <w:jc w:val="right"/>
              <w:rPr>
                <w:rFonts w:eastAsia="Times New Roman"/>
                <w:sz w:val="20"/>
                <w:szCs w:val="20"/>
              </w:rPr>
            </w:pPr>
            <w:r>
              <w:rPr>
                <w:rFonts w:eastAsia="Times New Roman"/>
                <w:sz w:val="20"/>
                <w:szCs w:val="20"/>
              </w:rPr>
              <w:t>21,057,116</w:t>
            </w:r>
          </w:p>
        </w:tc>
        <w:tc>
          <w:tcPr>
            <w:tcW w:w="50" w:type="pct"/>
            <w:shd w:val="clear" w:color="auto" w:fill="CCEEFF"/>
            <w:noWrap/>
            <w:vAlign w:val="center"/>
            <w:hideMark/>
          </w:tcPr>
          <w:p w14:paraId="1F9EC73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94DF92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F5B2089" w14:textId="77777777" w:rsidR="002B5D06" w:rsidRDefault="000B69DD">
            <w:pPr>
              <w:rPr>
                <w:rFonts w:eastAsia="Times New Roman"/>
                <w:sz w:val="20"/>
                <w:szCs w:val="20"/>
              </w:rPr>
            </w:pPr>
            <w:r>
              <w:rPr>
                <w:rFonts w:eastAsia="Times New Roman"/>
                <w:sz w:val="20"/>
                <w:szCs w:val="20"/>
              </w:rPr>
              <w:t>$</w:t>
            </w:r>
          </w:p>
        </w:tc>
        <w:tc>
          <w:tcPr>
            <w:tcW w:w="300" w:type="pct"/>
            <w:shd w:val="clear" w:color="auto" w:fill="CCEEFF"/>
            <w:vAlign w:val="bottom"/>
            <w:hideMark/>
          </w:tcPr>
          <w:p w14:paraId="55FBEE6D" w14:textId="77777777" w:rsidR="002B5D06" w:rsidRDefault="000B69DD">
            <w:pPr>
              <w:jc w:val="right"/>
              <w:rPr>
                <w:rFonts w:eastAsia="Times New Roman"/>
                <w:sz w:val="20"/>
                <w:szCs w:val="20"/>
              </w:rPr>
            </w:pPr>
            <w:r>
              <w:rPr>
                <w:rFonts w:eastAsia="Times New Roman"/>
                <w:sz w:val="20"/>
                <w:szCs w:val="20"/>
              </w:rPr>
              <w:t xml:space="preserve">(20,762,335 </w:t>
            </w:r>
          </w:p>
        </w:tc>
        <w:tc>
          <w:tcPr>
            <w:tcW w:w="50" w:type="pct"/>
            <w:shd w:val="clear" w:color="auto" w:fill="CCEEFF"/>
            <w:noWrap/>
            <w:vAlign w:val="bottom"/>
            <w:hideMark/>
          </w:tcPr>
          <w:p w14:paraId="3CF6B074" w14:textId="77777777" w:rsidR="002B5D06" w:rsidRDefault="000B69DD">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5EDC1859"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C9EEFBD" w14:textId="77777777" w:rsidR="002B5D06" w:rsidRDefault="000B69DD">
            <w:pPr>
              <w:rPr>
                <w:rFonts w:eastAsia="Times New Roman"/>
                <w:sz w:val="20"/>
                <w:szCs w:val="20"/>
              </w:rPr>
            </w:pPr>
            <w:r>
              <w:rPr>
                <w:rFonts w:eastAsia="Times New Roman"/>
                <w:sz w:val="20"/>
                <w:szCs w:val="20"/>
              </w:rPr>
              <w:t>$</w:t>
            </w:r>
          </w:p>
        </w:tc>
        <w:tc>
          <w:tcPr>
            <w:tcW w:w="300" w:type="pct"/>
            <w:shd w:val="clear" w:color="auto" w:fill="CCEEFF"/>
            <w:vAlign w:val="bottom"/>
            <w:hideMark/>
          </w:tcPr>
          <w:p w14:paraId="38600498" w14:textId="77777777" w:rsidR="002B5D06" w:rsidRDefault="000B69DD">
            <w:pPr>
              <w:jc w:val="right"/>
              <w:rPr>
                <w:rFonts w:eastAsia="Times New Roman"/>
                <w:sz w:val="20"/>
                <w:szCs w:val="20"/>
              </w:rPr>
            </w:pPr>
            <w:r>
              <w:rPr>
                <w:rFonts w:eastAsia="Times New Roman"/>
                <w:sz w:val="20"/>
                <w:szCs w:val="20"/>
              </w:rPr>
              <w:t>23,019</w:t>
            </w:r>
          </w:p>
        </w:tc>
        <w:tc>
          <w:tcPr>
            <w:tcW w:w="50" w:type="pct"/>
            <w:shd w:val="clear" w:color="auto" w:fill="CCEEFF"/>
            <w:noWrap/>
            <w:vAlign w:val="center"/>
            <w:hideMark/>
          </w:tcPr>
          <w:p w14:paraId="569D1A6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409C8F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66E86E3" w14:textId="77777777" w:rsidR="002B5D06" w:rsidRDefault="000B69DD">
            <w:pPr>
              <w:rPr>
                <w:rFonts w:eastAsia="Times New Roman"/>
                <w:sz w:val="20"/>
                <w:szCs w:val="20"/>
              </w:rPr>
            </w:pPr>
            <w:r>
              <w:rPr>
                <w:rFonts w:eastAsia="Times New Roman"/>
                <w:sz w:val="20"/>
                <w:szCs w:val="20"/>
              </w:rPr>
              <w:t>$</w:t>
            </w:r>
          </w:p>
        </w:tc>
        <w:tc>
          <w:tcPr>
            <w:tcW w:w="300" w:type="pct"/>
            <w:shd w:val="clear" w:color="auto" w:fill="CCEEFF"/>
            <w:vAlign w:val="bottom"/>
            <w:hideMark/>
          </w:tcPr>
          <w:p w14:paraId="39399B4A" w14:textId="77777777" w:rsidR="002B5D06" w:rsidRDefault="000B69DD">
            <w:pPr>
              <w:jc w:val="right"/>
              <w:rPr>
                <w:rFonts w:eastAsia="Times New Roman"/>
                <w:sz w:val="20"/>
                <w:szCs w:val="20"/>
              </w:rPr>
            </w:pPr>
            <w:r>
              <w:rPr>
                <w:rFonts w:eastAsia="Times New Roman"/>
                <w:sz w:val="20"/>
                <w:szCs w:val="20"/>
              </w:rPr>
              <w:t>350,779</w:t>
            </w:r>
          </w:p>
        </w:tc>
        <w:tc>
          <w:tcPr>
            <w:tcW w:w="50" w:type="pct"/>
            <w:shd w:val="clear" w:color="auto" w:fill="CCEEFF"/>
            <w:noWrap/>
            <w:vAlign w:val="center"/>
            <w:hideMark/>
          </w:tcPr>
          <w:p w14:paraId="72074424" w14:textId="77777777" w:rsidR="002B5D06" w:rsidRDefault="000B69DD">
            <w:pPr>
              <w:pStyle w:val="NormalWeb"/>
              <w:spacing w:before="0" w:beforeAutospacing="0" w:after="0" w:afterAutospacing="0"/>
              <w:rPr>
                <w:sz w:val="20"/>
                <w:szCs w:val="20"/>
              </w:rPr>
            </w:pPr>
            <w:r>
              <w:rPr>
                <w:sz w:val="20"/>
                <w:szCs w:val="20"/>
              </w:rPr>
              <w:t> </w:t>
            </w:r>
          </w:p>
        </w:tc>
      </w:tr>
      <w:tr w:rsidR="000B69DD" w14:paraId="4995C0C8" w14:textId="77777777">
        <w:trPr>
          <w:divId w:val="1684360448"/>
          <w:trHeight w:val="225"/>
          <w:tblCellSpacing w:w="15" w:type="dxa"/>
          <w:jc w:val="center"/>
        </w:trPr>
        <w:tc>
          <w:tcPr>
            <w:tcW w:w="0" w:type="auto"/>
            <w:shd w:val="clear" w:color="auto" w:fill="FFFFFF"/>
            <w:hideMark/>
          </w:tcPr>
          <w:p w14:paraId="49D291C0" w14:textId="77777777" w:rsidR="002B5D06" w:rsidRDefault="000B69DD">
            <w:pPr>
              <w:pStyle w:val="NormalWeb"/>
              <w:spacing w:before="0" w:beforeAutospacing="0" w:after="0" w:afterAutospacing="0"/>
              <w:ind w:left="225"/>
              <w:rPr>
                <w:sz w:val="20"/>
                <w:szCs w:val="20"/>
              </w:rPr>
            </w:pPr>
            <w:r>
              <w:rPr>
                <w:sz w:val="20"/>
                <w:szCs w:val="20"/>
              </w:rPr>
              <w:t>Foreign Currency Translation Adjustment</w:t>
            </w:r>
          </w:p>
        </w:tc>
        <w:tc>
          <w:tcPr>
            <w:tcW w:w="50" w:type="pct"/>
            <w:shd w:val="clear" w:color="auto" w:fill="FFFFFF"/>
            <w:noWrap/>
            <w:vAlign w:val="center"/>
            <w:hideMark/>
          </w:tcPr>
          <w:p w14:paraId="2E2E5E0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3DAD065"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3C798AF5"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1DD4B1C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3B59BF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92CA5FF"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70E916FA"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392371E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FD47E5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6005D0C"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46FE7617"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2B053D4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30D90D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A7B1240"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1E780249"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CFC7D9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D6BDAB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DB32AF3"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4D837F39"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48B48A7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130F27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DD37788"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149D793F"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8411B6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4C472F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F7B4B04"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27F9B7D7" w14:textId="77777777" w:rsidR="002B5D06" w:rsidRDefault="000B69DD">
            <w:pPr>
              <w:jc w:val="right"/>
              <w:rPr>
                <w:rFonts w:eastAsia="Times New Roman"/>
                <w:sz w:val="20"/>
                <w:szCs w:val="20"/>
              </w:rPr>
            </w:pPr>
            <w:r>
              <w:rPr>
                <w:rFonts w:eastAsia="Times New Roman"/>
                <w:sz w:val="20"/>
                <w:szCs w:val="20"/>
              </w:rPr>
              <w:t xml:space="preserve">(14,406 </w:t>
            </w:r>
          </w:p>
        </w:tc>
        <w:tc>
          <w:tcPr>
            <w:tcW w:w="50" w:type="pct"/>
            <w:shd w:val="clear" w:color="auto" w:fill="FFFFFF"/>
            <w:noWrap/>
            <w:vAlign w:val="bottom"/>
            <w:hideMark/>
          </w:tcPr>
          <w:p w14:paraId="320E6F59" w14:textId="77777777" w:rsidR="002B5D06" w:rsidRDefault="000B69DD">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6ED284A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D387E12"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1B494C63" w14:textId="77777777" w:rsidR="002B5D06" w:rsidRDefault="000B69DD">
            <w:pPr>
              <w:jc w:val="right"/>
              <w:rPr>
                <w:rFonts w:eastAsia="Times New Roman"/>
                <w:sz w:val="20"/>
                <w:szCs w:val="20"/>
              </w:rPr>
            </w:pPr>
            <w:r>
              <w:rPr>
                <w:rFonts w:eastAsia="Times New Roman"/>
                <w:sz w:val="20"/>
                <w:szCs w:val="20"/>
              </w:rPr>
              <w:t xml:space="preserve">(14,406 </w:t>
            </w:r>
          </w:p>
        </w:tc>
        <w:tc>
          <w:tcPr>
            <w:tcW w:w="50" w:type="pct"/>
            <w:shd w:val="clear" w:color="auto" w:fill="FFFFFF"/>
            <w:noWrap/>
            <w:vAlign w:val="bottom"/>
            <w:hideMark/>
          </w:tcPr>
          <w:p w14:paraId="66042F41" w14:textId="77777777" w:rsidR="002B5D06" w:rsidRDefault="000B69DD">
            <w:pPr>
              <w:rPr>
                <w:rFonts w:eastAsia="Times New Roman"/>
                <w:sz w:val="20"/>
                <w:szCs w:val="20"/>
              </w:rPr>
            </w:pPr>
            <w:r>
              <w:rPr>
                <w:rFonts w:eastAsia="Times New Roman"/>
                <w:sz w:val="20"/>
                <w:szCs w:val="20"/>
              </w:rPr>
              <w:t>)</w:t>
            </w:r>
          </w:p>
        </w:tc>
      </w:tr>
      <w:tr w:rsidR="000B69DD" w14:paraId="1C7B5D84" w14:textId="77777777">
        <w:trPr>
          <w:divId w:val="1684360448"/>
          <w:trHeight w:val="225"/>
          <w:tblCellSpacing w:w="15" w:type="dxa"/>
          <w:jc w:val="center"/>
        </w:trPr>
        <w:tc>
          <w:tcPr>
            <w:tcW w:w="0" w:type="auto"/>
            <w:shd w:val="clear" w:color="auto" w:fill="CCEEFF"/>
            <w:hideMark/>
          </w:tcPr>
          <w:p w14:paraId="11118F47" w14:textId="77777777" w:rsidR="002B5D06" w:rsidRDefault="000B69DD">
            <w:pPr>
              <w:pStyle w:val="NormalWeb"/>
              <w:spacing w:before="0" w:beforeAutospacing="0" w:after="0" w:afterAutospacing="0"/>
              <w:ind w:left="225"/>
              <w:rPr>
                <w:sz w:val="20"/>
                <w:szCs w:val="20"/>
              </w:rPr>
            </w:pPr>
            <w:r>
              <w:rPr>
                <w:sz w:val="20"/>
                <w:szCs w:val="20"/>
              </w:rPr>
              <w:t>Net Income</w:t>
            </w:r>
          </w:p>
        </w:tc>
        <w:tc>
          <w:tcPr>
            <w:tcW w:w="50" w:type="pct"/>
            <w:shd w:val="clear" w:color="auto" w:fill="CCEEFF"/>
            <w:noWrap/>
            <w:vAlign w:val="center"/>
            <w:hideMark/>
          </w:tcPr>
          <w:p w14:paraId="69B2495E"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77B58C49" w14:textId="77777777" w:rsidR="002B5D06" w:rsidRDefault="000B69DD">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0AD3D75D"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7BF9D49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A5D7B79"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2F56A9E6" w14:textId="77777777" w:rsidR="002B5D06" w:rsidRDefault="000B69DD">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2AC0A756"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3BE04C5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6DE2F27"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34C3BAD1" w14:textId="77777777" w:rsidR="002B5D06" w:rsidRDefault="000B69DD">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53E2C0FC"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3D12745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8050911"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44398926" w14:textId="77777777" w:rsidR="002B5D06" w:rsidRDefault="000B69DD">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6E4F4494"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7206D06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A77171B"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15BE2620" w14:textId="77777777" w:rsidR="002B5D06" w:rsidRDefault="000B69DD">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3AC95FC2"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5A6B6FE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6B14710"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3A000F99" w14:textId="77777777" w:rsidR="002B5D06" w:rsidRDefault="000B69DD">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2F6331CE" w14:textId="77777777" w:rsidR="002B5D06" w:rsidRDefault="000B69DD">
            <w:pPr>
              <w:jc w:val="right"/>
              <w:rPr>
                <w:rFonts w:eastAsia="Times New Roman"/>
                <w:sz w:val="20"/>
                <w:szCs w:val="20"/>
              </w:rPr>
            </w:pPr>
            <w:r>
              <w:rPr>
                <w:rFonts w:eastAsia="Times New Roman"/>
                <w:sz w:val="20"/>
                <w:szCs w:val="20"/>
              </w:rPr>
              <w:t>5,564</w:t>
            </w:r>
          </w:p>
        </w:tc>
        <w:tc>
          <w:tcPr>
            <w:tcW w:w="50" w:type="pct"/>
            <w:shd w:val="clear" w:color="auto" w:fill="CCEEFF"/>
            <w:noWrap/>
            <w:tcMar>
              <w:top w:w="0" w:type="dxa"/>
              <w:left w:w="0" w:type="dxa"/>
              <w:bottom w:w="15" w:type="dxa"/>
              <w:right w:w="0" w:type="dxa"/>
            </w:tcMar>
            <w:vAlign w:val="center"/>
            <w:hideMark/>
          </w:tcPr>
          <w:p w14:paraId="0B7A81C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5D1963E"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047DB865" w14:textId="77777777" w:rsidR="002B5D06" w:rsidRDefault="000B69DD">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6617B582"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369B2C9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A0B94EB"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295CEE50" w14:textId="77777777" w:rsidR="002B5D06" w:rsidRDefault="000B69DD">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6D2F3F1D" w14:textId="77777777" w:rsidR="002B5D06" w:rsidRDefault="000B69DD">
            <w:pPr>
              <w:jc w:val="right"/>
              <w:rPr>
                <w:rFonts w:eastAsia="Times New Roman"/>
                <w:sz w:val="20"/>
                <w:szCs w:val="20"/>
              </w:rPr>
            </w:pPr>
            <w:r>
              <w:rPr>
                <w:rFonts w:eastAsia="Times New Roman"/>
                <w:sz w:val="20"/>
                <w:szCs w:val="20"/>
              </w:rPr>
              <w:t>5,564</w:t>
            </w:r>
          </w:p>
        </w:tc>
        <w:tc>
          <w:tcPr>
            <w:tcW w:w="50" w:type="pct"/>
            <w:shd w:val="clear" w:color="auto" w:fill="CCEEFF"/>
            <w:noWrap/>
            <w:tcMar>
              <w:top w:w="0" w:type="dxa"/>
              <w:left w:w="0" w:type="dxa"/>
              <w:bottom w:w="15" w:type="dxa"/>
              <w:right w:w="0" w:type="dxa"/>
            </w:tcMar>
            <w:vAlign w:val="center"/>
            <w:hideMark/>
          </w:tcPr>
          <w:p w14:paraId="48952363" w14:textId="77777777" w:rsidR="002B5D06" w:rsidRDefault="000B69DD">
            <w:pPr>
              <w:pStyle w:val="NormalWeb"/>
              <w:spacing w:before="0" w:beforeAutospacing="0" w:after="0" w:afterAutospacing="0"/>
              <w:rPr>
                <w:sz w:val="20"/>
                <w:szCs w:val="20"/>
              </w:rPr>
            </w:pPr>
            <w:r>
              <w:rPr>
                <w:sz w:val="20"/>
                <w:szCs w:val="20"/>
              </w:rPr>
              <w:t> </w:t>
            </w:r>
          </w:p>
        </w:tc>
      </w:tr>
      <w:tr w:rsidR="000B69DD" w14:paraId="09FFBF42" w14:textId="77777777">
        <w:trPr>
          <w:divId w:val="1684360448"/>
          <w:trHeight w:val="225"/>
          <w:tblCellSpacing w:w="15" w:type="dxa"/>
          <w:jc w:val="center"/>
        </w:trPr>
        <w:tc>
          <w:tcPr>
            <w:tcW w:w="0" w:type="auto"/>
            <w:shd w:val="clear" w:color="auto" w:fill="FFFFFF"/>
            <w:hideMark/>
          </w:tcPr>
          <w:p w14:paraId="43BF4E8B" w14:textId="77777777" w:rsidR="002B5D06" w:rsidRDefault="000B69DD">
            <w:pPr>
              <w:pStyle w:val="NormalWeb"/>
              <w:spacing w:before="0" w:beforeAutospacing="0" w:after="0" w:afterAutospacing="0"/>
              <w:rPr>
                <w:sz w:val="20"/>
                <w:szCs w:val="20"/>
              </w:rPr>
            </w:pPr>
            <w:r>
              <w:rPr>
                <w:rStyle w:val="Strong"/>
                <w:sz w:val="20"/>
                <w:szCs w:val="20"/>
              </w:rPr>
              <w:t>Balance at June 30, 2024</w:t>
            </w:r>
          </w:p>
        </w:tc>
        <w:tc>
          <w:tcPr>
            <w:tcW w:w="50" w:type="pct"/>
            <w:shd w:val="clear" w:color="auto" w:fill="FFFFFF"/>
            <w:noWrap/>
            <w:vAlign w:val="center"/>
            <w:hideMark/>
          </w:tcPr>
          <w:p w14:paraId="1D35102D"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7BA547C" w14:textId="77777777" w:rsidR="002B5D06" w:rsidRDefault="000B69DD">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bottom"/>
            <w:hideMark/>
          </w:tcPr>
          <w:p w14:paraId="6247CD1F" w14:textId="77777777" w:rsidR="002B5D06" w:rsidRDefault="000B69DD">
            <w:pPr>
              <w:jc w:val="right"/>
              <w:rPr>
                <w:rFonts w:eastAsia="Times New Roman"/>
                <w:sz w:val="20"/>
                <w:szCs w:val="20"/>
              </w:rPr>
            </w:pPr>
            <w:r>
              <w:rPr>
                <w:rFonts w:eastAsia="Times New Roman"/>
                <w:sz w:val="20"/>
                <w:szCs w:val="20"/>
              </w:rPr>
              <w:t>5,000</w:t>
            </w:r>
          </w:p>
        </w:tc>
        <w:tc>
          <w:tcPr>
            <w:tcW w:w="50" w:type="pct"/>
            <w:shd w:val="clear" w:color="auto" w:fill="FFFFFF"/>
            <w:noWrap/>
            <w:tcMar>
              <w:top w:w="0" w:type="dxa"/>
              <w:left w:w="0" w:type="dxa"/>
              <w:bottom w:w="15" w:type="dxa"/>
              <w:right w:w="0" w:type="dxa"/>
            </w:tcMar>
            <w:vAlign w:val="center"/>
            <w:hideMark/>
          </w:tcPr>
          <w:p w14:paraId="7795015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A605F36"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E316BEA" w14:textId="77777777" w:rsidR="002B5D06" w:rsidRDefault="000B69DD">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bottom"/>
            <w:hideMark/>
          </w:tcPr>
          <w:p w14:paraId="5905CCEB" w14:textId="77777777" w:rsidR="002B5D06" w:rsidRDefault="000B69DD">
            <w:pPr>
              <w:jc w:val="right"/>
              <w:rPr>
                <w:rFonts w:eastAsia="Times New Roman"/>
                <w:sz w:val="20"/>
                <w:szCs w:val="20"/>
              </w:rPr>
            </w:pPr>
            <w:r>
              <w:rPr>
                <w:rFonts w:eastAsia="Times New Roman"/>
                <w:sz w:val="20"/>
                <w:szCs w:val="20"/>
              </w:rPr>
              <w:t>50</w:t>
            </w:r>
          </w:p>
        </w:tc>
        <w:tc>
          <w:tcPr>
            <w:tcW w:w="50" w:type="pct"/>
            <w:shd w:val="clear" w:color="auto" w:fill="FFFFFF"/>
            <w:noWrap/>
            <w:tcMar>
              <w:top w:w="0" w:type="dxa"/>
              <w:left w:w="0" w:type="dxa"/>
              <w:bottom w:w="15" w:type="dxa"/>
              <w:right w:w="0" w:type="dxa"/>
            </w:tcMar>
            <w:vAlign w:val="center"/>
            <w:hideMark/>
          </w:tcPr>
          <w:p w14:paraId="4E93363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09332C6"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A0F8D27" w14:textId="77777777" w:rsidR="002B5D06" w:rsidRDefault="000B69DD">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bottom"/>
            <w:hideMark/>
          </w:tcPr>
          <w:p w14:paraId="31A6E5FD" w14:textId="77777777" w:rsidR="002B5D06" w:rsidRDefault="000B69DD">
            <w:pPr>
              <w:jc w:val="right"/>
              <w:rPr>
                <w:rFonts w:eastAsia="Times New Roman"/>
                <w:sz w:val="20"/>
                <w:szCs w:val="20"/>
              </w:rPr>
            </w:pPr>
            <w:r>
              <w:rPr>
                <w:rFonts w:eastAsia="Times New Roman"/>
                <w:sz w:val="20"/>
                <w:szCs w:val="20"/>
              </w:rPr>
              <w:t>3,292,945</w:t>
            </w:r>
          </w:p>
        </w:tc>
        <w:tc>
          <w:tcPr>
            <w:tcW w:w="50" w:type="pct"/>
            <w:shd w:val="clear" w:color="auto" w:fill="FFFFFF"/>
            <w:noWrap/>
            <w:tcMar>
              <w:top w:w="0" w:type="dxa"/>
              <w:left w:w="0" w:type="dxa"/>
              <w:bottom w:w="15" w:type="dxa"/>
              <w:right w:w="0" w:type="dxa"/>
            </w:tcMar>
            <w:vAlign w:val="center"/>
            <w:hideMark/>
          </w:tcPr>
          <w:p w14:paraId="6AD1F19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32D10EC"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2EEE34F" w14:textId="77777777" w:rsidR="002B5D06" w:rsidRDefault="000B69DD">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bottom"/>
            <w:hideMark/>
          </w:tcPr>
          <w:p w14:paraId="619322AB" w14:textId="77777777" w:rsidR="002B5D06" w:rsidRDefault="000B69DD">
            <w:pPr>
              <w:jc w:val="right"/>
              <w:rPr>
                <w:rFonts w:eastAsia="Times New Roman"/>
                <w:sz w:val="20"/>
                <w:szCs w:val="20"/>
              </w:rPr>
            </w:pPr>
            <w:r>
              <w:rPr>
                <w:rFonts w:eastAsia="Times New Roman"/>
                <w:sz w:val="20"/>
                <w:szCs w:val="20"/>
              </w:rPr>
              <w:t>32,929</w:t>
            </w:r>
          </w:p>
        </w:tc>
        <w:tc>
          <w:tcPr>
            <w:tcW w:w="50" w:type="pct"/>
            <w:shd w:val="clear" w:color="auto" w:fill="FFFFFF"/>
            <w:noWrap/>
            <w:tcMar>
              <w:top w:w="0" w:type="dxa"/>
              <w:left w:w="0" w:type="dxa"/>
              <w:bottom w:w="15" w:type="dxa"/>
              <w:right w:w="0" w:type="dxa"/>
            </w:tcMar>
            <w:vAlign w:val="center"/>
            <w:hideMark/>
          </w:tcPr>
          <w:p w14:paraId="64A5D33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8A49755"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D4E741D" w14:textId="77777777" w:rsidR="002B5D06" w:rsidRDefault="000B69DD">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bottom"/>
            <w:hideMark/>
          </w:tcPr>
          <w:p w14:paraId="75C96D60" w14:textId="77777777" w:rsidR="002B5D06" w:rsidRDefault="000B69DD">
            <w:pPr>
              <w:jc w:val="right"/>
              <w:rPr>
                <w:rFonts w:eastAsia="Times New Roman"/>
                <w:sz w:val="20"/>
                <w:szCs w:val="20"/>
              </w:rPr>
            </w:pPr>
            <w:r>
              <w:rPr>
                <w:rFonts w:eastAsia="Times New Roman"/>
                <w:sz w:val="20"/>
                <w:szCs w:val="20"/>
              </w:rPr>
              <w:t>21,057,116</w:t>
            </w:r>
          </w:p>
        </w:tc>
        <w:tc>
          <w:tcPr>
            <w:tcW w:w="50" w:type="pct"/>
            <w:shd w:val="clear" w:color="auto" w:fill="FFFFFF"/>
            <w:noWrap/>
            <w:tcMar>
              <w:top w:w="0" w:type="dxa"/>
              <w:left w:w="0" w:type="dxa"/>
              <w:bottom w:w="15" w:type="dxa"/>
              <w:right w:w="0" w:type="dxa"/>
            </w:tcMar>
            <w:vAlign w:val="center"/>
            <w:hideMark/>
          </w:tcPr>
          <w:p w14:paraId="4B75EAF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5C4FA81"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0CACD60" w14:textId="77777777" w:rsidR="002B5D06" w:rsidRDefault="000B69DD">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bottom"/>
            <w:hideMark/>
          </w:tcPr>
          <w:p w14:paraId="2F35C3A7" w14:textId="77777777" w:rsidR="002B5D06" w:rsidRDefault="000B69DD">
            <w:pPr>
              <w:jc w:val="right"/>
              <w:rPr>
                <w:rFonts w:eastAsia="Times New Roman"/>
                <w:sz w:val="20"/>
                <w:szCs w:val="20"/>
              </w:rPr>
            </w:pPr>
            <w:r>
              <w:rPr>
                <w:rFonts w:eastAsia="Times New Roman"/>
                <w:sz w:val="20"/>
                <w:szCs w:val="20"/>
              </w:rPr>
              <w:t xml:space="preserve">(20,756,771 </w:t>
            </w:r>
          </w:p>
        </w:tc>
        <w:tc>
          <w:tcPr>
            <w:tcW w:w="50" w:type="pct"/>
            <w:shd w:val="clear" w:color="auto" w:fill="FFFFFF"/>
            <w:noWrap/>
            <w:tcMar>
              <w:top w:w="0" w:type="dxa"/>
              <w:left w:w="0" w:type="dxa"/>
              <w:bottom w:w="15" w:type="dxa"/>
              <w:right w:w="0" w:type="dxa"/>
            </w:tcMar>
            <w:vAlign w:val="bottom"/>
            <w:hideMark/>
          </w:tcPr>
          <w:p w14:paraId="3C9FA72C" w14:textId="77777777" w:rsidR="002B5D06" w:rsidRDefault="000B69DD">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53DD2417"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5BE6FC7" w14:textId="77777777" w:rsidR="002B5D06" w:rsidRDefault="000B69DD">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bottom"/>
            <w:hideMark/>
          </w:tcPr>
          <w:p w14:paraId="55D314EF" w14:textId="77777777" w:rsidR="002B5D06" w:rsidRDefault="000B69DD">
            <w:pPr>
              <w:jc w:val="right"/>
              <w:rPr>
                <w:rFonts w:eastAsia="Times New Roman"/>
                <w:sz w:val="20"/>
                <w:szCs w:val="20"/>
              </w:rPr>
            </w:pPr>
            <w:r>
              <w:rPr>
                <w:rFonts w:eastAsia="Times New Roman"/>
                <w:sz w:val="20"/>
                <w:szCs w:val="20"/>
              </w:rPr>
              <w:t>8,613</w:t>
            </w:r>
          </w:p>
        </w:tc>
        <w:tc>
          <w:tcPr>
            <w:tcW w:w="50" w:type="pct"/>
            <w:shd w:val="clear" w:color="auto" w:fill="FFFFFF"/>
            <w:noWrap/>
            <w:tcMar>
              <w:top w:w="0" w:type="dxa"/>
              <w:left w:w="0" w:type="dxa"/>
              <w:bottom w:w="15" w:type="dxa"/>
              <w:right w:w="0" w:type="dxa"/>
            </w:tcMar>
            <w:vAlign w:val="center"/>
            <w:hideMark/>
          </w:tcPr>
          <w:p w14:paraId="1DD7076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D4356C0"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B63F244" w14:textId="77777777" w:rsidR="002B5D06" w:rsidRDefault="000B69DD">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bottom"/>
            <w:hideMark/>
          </w:tcPr>
          <w:p w14:paraId="445217D5" w14:textId="77777777" w:rsidR="002B5D06" w:rsidRDefault="000B69DD">
            <w:pPr>
              <w:jc w:val="right"/>
              <w:rPr>
                <w:rFonts w:eastAsia="Times New Roman"/>
                <w:sz w:val="20"/>
                <w:szCs w:val="20"/>
              </w:rPr>
            </w:pPr>
            <w:r>
              <w:rPr>
                <w:rFonts w:eastAsia="Times New Roman"/>
                <w:sz w:val="20"/>
                <w:szCs w:val="20"/>
              </w:rPr>
              <w:t>341,937</w:t>
            </w:r>
          </w:p>
        </w:tc>
        <w:tc>
          <w:tcPr>
            <w:tcW w:w="50" w:type="pct"/>
            <w:shd w:val="clear" w:color="auto" w:fill="FFFFFF"/>
            <w:noWrap/>
            <w:tcMar>
              <w:top w:w="0" w:type="dxa"/>
              <w:left w:w="0" w:type="dxa"/>
              <w:bottom w:w="15" w:type="dxa"/>
              <w:right w:w="0" w:type="dxa"/>
            </w:tcMar>
            <w:vAlign w:val="center"/>
            <w:hideMark/>
          </w:tcPr>
          <w:p w14:paraId="1C692D68" w14:textId="77777777" w:rsidR="002B5D06" w:rsidRDefault="000B69DD">
            <w:pPr>
              <w:pStyle w:val="NormalWeb"/>
              <w:spacing w:before="0" w:beforeAutospacing="0" w:after="0" w:afterAutospacing="0"/>
              <w:rPr>
                <w:sz w:val="20"/>
                <w:szCs w:val="20"/>
              </w:rPr>
            </w:pPr>
            <w:r>
              <w:rPr>
                <w:sz w:val="20"/>
                <w:szCs w:val="20"/>
              </w:rPr>
              <w:t> </w:t>
            </w:r>
          </w:p>
        </w:tc>
      </w:tr>
      <w:tr w:rsidR="000B69DD" w14:paraId="6CF06422" w14:textId="77777777">
        <w:trPr>
          <w:divId w:val="1684360448"/>
          <w:trHeight w:val="225"/>
          <w:tblCellSpacing w:w="15" w:type="dxa"/>
          <w:jc w:val="center"/>
        </w:trPr>
        <w:tc>
          <w:tcPr>
            <w:tcW w:w="0" w:type="auto"/>
            <w:shd w:val="clear" w:color="auto" w:fill="CCEEFF"/>
            <w:vAlign w:val="center"/>
            <w:hideMark/>
          </w:tcPr>
          <w:p w14:paraId="3358FD9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805C06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FB2355D"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CCEEFF"/>
            <w:vAlign w:val="center"/>
            <w:hideMark/>
          </w:tcPr>
          <w:p w14:paraId="42B5E87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7A3A8C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C8E665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DF99444"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CCEEFF"/>
            <w:vAlign w:val="center"/>
            <w:hideMark/>
          </w:tcPr>
          <w:p w14:paraId="2AB9BB1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24A1DC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065CB7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C3A6799"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CCEEFF"/>
            <w:vAlign w:val="center"/>
            <w:hideMark/>
          </w:tcPr>
          <w:p w14:paraId="27A51F3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4AC4C0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0ECFBA9"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E7F63CC"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CCEEFF"/>
            <w:vAlign w:val="center"/>
            <w:hideMark/>
          </w:tcPr>
          <w:p w14:paraId="78248E6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D780B0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14B6D3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5A901B6"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CCEEFF"/>
            <w:vAlign w:val="center"/>
            <w:hideMark/>
          </w:tcPr>
          <w:p w14:paraId="6FB3885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582811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A9F499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BD5FCF8"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CCEEFF"/>
            <w:vAlign w:val="center"/>
            <w:hideMark/>
          </w:tcPr>
          <w:p w14:paraId="7B567FE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075712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4837DE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382B7E0"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CCEEFF"/>
            <w:vAlign w:val="center"/>
            <w:hideMark/>
          </w:tcPr>
          <w:p w14:paraId="78D4F10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C2E8B1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09B594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2BC19A3"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CCEEFF"/>
            <w:vAlign w:val="center"/>
            <w:hideMark/>
          </w:tcPr>
          <w:p w14:paraId="253041D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75A4406" w14:textId="77777777" w:rsidR="002B5D06" w:rsidRDefault="000B69DD">
            <w:pPr>
              <w:pStyle w:val="NormalWeb"/>
              <w:spacing w:before="0" w:beforeAutospacing="0" w:after="0" w:afterAutospacing="0"/>
              <w:rPr>
                <w:sz w:val="20"/>
                <w:szCs w:val="20"/>
              </w:rPr>
            </w:pPr>
            <w:r>
              <w:rPr>
                <w:sz w:val="20"/>
                <w:szCs w:val="20"/>
              </w:rPr>
              <w:t> </w:t>
            </w:r>
          </w:p>
        </w:tc>
      </w:tr>
      <w:tr w:rsidR="000B69DD" w14:paraId="0FEE64DA" w14:textId="77777777">
        <w:trPr>
          <w:divId w:val="1684360448"/>
          <w:trHeight w:val="225"/>
          <w:tblCellSpacing w:w="15" w:type="dxa"/>
          <w:jc w:val="center"/>
        </w:trPr>
        <w:tc>
          <w:tcPr>
            <w:tcW w:w="0" w:type="auto"/>
            <w:shd w:val="clear" w:color="auto" w:fill="FFFFFF"/>
            <w:hideMark/>
          </w:tcPr>
          <w:p w14:paraId="5D3E50E7" w14:textId="77777777" w:rsidR="002B5D06" w:rsidRDefault="000B69DD">
            <w:pPr>
              <w:pStyle w:val="NormalWeb"/>
              <w:spacing w:before="0" w:beforeAutospacing="0" w:after="0" w:afterAutospacing="0"/>
              <w:ind w:left="225"/>
              <w:rPr>
                <w:sz w:val="20"/>
                <w:szCs w:val="20"/>
              </w:rPr>
            </w:pPr>
            <w:r>
              <w:rPr>
                <w:sz w:val="20"/>
                <w:szCs w:val="20"/>
              </w:rPr>
              <w:t>Foreign Currency Translation Adjustment</w:t>
            </w:r>
          </w:p>
        </w:tc>
        <w:tc>
          <w:tcPr>
            <w:tcW w:w="50" w:type="pct"/>
            <w:shd w:val="clear" w:color="auto" w:fill="FFFFFF"/>
            <w:noWrap/>
            <w:vAlign w:val="center"/>
            <w:hideMark/>
          </w:tcPr>
          <w:p w14:paraId="3AB2A52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275BC73"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29CB8356"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F7A41F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040DA9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30EF8D3"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106C76F2"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2C1BCF8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1F5F91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461A8EC"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019A16BE"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0F67228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2A58FE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48D9E78"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680516C1"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2646E94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97128C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5374E03"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45B8A780"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57FEAE3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06F6B1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D6B769E"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0EB26684"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6D1384A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0D41AE9"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4193164"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55888D83" w14:textId="77777777" w:rsidR="002B5D06" w:rsidRDefault="000B69DD">
            <w:pPr>
              <w:jc w:val="right"/>
              <w:rPr>
                <w:rFonts w:eastAsia="Times New Roman"/>
                <w:sz w:val="20"/>
                <w:szCs w:val="20"/>
              </w:rPr>
            </w:pPr>
            <w:r>
              <w:rPr>
                <w:rFonts w:eastAsia="Times New Roman"/>
                <w:sz w:val="20"/>
                <w:szCs w:val="20"/>
              </w:rPr>
              <w:t>69,539</w:t>
            </w:r>
          </w:p>
        </w:tc>
        <w:tc>
          <w:tcPr>
            <w:tcW w:w="50" w:type="pct"/>
            <w:shd w:val="clear" w:color="auto" w:fill="FFFFFF"/>
            <w:noWrap/>
            <w:vAlign w:val="center"/>
            <w:hideMark/>
          </w:tcPr>
          <w:p w14:paraId="72A9BFA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52ADE3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89C78D8" w14:textId="77777777" w:rsidR="002B5D06" w:rsidRDefault="000B69DD">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75D4B03C" w14:textId="77777777" w:rsidR="002B5D06" w:rsidRDefault="000B69DD">
            <w:pPr>
              <w:jc w:val="right"/>
              <w:rPr>
                <w:rFonts w:eastAsia="Times New Roman"/>
                <w:sz w:val="20"/>
                <w:szCs w:val="20"/>
              </w:rPr>
            </w:pPr>
            <w:r>
              <w:rPr>
                <w:rFonts w:eastAsia="Times New Roman"/>
                <w:sz w:val="20"/>
                <w:szCs w:val="20"/>
              </w:rPr>
              <w:t>69,539</w:t>
            </w:r>
          </w:p>
        </w:tc>
        <w:tc>
          <w:tcPr>
            <w:tcW w:w="50" w:type="pct"/>
            <w:shd w:val="clear" w:color="auto" w:fill="FFFFFF"/>
            <w:noWrap/>
            <w:vAlign w:val="center"/>
            <w:hideMark/>
          </w:tcPr>
          <w:p w14:paraId="7B79EFB8" w14:textId="77777777" w:rsidR="002B5D06" w:rsidRDefault="000B69DD">
            <w:pPr>
              <w:pStyle w:val="NormalWeb"/>
              <w:spacing w:before="0" w:beforeAutospacing="0" w:after="0" w:afterAutospacing="0"/>
              <w:rPr>
                <w:sz w:val="20"/>
                <w:szCs w:val="20"/>
              </w:rPr>
            </w:pPr>
            <w:r>
              <w:rPr>
                <w:sz w:val="20"/>
                <w:szCs w:val="20"/>
              </w:rPr>
              <w:t> </w:t>
            </w:r>
          </w:p>
        </w:tc>
      </w:tr>
      <w:tr w:rsidR="000B69DD" w14:paraId="6700EA4A" w14:textId="77777777">
        <w:trPr>
          <w:divId w:val="1684360448"/>
          <w:trHeight w:val="225"/>
          <w:tblCellSpacing w:w="15" w:type="dxa"/>
          <w:jc w:val="center"/>
        </w:trPr>
        <w:tc>
          <w:tcPr>
            <w:tcW w:w="0" w:type="auto"/>
            <w:shd w:val="clear" w:color="auto" w:fill="CCEEFF"/>
            <w:hideMark/>
          </w:tcPr>
          <w:p w14:paraId="479FAE2D" w14:textId="77777777" w:rsidR="002B5D06" w:rsidRDefault="000B69DD">
            <w:pPr>
              <w:pStyle w:val="NormalWeb"/>
              <w:spacing w:before="0" w:beforeAutospacing="0" w:after="0" w:afterAutospacing="0"/>
              <w:ind w:left="225"/>
              <w:rPr>
                <w:sz w:val="20"/>
                <w:szCs w:val="20"/>
              </w:rPr>
            </w:pPr>
            <w:r>
              <w:rPr>
                <w:rStyle w:val="Strong"/>
                <w:sz w:val="20"/>
                <w:szCs w:val="20"/>
              </w:rPr>
              <w:t>Net Income</w:t>
            </w:r>
          </w:p>
        </w:tc>
        <w:tc>
          <w:tcPr>
            <w:tcW w:w="50" w:type="pct"/>
            <w:shd w:val="clear" w:color="auto" w:fill="CCEEFF"/>
            <w:noWrap/>
            <w:vAlign w:val="center"/>
            <w:hideMark/>
          </w:tcPr>
          <w:p w14:paraId="53E9C9EA"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4AF4007B" w14:textId="77777777" w:rsidR="002B5D06" w:rsidRDefault="000B69DD">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0DC34CCC"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1865E6F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85AFFDB"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761631C6" w14:textId="77777777" w:rsidR="002B5D06" w:rsidRDefault="000B69DD">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4C806221"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744166B9"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C0EC624"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2DD3FB2B" w14:textId="77777777" w:rsidR="002B5D06" w:rsidRDefault="000B69DD">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38575AEB"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0A47A8F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A2AAD8D"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5250EA8A" w14:textId="77777777" w:rsidR="002B5D06" w:rsidRDefault="000B69DD">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054294C4"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6651D48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C5246A1"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2B6C92AA" w14:textId="77777777" w:rsidR="002B5D06" w:rsidRDefault="000B69DD">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7F43471D"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530C2F0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575E7F5"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67505A7F" w14:textId="77777777" w:rsidR="002B5D06" w:rsidRDefault="000B69DD">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10ACB8B2" w14:textId="77777777" w:rsidR="002B5D06" w:rsidRDefault="000B69DD">
            <w:pPr>
              <w:jc w:val="right"/>
              <w:rPr>
                <w:rFonts w:eastAsia="Times New Roman"/>
                <w:sz w:val="20"/>
                <w:szCs w:val="20"/>
              </w:rPr>
            </w:pPr>
            <w:r>
              <w:rPr>
                <w:rFonts w:eastAsia="Times New Roman"/>
                <w:sz w:val="20"/>
                <w:szCs w:val="20"/>
              </w:rPr>
              <w:t>4,138</w:t>
            </w:r>
          </w:p>
        </w:tc>
        <w:tc>
          <w:tcPr>
            <w:tcW w:w="50" w:type="pct"/>
            <w:shd w:val="clear" w:color="auto" w:fill="CCEEFF"/>
            <w:noWrap/>
            <w:tcMar>
              <w:top w:w="0" w:type="dxa"/>
              <w:left w:w="0" w:type="dxa"/>
              <w:bottom w:w="15" w:type="dxa"/>
              <w:right w:w="0" w:type="dxa"/>
            </w:tcMar>
            <w:vAlign w:val="center"/>
            <w:hideMark/>
          </w:tcPr>
          <w:p w14:paraId="4D36301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2E0FC97"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7C46F2D6" w14:textId="77777777" w:rsidR="002B5D06" w:rsidRDefault="000B69DD">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48DEEE9B"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2B749BA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3854737"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1B09DD21" w14:textId="77777777" w:rsidR="002B5D06" w:rsidRDefault="000B69DD">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6474EDCA" w14:textId="77777777" w:rsidR="002B5D06" w:rsidRDefault="000B69DD">
            <w:pPr>
              <w:jc w:val="right"/>
              <w:rPr>
                <w:rFonts w:eastAsia="Times New Roman"/>
                <w:sz w:val="20"/>
                <w:szCs w:val="20"/>
              </w:rPr>
            </w:pPr>
            <w:r>
              <w:rPr>
                <w:rFonts w:eastAsia="Times New Roman"/>
                <w:sz w:val="20"/>
                <w:szCs w:val="20"/>
              </w:rPr>
              <w:t>4,138</w:t>
            </w:r>
          </w:p>
        </w:tc>
        <w:tc>
          <w:tcPr>
            <w:tcW w:w="50" w:type="pct"/>
            <w:shd w:val="clear" w:color="auto" w:fill="CCEEFF"/>
            <w:noWrap/>
            <w:tcMar>
              <w:top w:w="0" w:type="dxa"/>
              <w:left w:w="0" w:type="dxa"/>
              <w:bottom w:w="15" w:type="dxa"/>
              <w:right w:w="0" w:type="dxa"/>
            </w:tcMar>
            <w:vAlign w:val="center"/>
            <w:hideMark/>
          </w:tcPr>
          <w:p w14:paraId="74D33E10" w14:textId="77777777" w:rsidR="002B5D06" w:rsidRDefault="000B69DD">
            <w:pPr>
              <w:pStyle w:val="NormalWeb"/>
              <w:spacing w:before="0" w:beforeAutospacing="0" w:after="0" w:afterAutospacing="0"/>
              <w:rPr>
                <w:sz w:val="20"/>
                <w:szCs w:val="20"/>
              </w:rPr>
            </w:pPr>
            <w:r>
              <w:rPr>
                <w:sz w:val="20"/>
                <w:szCs w:val="20"/>
              </w:rPr>
              <w:t> </w:t>
            </w:r>
          </w:p>
        </w:tc>
      </w:tr>
      <w:tr w:rsidR="000B69DD" w14:paraId="3ED0633F" w14:textId="77777777">
        <w:trPr>
          <w:divId w:val="1684360448"/>
          <w:trHeight w:val="225"/>
          <w:tblCellSpacing w:w="15" w:type="dxa"/>
          <w:jc w:val="center"/>
        </w:trPr>
        <w:tc>
          <w:tcPr>
            <w:tcW w:w="0" w:type="auto"/>
            <w:shd w:val="clear" w:color="auto" w:fill="FFFFFF"/>
            <w:hideMark/>
          </w:tcPr>
          <w:p w14:paraId="29290A1A" w14:textId="77777777" w:rsidR="002B5D06" w:rsidRDefault="000B69DD">
            <w:pPr>
              <w:pStyle w:val="NormalWeb"/>
              <w:spacing w:before="0" w:beforeAutospacing="0" w:after="0" w:afterAutospacing="0"/>
              <w:rPr>
                <w:sz w:val="20"/>
                <w:szCs w:val="20"/>
              </w:rPr>
            </w:pPr>
            <w:r>
              <w:rPr>
                <w:rStyle w:val="Strong"/>
                <w:sz w:val="20"/>
                <w:szCs w:val="20"/>
              </w:rPr>
              <w:t>Balance at June 30, 2025</w:t>
            </w:r>
          </w:p>
        </w:tc>
        <w:tc>
          <w:tcPr>
            <w:tcW w:w="50" w:type="pct"/>
            <w:shd w:val="clear" w:color="auto" w:fill="FFFFFF"/>
            <w:noWrap/>
            <w:vAlign w:val="center"/>
            <w:hideMark/>
          </w:tcPr>
          <w:p w14:paraId="26754C88"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center"/>
            <w:hideMark/>
          </w:tcPr>
          <w:p w14:paraId="7D05C303" w14:textId="77777777" w:rsidR="002B5D06" w:rsidRDefault="000B69DD">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FFFFFF"/>
            <w:vAlign w:val="bottom"/>
            <w:hideMark/>
          </w:tcPr>
          <w:p w14:paraId="6117407A" w14:textId="77777777" w:rsidR="002B5D06" w:rsidRDefault="000B69DD">
            <w:pPr>
              <w:jc w:val="right"/>
              <w:rPr>
                <w:rFonts w:eastAsia="Times New Roman"/>
                <w:sz w:val="20"/>
                <w:szCs w:val="20"/>
              </w:rPr>
            </w:pPr>
            <w:r>
              <w:rPr>
                <w:rFonts w:eastAsia="Times New Roman"/>
                <w:sz w:val="20"/>
                <w:szCs w:val="20"/>
              </w:rPr>
              <w:t>5,000</w:t>
            </w:r>
          </w:p>
        </w:tc>
        <w:tc>
          <w:tcPr>
            <w:tcW w:w="50" w:type="pct"/>
            <w:shd w:val="clear" w:color="auto" w:fill="FFFFFF"/>
            <w:noWrap/>
            <w:tcMar>
              <w:top w:w="0" w:type="dxa"/>
              <w:left w:w="0" w:type="dxa"/>
              <w:bottom w:w="45" w:type="dxa"/>
              <w:right w:w="0" w:type="dxa"/>
            </w:tcMar>
            <w:vAlign w:val="center"/>
            <w:hideMark/>
          </w:tcPr>
          <w:p w14:paraId="541161D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9E41116"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7D703C80" w14:textId="77777777" w:rsidR="002B5D06" w:rsidRDefault="000B69DD">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FFFFFF"/>
            <w:vAlign w:val="bottom"/>
            <w:hideMark/>
          </w:tcPr>
          <w:p w14:paraId="55CDED97" w14:textId="77777777" w:rsidR="002B5D06" w:rsidRDefault="000B69DD">
            <w:pPr>
              <w:jc w:val="right"/>
              <w:rPr>
                <w:rFonts w:eastAsia="Times New Roman"/>
                <w:sz w:val="20"/>
                <w:szCs w:val="20"/>
              </w:rPr>
            </w:pPr>
            <w:r>
              <w:rPr>
                <w:rFonts w:eastAsia="Times New Roman"/>
                <w:sz w:val="20"/>
                <w:szCs w:val="20"/>
              </w:rPr>
              <w:t>50</w:t>
            </w:r>
          </w:p>
        </w:tc>
        <w:tc>
          <w:tcPr>
            <w:tcW w:w="50" w:type="pct"/>
            <w:shd w:val="clear" w:color="auto" w:fill="FFFFFF"/>
            <w:noWrap/>
            <w:tcMar>
              <w:top w:w="0" w:type="dxa"/>
              <w:left w:w="0" w:type="dxa"/>
              <w:bottom w:w="45" w:type="dxa"/>
              <w:right w:w="0" w:type="dxa"/>
            </w:tcMar>
            <w:vAlign w:val="center"/>
            <w:hideMark/>
          </w:tcPr>
          <w:p w14:paraId="582093B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4CEE555"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center"/>
            <w:hideMark/>
          </w:tcPr>
          <w:p w14:paraId="4040EDA2" w14:textId="77777777" w:rsidR="002B5D06" w:rsidRDefault="000B69DD">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FFFFFF"/>
            <w:vAlign w:val="bottom"/>
            <w:hideMark/>
          </w:tcPr>
          <w:p w14:paraId="15E92E28" w14:textId="77777777" w:rsidR="002B5D06" w:rsidRDefault="000B69DD">
            <w:pPr>
              <w:jc w:val="right"/>
              <w:rPr>
                <w:rFonts w:eastAsia="Times New Roman"/>
                <w:sz w:val="20"/>
                <w:szCs w:val="20"/>
              </w:rPr>
            </w:pPr>
            <w:r>
              <w:rPr>
                <w:rFonts w:eastAsia="Times New Roman"/>
                <w:sz w:val="20"/>
                <w:szCs w:val="20"/>
              </w:rPr>
              <w:t>3,292,945</w:t>
            </w:r>
          </w:p>
        </w:tc>
        <w:tc>
          <w:tcPr>
            <w:tcW w:w="50" w:type="pct"/>
            <w:shd w:val="clear" w:color="auto" w:fill="FFFFFF"/>
            <w:noWrap/>
            <w:tcMar>
              <w:top w:w="0" w:type="dxa"/>
              <w:left w:w="0" w:type="dxa"/>
              <w:bottom w:w="45" w:type="dxa"/>
              <w:right w:w="0" w:type="dxa"/>
            </w:tcMar>
            <w:vAlign w:val="center"/>
            <w:hideMark/>
          </w:tcPr>
          <w:p w14:paraId="2D9C60E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33DD2AF"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55C864D5" w14:textId="77777777" w:rsidR="002B5D06" w:rsidRDefault="000B69DD">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FFFFFF"/>
            <w:vAlign w:val="bottom"/>
            <w:hideMark/>
          </w:tcPr>
          <w:p w14:paraId="03D11061" w14:textId="77777777" w:rsidR="002B5D06" w:rsidRDefault="000B69DD">
            <w:pPr>
              <w:jc w:val="right"/>
              <w:rPr>
                <w:rFonts w:eastAsia="Times New Roman"/>
                <w:sz w:val="20"/>
                <w:szCs w:val="20"/>
              </w:rPr>
            </w:pPr>
            <w:r>
              <w:rPr>
                <w:rFonts w:eastAsia="Times New Roman"/>
                <w:sz w:val="20"/>
                <w:szCs w:val="20"/>
              </w:rPr>
              <w:t>32,929</w:t>
            </w:r>
          </w:p>
        </w:tc>
        <w:tc>
          <w:tcPr>
            <w:tcW w:w="50" w:type="pct"/>
            <w:shd w:val="clear" w:color="auto" w:fill="FFFFFF"/>
            <w:noWrap/>
            <w:tcMar>
              <w:top w:w="0" w:type="dxa"/>
              <w:left w:w="0" w:type="dxa"/>
              <w:bottom w:w="45" w:type="dxa"/>
              <w:right w:w="0" w:type="dxa"/>
            </w:tcMar>
            <w:vAlign w:val="center"/>
            <w:hideMark/>
          </w:tcPr>
          <w:p w14:paraId="066E1A4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8F2E2BE"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28F181C5" w14:textId="77777777" w:rsidR="002B5D06" w:rsidRDefault="000B69DD">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FFFFFF"/>
            <w:vAlign w:val="bottom"/>
            <w:hideMark/>
          </w:tcPr>
          <w:p w14:paraId="540C27E0" w14:textId="77777777" w:rsidR="002B5D06" w:rsidRDefault="000B69DD">
            <w:pPr>
              <w:jc w:val="right"/>
              <w:rPr>
                <w:rFonts w:eastAsia="Times New Roman"/>
                <w:sz w:val="20"/>
                <w:szCs w:val="20"/>
              </w:rPr>
            </w:pPr>
            <w:r>
              <w:rPr>
                <w:rFonts w:eastAsia="Times New Roman"/>
                <w:sz w:val="20"/>
                <w:szCs w:val="20"/>
              </w:rPr>
              <w:t>21,057,116</w:t>
            </w:r>
          </w:p>
        </w:tc>
        <w:tc>
          <w:tcPr>
            <w:tcW w:w="50" w:type="pct"/>
            <w:shd w:val="clear" w:color="auto" w:fill="FFFFFF"/>
            <w:noWrap/>
            <w:tcMar>
              <w:top w:w="0" w:type="dxa"/>
              <w:left w:w="0" w:type="dxa"/>
              <w:bottom w:w="45" w:type="dxa"/>
              <w:right w:w="0" w:type="dxa"/>
            </w:tcMar>
            <w:vAlign w:val="center"/>
            <w:hideMark/>
          </w:tcPr>
          <w:p w14:paraId="716296E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E436C7C"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2BA5D226" w14:textId="77777777" w:rsidR="002B5D06" w:rsidRDefault="000B69DD">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FFFFFF"/>
            <w:vAlign w:val="bottom"/>
            <w:hideMark/>
          </w:tcPr>
          <w:p w14:paraId="137BD473" w14:textId="77777777" w:rsidR="002B5D06" w:rsidRDefault="000B69DD">
            <w:pPr>
              <w:jc w:val="right"/>
              <w:rPr>
                <w:rFonts w:eastAsia="Times New Roman"/>
                <w:sz w:val="20"/>
                <w:szCs w:val="20"/>
              </w:rPr>
            </w:pPr>
            <w:r>
              <w:rPr>
                <w:rFonts w:eastAsia="Times New Roman"/>
                <w:sz w:val="20"/>
                <w:szCs w:val="20"/>
              </w:rPr>
              <w:t xml:space="preserve">(20,752,633 </w:t>
            </w:r>
          </w:p>
        </w:tc>
        <w:tc>
          <w:tcPr>
            <w:tcW w:w="50" w:type="pct"/>
            <w:shd w:val="clear" w:color="auto" w:fill="FFFFFF"/>
            <w:noWrap/>
            <w:tcMar>
              <w:top w:w="0" w:type="dxa"/>
              <w:left w:w="0" w:type="dxa"/>
              <w:bottom w:w="45" w:type="dxa"/>
              <w:right w:w="0" w:type="dxa"/>
            </w:tcMar>
            <w:vAlign w:val="bottom"/>
            <w:hideMark/>
          </w:tcPr>
          <w:p w14:paraId="1091EEB0" w14:textId="77777777" w:rsidR="002B5D06" w:rsidRDefault="000B69DD">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497E7E2C"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14BB4C95" w14:textId="77777777" w:rsidR="002B5D06" w:rsidRDefault="000B69DD">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FFFFFF"/>
            <w:vAlign w:val="bottom"/>
            <w:hideMark/>
          </w:tcPr>
          <w:p w14:paraId="7075A780" w14:textId="77777777" w:rsidR="002B5D06" w:rsidRDefault="000B69DD">
            <w:pPr>
              <w:jc w:val="right"/>
              <w:rPr>
                <w:rFonts w:eastAsia="Times New Roman"/>
                <w:sz w:val="20"/>
                <w:szCs w:val="20"/>
              </w:rPr>
            </w:pPr>
            <w:r>
              <w:rPr>
                <w:rFonts w:eastAsia="Times New Roman"/>
                <w:sz w:val="20"/>
                <w:szCs w:val="20"/>
              </w:rPr>
              <w:t>78,152</w:t>
            </w:r>
          </w:p>
        </w:tc>
        <w:tc>
          <w:tcPr>
            <w:tcW w:w="50" w:type="pct"/>
            <w:shd w:val="clear" w:color="auto" w:fill="FFFFFF"/>
            <w:noWrap/>
            <w:tcMar>
              <w:top w:w="0" w:type="dxa"/>
              <w:left w:w="0" w:type="dxa"/>
              <w:bottom w:w="45" w:type="dxa"/>
              <w:right w:w="0" w:type="dxa"/>
            </w:tcMar>
            <w:vAlign w:val="center"/>
            <w:hideMark/>
          </w:tcPr>
          <w:p w14:paraId="6CA7BC4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9EDF309"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38918FFD" w14:textId="77777777" w:rsidR="002B5D06" w:rsidRDefault="000B69DD">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FFFFFF"/>
            <w:vAlign w:val="bottom"/>
            <w:hideMark/>
          </w:tcPr>
          <w:p w14:paraId="434DB028" w14:textId="77777777" w:rsidR="002B5D06" w:rsidRDefault="000B69DD">
            <w:pPr>
              <w:jc w:val="right"/>
              <w:rPr>
                <w:rFonts w:eastAsia="Times New Roman"/>
                <w:sz w:val="20"/>
                <w:szCs w:val="20"/>
              </w:rPr>
            </w:pPr>
            <w:r>
              <w:rPr>
                <w:rFonts w:eastAsia="Times New Roman"/>
                <w:sz w:val="20"/>
                <w:szCs w:val="20"/>
              </w:rPr>
              <w:t>415,614</w:t>
            </w:r>
          </w:p>
        </w:tc>
        <w:tc>
          <w:tcPr>
            <w:tcW w:w="50" w:type="pct"/>
            <w:shd w:val="clear" w:color="auto" w:fill="FFFFFF"/>
            <w:noWrap/>
            <w:tcMar>
              <w:top w:w="0" w:type="dxa"/>
              <w:left w:w="0" w:type="dxa"/>
              <w:bottom w:w="45" w:type="dxa"/>
              <w:right w:w="0" w:type="dxa"/>
            </w:tcMar>
            <w:vAlign w:val="center"/>
            <w:hideMark/>
          </w:tcPr>
          <w:p w14:paraId="166BC0CE" w14:textId="77777777" w:rsidR="002B5D06" w:rsidRDefault="000B69DD">
            <w:pPr>
              <w:pStyle w:val="NormalWeb"/>
              <w:spacing w:before="0" w:beforeAutospacing="0" w:after="0" w:afterAutospacing="0"/>
              <w:rPr>
                <w:sz w:val="20"/>
                <w:szCs w:val="20"/>
              </w:rPr>
            </w:pPr>
            <w:r>
              <w:rPr>
                <w:sz w:val="20"/>
                <w:szCs w:val="20"/>
              </w:rPr>
              <w:t> </w:t>
            </w:r>
          </w:p>
        </w:tc>
      </w:tr>
    </w:tbl>
    <w:p w14:paraId="5B7C3B81"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803B8FA" w14:textId="77777777" w:rsidR="002B5D06" w:rsidRDefault="000B69DD">
      <w:pPr>
        <w:pStyle w:val="NormalWeb"/>
        <w:spacing w:before="0" w:beforeAutospacing="0" w:after="0" w:afterAutospacing="0"/>
        <w:jc w:val="center"/>
        <w:divId w:val="1684360448"/>
        <w:rPr>
          <w:sz w:val="20"/>
          <w:szCs w:val="20"/>
        </w:rPr>
      </w:pPr>
      <w:r>
        <w:rPr>
          <w:sz w:val="20"/>
          <w:szCs w:val="20"/>
        </w:rPr>
        <w:t> </w:t>
      </w:r>
      <w:r>
        <w:rPr>
          <w:rStyle w:val="Strong"/>
          <w:sz w:val="20"/>
          <w:szCs w:val="20"/>
        </w:rPr>
        <w:t>See accompanying notes to consolidated financial statements.</w:t>
      </w:r>
    </w:p>
    <w:p w14:paraId="51DC24FD" w14:textId="77777777" w:rsidR="002B5D06" w:rsidRDefault="000B69DD">
      <w:pPr>
        <w:pStyle w:val="NormalWeb"/>
        <w:spacing w:before="0" w:beforeAutospacing="0" w:after="0" w:afterAutospacing="0"/>
        <w:jc w:val="center"/>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2D51F9ED" w14:textId="77777777">
        <w:trPr>
          <w:divId w:val="1684360448"/>
          <w:trHeight w:val="225"/>
          <w:tblCellSpacing w:w="15" w:type="dxa"/>
          <w:jc w:val="center"/>
        </w:trPr>
        <w:tc>
          <w:tcPr>
            <w:tcW w:w="0" w:type="auto"/>
            <w:vAlign w:val="center"/>
            <w:hideMark/>
          </w:tcPr>
          <w:p w14:paraId="0583D368" w14:textId="77777777" w:rsidR="002B5D06" w:rsidRDefault="000B69DD">
            <w:pPr>
              <w:rPr>
                <w:rFonts w:eastAsia="Times New Roman"/>
                <w:sz w:val="20"/>
                <w:szCs w:val="20"/>
              </w:rPr>
            </w:pPr>
            <w:r>
              <w:rPr>
                <w:rFonts w:eastAsia="Times New Roman"/>
                <w:sz w:val="20"/>
                <w:szCs w:val="20"/>
              </w:rPr>
              <w:t> </w:t>
            </w:r>
          </w:p>
        </w:tc>
      </w:tr>
      <w:tr w:rsidR="002B5D06" w14:paraId="06444698" w14:textId="77777777">
        <w:trPr>
          <w:divId w:val="1684360448"/>
          <w:trHeight w:val="225"/>
          <w:tblCellSpacing w:w="15" w:type="dxa"/>
          <w:jc w:val="center"/>
        </w:trPr>
        <w:tc>
          <w:tcPr>
            <w:tcW w:w="0" w:type="auto"/>
            <w:tcBorders>
              <w:bottom w:val="single" w:sz="6" w:space="0" w:color="000000"/>
            </w:tcBorders>
            <w:vAlign w:val="center"/>
            <w:hideMark/>
          </w:tcPr>
          <w:p w14:paraId="3CEDB4F7" w14:textId="77777777" w:rsidR="002B5D06" w:rsidRDefault="000B69DD">
            <w:pPr>
              <w:jc w:val="center"/>
              <w:rPr>
                <w:rFonts w:eastAsia="Times New Roman"/>
                <w:sz w:val="20"/>
                <w:szCs w:val="20"/>
              </w:rPr>
            </w:pPr>
            <w:r>
              <w:rPr>
                <w:rFonts w:eastAsia="Times New Roman"/>
                <w:sz w:val="20"/>
                <w:szCs w:val="20"/>
              </w:rPr>
              <w:t>F-5</w:t>
            </w:r>
          </w:p>
        </w:tc>
      </w:tr>
      <w:tr w:rsidR="002B5D06" w14:paraId="4830892E" w14:textId="77777777">
        <w:trPr>
          <w:divId w:val="1684360448"/>
          <w:trHeight w:val="225"/>
          <w:tblCellSpacing w:w="15" w:type="dxa"/>
          <w:jc w:val="center"/>
        </w:trPr>
        <w:tc>
          <w:tcPr>
            <w:tcW w:w="0" w:type="auto"/>
            <w:vAlign w:val="center"/>
            <w:hideMark/>
          </w:tcPr>
          <w:p w14:paraId="0454E70D" w14:textId="77777777" w:rsidR="002B5D06" w:rsidRDefault="002B5D06">
            <w:pPr>
              <w:rPr>
                <w:rFonts w:eastAsia="Times New Roman"/>
                <w:sz w:val="20"/>
                <w:szCs w:val="20"/>
              </w:rPr>
            </w:pPr>
          </w:p>
        </w:tc>
      </w:tr>
      <w:tr w:rsidR="002B5D06" w14:paraId="1BC7F29E" w14:textId="77777777">
        <w:trPr>
          <w:divId w:val="1684360448"/>
          <w:trHeight w:val="225"/>
          <w:tblCellSpacing w:w="15" w:type="dxa"/>
          <w:jc w:val="center"/>
        </w:trPr>
        <w:tc>
          <w:tcPr>
            <w:tcW w:w="0" w:type="auto"/>
            <w:vAlign w:val="center"/>
            <w:hideMark/>
          </w:tcPr>
          <w:p w14:paraId="090B910A" w14:textId="77777777" w:rsidR="002B5D06" w:rsidRDefault="002B5D06">
            <w:pPr>
              <w:rPr>
                <w:rFonts w:eastAsia="Times New Roman"/>
                <w:sz w:val="20"/>
                <w:szCs w:val="20"/>
              </w:rPr>
            </w:pPr>
          </w:p>
        </w:tc>
      </w:tr>
    </w:tbl>
    <w:p w14:paraId="60B363E6"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5D0C59DA" w14:textId="77777777" w:rsidR="002B5D06" w:rsidRDefault="000B69DD">
      <w:pPr>
        <w:pStyle w:val="NormalWeb"/>
        <w:spacing w:before="0" w:beforeAutospacing="0" w:after="0" w:afterAutospacing="0"/>
        <w:divId w:val="1684360448"/>
        <w:rPr>
          <w:sz w:val="20"/>
          <w:szCs w:val="20"/>
        </w:rPr>
      </w:pPr>
      <w:r>
        <w:rPr>
          <w:sz w:val="20"/>
          <w:szCs w:val="20"/>
        </w:rPr>
        <w:t> </w:t>
      </w:r>
    </w:p>
    <w:p w14:paraId="3DDFDE3B" w14:textId="77777777" w:rsidR="002B5D06" w:rsidRDefault="000B69DD">
      <w:pPr>
        <w:pStyle w:val="NormalWeb"/>
        <w:spacing w:before="0" w:beforeAutospacing="0" w:after="0" w:afterAutospacing="0"/>
        <w:jc w:val="center"/>
        <w:divId w:val="1684360448"/>
        <w:rPr>
          <w:sz w:val="20"/>
          <w:szCs w:val="20"/>
        </w:rPr>
      </w:pPr>
      <w:r>
        <w:rPr>
          <w:rStyle w:val="Strong"/>
          <w:sz w:val="20"/>
          <w:szCs w:val="20"/>
        </w:rPr>
        <w:t>ADVANCED OXYGEN TECHNOLOGIES, INC.</w:t>
      </w:r>
      <w:r>
        <w:rPr>
          <w:sz w:val="20"/>
          <w:szCs w:val="20"/>
        </w:rPr>
        <w:t> </w:t>
      </w:r>
    </w:p>
    <w:p w14:paraId="505D55B3" w14:textId="77777777" w:rsidR="002B5D06" w:rsidRDefault="000B69DD">
      <w:pPr>
        <w:pStyle w:val="NormalWeb"/>
        <w:spacing w:before="0" w:beforeAutospacing="0" w:after="0" w:afterAutospacing="0"/>
        <w:jc w:val="center"/>
        <w:divId w:val="1684360448"/>
        <w:rPr>
          <w:sz w:val="20"/>
          <w:szCs w:val="20"/>
        </w:rPr>
      </w:pPr>
      <w:r>
        <w:rPr>
          <w:rStyle w:val="Strong"/>
          <w:sz w:val="20"/>
          <w:szCs w:val="20"/>
        </w:rPr>
        <w:t>AND SUBSIDIARIES</w:t>
      </w:r>
    </w:p>
    <w:p w14:paraId="27AD8CD2" w14:textId="77777777" w:rsidR="002B5D06" w:rsidRDefault="000B69DD">
      <w:pPr>
        <w:pStyle w:val="NormalWeb"/>
        <w:spacing w:before="0" w:beforeAutospacing="0" w:after="0" w:afterAutospacing="0"/>
        <w:jc w:val="center"/>
        <w:divId w:val="1684360448"/>
        <w:rPr>
          <w:sz w:val="20"/>
          <w:szCs w:val="20"/>
        </w:rPr>
      </w:pPr>
      <w:r>
        <w:rPr>
          <w:rStyle w:val="atag"/>
          <w:b/>
          <w:bCs/>
          <w:sz w:val="20"/>
          <w:szCs w:val="20"/>
        </w:rPr>
        <w:t>CONSOLIDATED STATEMENTS OF CASH FLOWS</w:t>
      </w:r>
    </w:p>
    <w:p w14:paraId="48001121" w14:textId="77777777" w:rsidR="002B5D06" w:rsidRDefault="000B69DD">
      <w:pPr>
        <w:pStyle w:val="NormalWeb"/>
        <w:spacing w:before="0" w:beforeAutospacing="0" w:after="0" w:afterAutospacing="0"/>
        <w:jc w:val="center"/>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2B5D06" w14:paraId="703DC0C3" w14:textId="77777777">
        <w:trPr>
          <w:divId w:val="1684360448"/>
          <w:trHeight w:val="225"/>
          <w:tblCellSpacing w:w="15" w:type="dxa"/>
          <w:jc w:val="center"/>
        </w:trPr>
        <w:tc>
          <w:tcPr>
            <w:tcW w:w="0" w:type="auto"/>
            <w:vAlign w:val="center"/>
            <w:hideMark/>
          </w:tcPr>
          <w:p w14:paraId="459E0BB6"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5B340E19"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770DABC5" w14:textId="77777777" w:rsidR="002B5D06" w:rsidRDefault="000B69DD">
            <w:pPr>
              <w:pStyle w:val="NormalWeb"/>
              <w:spacing w:before="0" w:beforeAutospacing="0" w:after="0" w:afterAutospacing="0"/>
              <w:jc w:val="center"/>
              <w:rPr>
                <w:sz w:val="20"/>
                <w:szCs w:val="20"/>
              </w:rPr>
            </w:pPr>
            <w:r>
              <w:rPr>
                <w:rStyle w:val="Strong"/>
                <w:sz w:val="20"/>
                <w:szCs w:val="20"/>
              </w:rPr>
              <w:t>For the Years Ended June 30,</w:t>
            </w:r>
          </w:p>
        </w:tc>
        <w:tc>
          <w:tcPr>
            <w:tcW w:w="0" w:type="auto"/>
            <w:noWrap/>
            <w:vAlign w:val="center"/>
            <w:hideMark/>
          </w:tcPr>
          <w:p w14:paraId="6283AAD6" w14:textId="77777777" w:rsidR="002B5D06" w:rsidRDefault="000B69DD">
            <w:pPr>
              <w:pStyle w:val="NormalWeb"/>
              <w:spacing w:before="0" w:beforeAutospacing="0" w:after="0" w:afterAutospacing="0"/>
              <w:rPr>
                <w:sz w:val="20"/>
                <w:szCs w:val="20"/>
              </w:rPr>
            </w:pPr>
            <w:r>
              <w:rPr>
                <w:sz w:val="20"/>
                <w:szCs w:val="20"/>
              </w:rPr>
              <w:t> </w:t>
            </w:r>
          </w:p>
        </w:tc>
      </w:tr>
      <w:tr w:rsidR="002B5D06" w14:paraId="4626F3AF" w14:textId="77777777">
        <w:trPr>
          <w:divId w:val="1684360448"/>
          <w:trHeight w:val="225"/>
          <w:tblCellSpacing w:w="15" w:type="dxa"/>
          <w:jc w:val="center"/>
        </w:trPr>
        <w:tc>
          <w:tcPr>
            <w:tcW w:w="0" w:type="auto"/>
            <w:vAlign w:val="center"/>
            <w:hideMark/>
          </w:tcPr>
          <w:p w14:paraId="0C18DDB2"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30FDBC06"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122FB2A" w14:textId="77777777" w:rsidR="002B5D06" w:rsidRDefault="000B69DD">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060A2A97"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4F109C66"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4B4CE213" w14:textId="77777777" w:rsidR="002B5D06" w:rsidRDefault="000B69DD">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5F89D7C1" w14:textId="77777777" w:rsidR="002B5D06" w:rsidRDefault="000B69DD">
            <w:pPr>
              <w:pStyle w:val="NormalWeb"/>
              <w:spacing w:before="0" w:beforeAutospacing="0" w:after="0" w:afterAutospacing="0"/>
              <w:rPr>
                <w:sz w:val="20"/>
                <w:szCs w:val="20"/>
              </w:rPr>
            </w:pPr>
            <w:r>
              <w:rPr>
                <w:sz w:val="20"/>
                <w:szCs w:val="20"/>
              </w:rPr>
              <w:t> </w:t>
            </w:r>
          </w:p>
        </w:tc>
      </w:tr>
      <w:tr w:rsidR="002B5D06" w14:paraId="65D88755" w14:textId="77777777">
        <w:trPr>
          <w:divId w:val="1684360448"/>
          <w:trHeight w:val="225"/>
          <w:tblCellSpacing w:w="15" w:type="dxa"/>
          <w:jc w:val="center"/>
        </w:trPr>
        <w:tc>
          <w:tcPr>
            <w:tcW w:w="0" w:type="auto"/>
            <w:vAlign w:val="center"/>
            <w:hideMark/>
          </w:tcPr>
          <w:p w14:paraId="5F5F61FB"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693EB91E"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vAlign w:val="center"/>
            <w:hideMark/>
          </w:tcPr>
          <w:p w14:paraId="2650930F"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7C267426"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6A42BD81"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vAlign w:val="center"/>
            <w:hideMark/>
          </w:tcPr>
          <w:p w14:paraId="1D6CE6B1"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75DACC32" w14:textId="77777777" w:rsidR="002B5D06" w:rsidRDefault="000B69DD">
            <w:pPr>
              <w:pStyle w:val="NormalWeb"/>
              <w:spacing w:before="0" w:beforeAutospacing="0" w:after="0" w:afterAutospacing="0"/>
              <w:rPr>
                <w:sz w:val="20"/>
                <w:szCs w:val="20"/>
              </w:rPr>
            </w:pPr>
            <w:r>
              <w:rPr>
                <w:sz w:val="20"/>
                <w:szCs w:val="20"/>
              </w:rPr>
              <w:t> </w:t>
            </w:r>
          </w:p>
        </w:tc>
      </w:tr>
      <w:tr w:rsidR="002B5D06" w14:paraId="6914D5D0" w14:textId="77777777">
        <w:trPr>
          <w:divId w:val="1684360448"/>
          <w:trHeight w:val="225"/>
          <w:tblCellSpacing w:w="15" w:type="dxa"/>
          <w:jc w:val="center"/>
        </w:trPr>
        <w:tc>
          <w:tcPr>
            <w:tcW w:w="0" w:type="auto"/>
            <w:hideMark/>
          </w:tcPr>
          <w:p w14:paraId="3ECCBABF" w14:textId="77777777" w:rsidR="002B5D06" w:rsidRDefault="000B69DD">
            <w:pPr>
              <w:pStyle w:val="NormalWeb"/>
              <w:spacing w:before="0" w:beforeAutospacing="0" w:after="0" w:afterAutospacing="0"/>
              <w:rPr>
                <w:sz w:val="20"/>
                <w:szCs w:val="20"/>
              </w:rPr>
            </w:pPr>
            <w:r>
              <w:rPr>
                <w:sz w:val="20"/>
                <w:szCs w:val="20"/>
              </w:rPr>
              <w:t>Cash flows from operating activities:</w:t>
            </w:r>
          </w:p>
        </w:tc>
        <w:tc>
          <w:tcPr>
            <w:tcW w:w="50" w:type="pct"/>
            <w:noWrap/>
            <w:vAlign w:val="center"/>
            <w:hideMark/>
          </w:tcPr>
          <w:p w14:paraId="4F24F652"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vAlign w:val="center"/>
            <w:hideMark/>
          </w:tcPr>
          <w:p w14:paraId="580A85D3"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26BCC7EB"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334E5B2A"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vAlign w:val="center"/>
            <w:hideMark/>
          </w:tcPr>
          <w:p w14:paraId="600C1719"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4ADF06CD" w14:textId="77777777" w:rsidR="002B5D06" w:rsidRDefault="000B69DD">
            <w:pPr>
              <w:pStyle w:val="NormalWeb"/>
              <w:spacing w:before="0" w:beforeAutospacing="0" w:after="0" w:afterAutospacing="0"/>
              <w:rPr>
                <w:sz w:val="20"/>
                <w:szCs w:val="20"/>
              </w:rPr>
            </w:pPr>
            <w:r>
              <w:rPr>
                <w:sz w:val="20"/>
                <w:szCs w:val="20"/>
              </w:rPr>
              <w:t> </w:t>
            </w:r>
          </w:p>
        </w:tc>
      </w:tr>
      <w:tr w:rsidR="002B5D06" w14:paraId="690C2E2C" w14:textId="77777777">
        <w:trPr>
          <w:divId w:val="1684360448"/>
          <w:trHeight w:val="225"/>
          <w:tblCellSpacing w:w="15" w:type="dxa"/>
          <w:jc w:val="center"/>
        </w:trPr>
        <w:tc>
          <w:tcPr>
            <w:tcW w:w="0" w:type="auto"/>
            <w:shd w:val="clear" w:color="auto" w:fill="CCEEFF"/>
            <w:hideMark/>
          </w:tcPr>
          <w:p w14:paraId="5F5B899E" w14:textId="77777777" w:rsidR="002B5D06" w:rsidRDefault="000B69DD">
            <w:pPr>
              <w:pStyle w:val="NormalWeb"/>
              <w:spacing w:before="0" w:beforeAutospacing="0" w:after="0" w:afterAutospacing="0"/>
              <w:ind w:left="225"/>
              <w:rPr>
                <w:sz w:val="20"/>
                <w:szCs w:val="20"/>
              </w:rPr>
            </w:pPr>
            <w:r>
              <w:rPr>
                <w:sz w:val="20"/>
                <w:szCs w:val="20"/>
              </w:rPr>
              <w:t>Net income</w:t>
            </w:r>
          </w:p>
        </w:tc>
        <w:tc>
          <w:tcPr>
            <w:tcW w:w="50" w:type="pct"/>
            <w:shd w:val="clear" w:color="auto" w:fill="CCEEFF"/>
            <w:noWrap/>
            <w:vAlign w:val="center"/>
            <w:hideMark/>
          </w:tcPr>
          <w:p w14:paraId="55BB524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E51675C"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63F6F2E9" w14:textId="77777777" w:rsidR="002B5D06" w:rsidRDefault="000B69DD">
            <w:pPr>
              <w:jc w:val="right"/>
              <w:rPr>
                <w:rFonts w:eastAsia="Times New Roman"/>
                <w:sz w:val="20"/>
                <w:szCs w:val="20"/>
              </w:rPr>
            </w:pPr>
            <w:r>
              <w:rPr>
                <w:rFonts w:eastAsia="Times New Roman"/>
                <w:sz w:val="20"/>
                <w:szCs w:val="20"/>
              </w:rPr>
              <w:t>4,138</w:t>
            </w:r>
          </w:p>
        </w:tc>
        <w:tc>
          <w:tcPr>
            <w:tcW w:w="50" w:type="pct"/>
            <w:shd w:val="clear" w:color="auto" w:fill="CCEEFF"/>
            <w:noWrap/>
            <w:vAlign w:val="center"/>
            <w:hideMark/>
          </w:tcPr>
          <w:p w14:paraId="13D1C13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0EE3C6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E8F80E5"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6250D6C9" w14:textId="77777777" w:rsidR="002B5D06" w:rsidRDefault="000B69DD">
            <w:pPr>
              <w:jc w:val="right"/>
              <w:rPr>
                <w:rFonts w:eastAsia="Times New Roman"/>
                <w:sz w:val="20"/>
                <w:szCs w:val="20"/>
              </w:rPr>
            </w:pPr>
            <w:r>
              <w:rPr>
                <w:rFonts w:eastAsia="Times New Roman"/>
                <w:sz w:val="20"/>
                <w:szCs w:val="20"/>
              </w:rPr>
              <w:t>5,564</w:t>
            </w:r>
          </w:p>
        </w:tc>
        <w:tc>
          <w:tcPr>
            <w:tcW w:w="50" w:type="pct"/>
            <w:shd w:val="clear" w:color="auto" w:fill="CCEEFF"/>
            <w:noWrap/>
            <w:vAlign w:val="center"/>
            <w:hideMark/>
          </w:tcPr>
          <w:p w14:paraId="524CD820" w14:textId="77777777" w:rsidR="002B5D06" w:rsidRDefault="000B69DD">
            <w:pPr>
              <w:pStyle w:val="NormalWeb"/>
              <w:spacing w:before="0" w:beforeAutospacing="0" w:after="0" w:afterAutospacing="0"/>
              <w:rPr>
                <w:sz w:val="20"/>
                <w:szCs w:val="20"/>
              </w:rPr>
            </w:pPr>
            <w:r>
              <w:rPr>
                <w:sz w:val="20"/>
                <w:szCs w:val="20"/>
              </w:rPr>
              <w:t> </w:t>
            </w:r>
          </w:p>
        </w:tc>
      </w:tr>
      <w:tr w:rsidR="002B5D06" w14:paraId="27F5DE04" w14:textId="77777777">
        <w:trPr>
          <w:divId w:val="1684360448"/>
          <w:trHeight w:val="225"/>
          <w:tblCellSpacing w:w="15" w:type="dxa"/>
          <w:jc w:val="center"/>
        </w:trPr>
        <w:tc>
          <w:tcPr>
            <w:tcW w:w="0" w:type="auto"/>
            <w:shd w:val="clear" w:color="auto" w:fill="FFFFFF"/>
            <w:hideMark/>
          </w:tcPr>
          <w:p w14:paraId="13543311" w14:textId="77777777" w:rsidR="002B5D06" w:rsidRDefault="000B69DD">
            <w:pPr>
              <w:pStyle w:val="NormalWeb"/>
              <w:spacing w:before="0" w:beforeAutospacing="0" w:after="0" w:afterAutospacing="0"/>
              <w:ind w:left="225"/>
              <w:rPr>
                <w:sz w:val="20"/>
                <w:szCs w:val="20"/>
              </w:rPr>
            </w:pPr>
            <w:r>
              <w:rPr>
                <w:sz w:val="20"/>
                <w:szCs w:val="20"/>
              </w:rPr>
              <w:t>Adjustments to reconcile net income to net cash provided by operating activities</w:t>
            </w:r>
          </w:p>
        </w:tc>
        <w:tc>
          <w:tcPr>
            <w:tcW w:w="50" w:type="pct"/>
            <w:shd w:val="clear" w:color="auto" w:fill="FFFFFF"/>
            <w:noWrap/>
            <w:vAlign w:val="center"/>
            <w:hideMark/>
          </w:tcPr>
          <w:p w14:paraId="2037C7E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6FDA425"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B8ED92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22CE84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FD8FB5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22DF305"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7D0E12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35B7DCC" w14:textId="77777777" w:rsidR="002B5D06" w:rsidRDefault="000B69DD">
            <w:pPr>
              <w:pStyle w:val="NormalWeb"/>
              <w:spacing w:before="0" w:beforeAutospacing="0" w:after="0" w:afterAutospacing="0"/>
              <w:rPr>
                <w:sz w:val="20"/>
                <w:szCs w:val="20"/>
              </w:rPr>
            </w:pPr>
            <w:r>
              <w:rPr>
                <w:sz w:val="20"/>
                <w:szCs w:val="20"/>
              </w:rPr>
              <w:t> </w:t>
            </w:r>
          </w:p>
        </w:tc>
      </w:tr>
      <w:tr w:rsidR="002B5D06" w14:paraId="413C1D67" w14:textId="77777777">
        <w:trPr>
          <w:divId w:val="1684360448"/>
          <w:trHeight w:val="225"/>
          <w:tblCellSpacing w:w="15" w:type="dxa"/>
          <w:jc w:val="center"/>
        </w:trPr>
        <w:tc>
          <w:tcPr>
            <w:tcW w:w="0" w:type="auto"/>
            <w:shd w:val="clear" w:color="auto" w:fill="CCEEFF"/>
            <w:hideMark/>
          </w:tcPr>
          <w:p w14:paraId="1E53104E" w14:textId="77777777" w:rsidR="002B5D06" w:rsidRDefault="000B69DD">
            <w:pPr>
              <w:pStyle w:val="NormalWeb"/>
              <w:spacing w:before="0" w:beforeAutospacing="0" w:after="0" w:afterAutospacing="0"/>
              <w:ind w:left="450"/>
              <w:rPr>
                <w:sz w:val="20"/>
                <w:szCs w:val="20"/>
              </w:rPr>
            </w:pPr>
            <w:r>
              <w:rPr>
                <w:sz w:val="20"/>
                <w:szCs w:val="20"/>
              </w:rPr>
              <w:t>Expenses paid on behalf of the company by a related party</w:t>
            </w:r>
          </w:p>
        </w:tc>
        <w:tc>
          <w:tcPr>
            <w:tcW w:w="50" w:type="pct"/>
            <w:shd w:val="clear" w:color="auto" w:fill="CCEEFF"/>
            <w:noWrap/>
            <w:vAlign w:val="center"/>
            <w:hideMark/>
          </w:tcPr>
          <w:p w14:paraId="73A5336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3B324E2"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2A9AB9CF" w14:textId="77777777" w:rsidR="002B5D06" w:rsidRDefault="000B69DD">
            <w:pPr>
              <w:jc w:val="right"/>
              <w:rPr>
                <w:rFonts w:eastAsia="Times New Roman"/>
                <w:sz w:val="20"/>
                <w:szCs w:val="20"/>
              </w:rPr>
            </w:pPr>
            <w:r>
              <w:rPr>
                <w:rFonts w:eastAsia="Times New Roman"/>
                <w:sz w:val="20"/>
                <w:szCs w:val="20"/>
              </w:rPr>
              <w:t>27,419</w:t>
            </w:r>
          </w:p>
        </w:tc>
        <w:tc>
          <w:tcPr>
            <w:tcW w:w="50" w:type="pct"/>
            <w:shd w:val="clear" w:color="auto" w:fill="CCEEFF"/>
            <w:noWrap/>
            <w:vAlign w:val="center"/>
            <w:hideMark/>
          </w:tcPr>
          <w:p w14:paraId="0CD70D8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12E808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006AE3C"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7B572E27" w14:textId="77777777" w:rsidR="002B5D06" w:rsidRDefault="000B69DD">
            <w:pPr>
              <w:jc w:val="right"/>
              <w:rPr>
                <w:rFonts w:eastAsia="Times New Roman"/>
                <w:sz w:val="20"/>
                <w:szCs w:val="20"/>
              </w:rPr>
            </w:pPr>
            <w:r>
              <w:rPr>
                <w:rFonts w:eastAsia="Times New Roman"/>
                <w:sz w:val="20"/>
                <w:szCs w:val="20"/>
              </w:rPr>
              <w:t>25,950</w:t>
            </w:r>
          </w:p>
        </w:tc>
        <w:tc>
          <w:tcPr>
            <w:tcW w:w="50" w:type="pct"/>
            <w:shd w:val="clear" w:color="auto" w:fill="CCEEFF"/>
            <w:noWrap/>
            <w:vAlign w:val="center"/>
            <w:hideMark/>
          </w:tcPr>
          <w:p w14:paraId="5A927FC2" w14:textId="77777777" w:rsidR="002B5D06" w:rsidRDefault="000B69DD">
            <w:pPr>
              <w:pStyle w:val="NormalWeb"/>
              <w:spacing w:before="0" w:beforeAutospacing="0" w:after="0" w:afterAutospacing="0"/>
              <w:rPr>
                <w:sz w:val="20"/>
                <w:szCs w:val="20"/>
              </w:rPr>
            </w:pPr>
            <w:r>
              <w:rPr>
                <w:sz w:val="20"/>
                <w:szCs w:val="20"/>
              </w:rPr>
              <w:t> </w:t>
            </w:r>
          </w:p>
        </w:tc>
      </w:tr>
      <w:tr w:rsidR="002B5D06" w14:paraId="28138F64" w14:textId="77777777">
        <w:trPr>
          <w:divId w:val="1684360448"/>
          <w:trHeight w:val="225"/>
          <w:tblCellSpacing w:w="15" w:type="dxa"/>
          <w:jc w:val="center"/>
        </w:trPr>
        <w:tc>
          <w:tcPr>
            <w:tcW w:w="0" w:type="auto"/>
            <w:shd w:val="clear" w:color="auto" w:fill="FFFFFF"/>
            <w:hideMark/>
          </w:tcPr>
          <w:p w14:paraId="3A40CFC9" w14:textId="77777777" w:rsidR="002B5D06" w:rsidRDefault="000B69DD">
            <w:pPr>
              <w:pStyle w:val="NormalWeb"/>
              <w:spacing w:before="0" w:beforeAutospacing="0" w:after="0" w:afterAutospacing="0"/>
              <w:ind w:left="450"/>
              <w:rPr>
                <w:sz w:val="20"/>
                <w:szCs w:val="20"/>
              </w:rPr>
            </w:pPr>
            <w:r>
              <w:rPr>
                <w:sz w:val="20"/>
                <w:szCs w:val="20"/>
              </w:rPr>
              <w:t>Changes in operating assets and liabilities</w:t>
            </w:r>
          </w:p>
        </w:tc>
        <w:tc>
          <w:tcPr>
            <w:tcW w:w="50" w:type="pct"/>
            <w:shd w:val="clear" w:color="auto" w:fill="FFFFFF"/>
            <w:noWrap/>
            <w:vAlign w:val="center"/>
            <w:hideMark/>
          </w:tcPr>
          <w:p w14:paraId="637023E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01EB64D"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544903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25CC16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B74743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D9A6B98"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81E975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8A1890D" w14:textId="77777777" w:rsidR="002B5D06" w:rsidRDefault="000B69DD">
            <w:pPr>
              <w:pStyle w:val="NormalWeb"/>
              <w:spacing w:before="0" w:beforeAutospacing="0" w:after="0" w:afterAutospacing="0"/>
              <w:rPr>
                <w:sz w:val="20"/>
                <w:szCs w:val="20"/>
              </w:rPr>
            </w:pPr>
            <w:r>
              <w:rPr>
                <w:sz w:val="20"/>
                <w:szCs w:val="20"/>
              </w:rPr>
              <w:t> </w:t>
            </w:r>
          </w:p>
        </w:tc>
      </w:tr>
      <w:tr w:rsidR="002B5D06" w14:paraId="53257117" w14:textId="77777777">
        <w:trPr>
          <w:divId w:val="1684360448"/>
          <w:trHeight w:val="225"/>
          <w:tblCellSpacing w:w="15" w:type="dxa"/>
          <w:jc w:val="center"/>
        </w:trPr>
        <w:tc>
          <w:tcPr>
            <w:tcW w:w="0" w:type="auto"/>
            <w:shd w:val="clear" w:color="auto" w:fill="CCEEFF"/>
            <w:hideMark/>
          </w:tcPr>
          <w:p w14:paraId="1170B6BD" w14:textId="77777777" w:rsidR="002B5D06" w:rsidRDefault="000B69DD">
            <w:pPr>
              <w:pStyle w:val="NormalWeb"/>
              <w:spacing w:before="0" w:beforeAutospacing="0" w:after="0" w:afterAutospacing="0"/>
              <w:ind w:left="720"/>
              <w:rPr>
                <w:sz w:val="20"/>
                <w:szCs w:val="20"/>
              </w:rPr>
            </w:pPr>
            <w:r>
              <w:rPr>
                <w:sz w:val="20"/>
                <w:szCs w:val="20"/>
              </w:rPr>
              <w:t>Accounts payable</w:t>
            </w:r>
          </w:p>
        </w:tc>
        <w:tc>
          <w:tcPr>
            <w:tcW w:w="50" w:type="pct"/>
            <w:shd w:val="clear" w:color="auto" w:fill="CCEEFF"/>
            <w:noWrap/>
            <w:vAlign w:val="center"/>
            <w:hideMark/>
          </w:tcPr>
          <w:p w14:paraId="2C1F281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2527D88"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71A6AF8F" w14:textId="77777777" w:rsidR="002B5D06" w:rsidRDefault="000B69DD">
            <w:pPr>
              <w:jc w:val="right"/>
              <w:rPr>
                <w:rFonts w:eastAsia="Times New Roman"/>
                <w:sz w:val="20"/>
                <w:szCs w:val="20"/>
              </w:rPr>
            </w:pPr>
            <w:r>
              <w:rPr>
                <w:rFonts w:eastAsia="Times New Roman"/>
                <w:sz w:val="20"/>
                <w:szCs w:val="20"/>
              </w:rPr>
              <w:t>1,150</w:t>
            </w:r>
          </w:p>
        </w:tc>
        <w:tc>
          <w:tcPr>
            <w:tcW w:w="50" w:type="pct"/>
            <w:shd w:val="clear" w:color="auto" w:fill="CCEEFF"/>
            <w:noWrap/>
            <w:vAlign w:val="center"/>
            <w:hideMark/>
          </w:tcPr>
          <w:p w14:paraId="22A9E30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A777AE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4B2D753"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5BFB31BD" w14:textId="77777777" w:rsidR="002B5D06" w:rsidRDefault="000B69DD">
            <w:pPr>
              <w:jc w:val="right"/>
              <w:rPr>
                <w:rFonts w:eastAsia="Times New Roman"/>
                <w:sz w:val="20"/>
                <w:szCs w:val="20"/>
              </w:rPr>
            </w:pPr>
            <w:r>
              <w:rPr>
                <w:rFonts w:eastAsia="Times New Roman"/>
                <w:sz w:val="20"/>
                <w:szCs w:val="20"/>
              </w:rPr>
              <w:t>987</w:t>
            </w:r>
          </w:p>
        </w:tc>
        <w:tc>
          <w:tcPr>
            <w:tcW w:w="50" w:type="pct"/>
            <w:shd w:val="clear" w:color="auto" w:fill="CCEEFF"/>
            <w:noWrap/>
            <w:vAlign w:val="center"/>
            <w:hideMark/>
          </w:tcPr>
          <w:p w14:paraId="4EB00E67" w14:textId="77777777" w:rsidR="002B5D06" w:rsidRDefault="000B69DD">
            <w:pPr>
              <w:pStyle w:val="NormalWeb"/>
              <w:spacing w:before="0" w:beforeAutospacing="0" w:after="0" w:afterAutospacing="0"/>
              <w:rPr>
                <w:sz w:val="20"/>
                <w:szCs w:val="20"/>
              </w:rPr>
            </w:pPr>
            <w:r>
              <w:rPr>
                <w:sz w:val="20"/>
                <w:szCs w:val="20"/>
              </w:rPr>
              <w:t> </w:t>
            </w:r>
          </w:p>
        </w:tc>
      </w:tr>
      <w:tr w:rsidR="002B5D06" w14:paraId="1F4FC260" w14:textId="77777777">
        <w:trPr>
          <w:divId w:val="1684360448"/>
          <w:trHeight w:val="225"/>
          <w:tblCellSpacing w:w="15" w:type="dxa"/>
          <w:jc w:val="center"/>
        </w:trPr>
        <w:tc>
          <w:tcPr>
            <w:tcW w:w="0" w:type="auto"/>
            <w:shd w:val="clear" w:color="auto" w:fill="FFFFFF"/>
            <w:hideMark/>
          </w:tcPr>
          <w:p w14:paraId="5E7059DE" w14:textId="77777777" w:rsidR="002B5D06" w:rsidRDefault="000B69DD">
            <w:pPr>
              <w:pStyle w:val="NormalWeb"/>
              <w:spacing w:before="0" w:beforeAutospacing="0" w:after="0" w:afterAutospacing="0"/>
              <w:ind w:left="720"/>
              <w:rPr>
                <w:sz w:val="20"/>
                <w:szCs w:val="20"/>
              </w:rPr>
            </w:pPr>
            <w:r>
              <w:rPr>
                <w:sz w:val="20"/>
                <w:szCs w:val="20"/>
              </w:rPr>
              <w:t>Accrued expenses</w:t>
            </w:r>
          </w:p>
        </w:tc>
        <w:tc>
          <w:tcPr>
            <w:tcW w:w="50" w:type="pct"/>
            <w:shd w:val="clear" w:color="auto" w:fill="FFFFFF"/>
            <w:noWrap/>
            <w:vAlign w:val="center"/>
            <w:hideMark/>
          </w:tcPr>
          <w:p w14:paraId="173483A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4AC3826"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6DF2DB66" w14:textId="77777777" w:rsidR="002B5D06" w:rsidRDefault="000B69DD">
            <w:pPr>
              <w:jc w:val="right"/>
              <w:rPr>
                <w:rFonts w:eastAsia="Times New Roman"/>
                <w:sz w:val="20"/>
                <w:szCs w:val="20"/>
              </w:rPr>
            </w:pPr>
            <w:r>
              <w:rPr>
                <w:rFonts w:eastAsia="Times New Roman"/>
                <w:sz w:val="20"/>
                <w:szCs w:val="20"/>
              </w:rPr>
              <w:t>45</w:t>
            </w:r>
          </w:p>
        </w:tc>
        <w:tc>
          <w:tcPr>
            <w:tcW w:w="50" w:type="pct"/>
            <w:shd w:val="clear" w:color="auto" w:fill="FFFFFF"/>
            <w:noWrap/>
            <w:vAlign w:val="center"/>
            <w:hideMark/>
          </w:tcPr>
          <w:p w14:paraId="18D7D0D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A739A7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FF91F85"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033B00D2"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099B210E" w14:textId="77777777" w:rsidR="002B5D06" w:rsidRDefault="000B69DD">
            <w:pPr>
              <w:pStyle w:val="NormalWeb"/>
              <w:spacing w:before="0" w:beforeAutospacing="0" w:after="0" w:afterAutospacing="0"/>
              <w:rPr>
                <w:sz w:val="20"/>
                <w:szCs w:val="20"/>
              </w:rPr>
            </w:pPr>
            <w:r>
              <w:rPr>
                <w:sz w:val="20"/>
                <w:szCs w:val="20"/>
              </w:rPr>
              <w:t> </w:t>
            </w:r>
          </w:p>
        </w:tc>
      </w:tr>
      <w:tr w:rsidR="002B5D06" w14:paraId="72E9C616" w14:textId="77777777">
        <w:trPr>
          <w:divId w:val="1684360448"/>
          <w:trHeight w:val="225"/>
          <w:tblCellSpacing w:w="15" w:type="dxa"/>
          <w:jc w:val="center"/>
        </w:trPr>
        <w:tc>
          <w:tcPr>
            <w:tcW w:w="0" w:type="auto"/>
            <w:shd w:val="clear" w:color="auto" w:fill="CCEEFF"/>
            <w:hideMark/>
          </w:tcPr>
          <w:p w14:paraId="51E08E64" w14:textId="77777777" w:rsidR="002B5D06" w:rsidRDefault="000B69DD">
            <w:pPr>
              <w:pStyle w:val="NormalWeb"/>
              <w:spacing w:before="0" w:beforeAutospacing="0" w:after="0" w:afterAutospacing="0"/>
              <w:ind w:left="720"/>
              <w:rPr>
                <w:sz w:val="20"/>
                <w:szCs w:val="20"/>
              </w:rPr>
            </w:pPr>
            <w:r>
              <w:rPr>
                <w:sz w:val="20"/>
                <w:szCs w:val="20"/>
              </w:rPr>
              <w:t>Taxes payable</w:t>
            </w:r>
          </w:p>
        </w:tc>
        <w:tc>
          <w:tcPr>
            <w:tcW w:w="50" w:type="pct"/>
            <w:shd w:val="clear" w:color="auto" w:fill="CCEEFF"/>
            <w:noWrap/>
            <w:vAlign w:val="center"/>
            <w:hideMark/>
          </w:tcPr>
          <w:p w14:paraId="2EC385C2"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1DEF232B"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7A24EB3B" w14:textId="77777777" w:rsidR="002B5D06" w:rsidRDefault="000B69DD">
            <w:pPr>
              <w:jc w:val="right"/>
              <w:rPr>
                <w:rFonts w:eastAsia="Times New Roman"/>
                <w:sz w:val="20"/>
                <w:szCs w:val="20"/>
              </w:rPr>
            </w:pPr>
            <w:r>
              <w:rPr>
                <w:rFonts w:eastAsia="Times New Roman"/>
                <w:sz w:val="20"/>
                <w:szCs w:val="20"/>
              </w:rPr>
              <w:t>7,663</w:t>
            </w:r>
          </w:p>
        </w:tc>
        <w:tc>
          <w:tcPr>
            <w:tcW w:w="50" w:type="pct"/>
            <w:shd w:val="clear" w:color="auto" w:fill="CCEEFF"/>
            <w:noWrap/>
            <w:tcMar>
              <w:top w:w="0" w:type="dxa"/>
              <w:left w:w="0" w:type="dxa"/>
              <w:bottom w:w="15" w:type="dxa"/>
              <w:right w:w="0" w:type="dxa"/>
            </w:tcMar>
            <w:vAlign w:val="center"/>
            <w:hideMark/>
          </w:tcPr>
          <w:p w14:paraId="756122A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A7A5F6B"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33AB5920"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4F86DE84" w14:textId="77777777" w:rsidR="002B5D06" w:rsidRDefault="000B69DD">
            <w:pPr>
              <w:jc w:val="right"/>
              <w:rPr>
                <w:rFonts w:eastAsia="Times New Roman"/>
                <w:sz w:val="20"/>
                <w:szCs w:val="20"/>
              </w:rPr>
            </w:pPr>
            <w:r>
              <w:rPr>
                <w:rFonts w:eastAsia="Times New Roman"/>
                <w:sz w:val="20"/>
                <w:szCs w:val="20"/>
              </w:rPr>
              <w:t>12,553</w:t>
            </w:r>
          </w:p>
        </w:tc>
        <w:tc>
          <w:tcPr>
            <w:tcW w:w="50" w:type="pct"/>
            <w:shd w:val="clear" w:color="auto" w:fill="CCEEFF"/>
            <w:noWrap/>
            <w:tcMar>
              <w:top w:w="0" w:type="dxa"/>
              <w:left w:w="0" w:type="dxa"/>
              <w:bottom w:w="15" w:type="dxa"/>
              <w:right w:w="0" w:type="dxa"/>
            </w:tcMar>
            <w:vAlign w:val="center"/>
            <w:hideMark/>
          </w:tcPr>
          <w:p w14:paraId="04134925" w14:textId="77777777" w:rsidR="002B5D06" w:rsidRDefault="000B69DD">
            <w:pPr>
              <w:pStyle w:val="NormalWeb"/>
              <w:spacing w:before="0" w:beforeAutospacing="0" w:after="0" w:afterAutospacing="0"/>
              <w:rPr>
                <w:sz w:val="20"/>
                <w:szCs w:val="20"/>
              </w:rPr>
            </w:pPr>
            <w:r>
              <w:rPr>
                <w:sz w:val="20"/>
                <w:szCs w:val="20"/>
              </w:rPr>
              <w:t> </w:t>
            </w:r>
          </w:p>
        </w:tc>
      </w:tr>
      <w:tr w:rsidR="002B5D06" w14:paraId="407F0267" w14:textId="77777777">
        <w:trPr>
          <w:divId w:val="1684360448"/>
          <w:trHeight w:val="225"/>
          <w:tblCellSpacing w:w="15" w:type="dxa"/>
          <w:jc w:val="center"/>
        </w:trPr>
        <w:tc>
          <w:tcPr>
            <w:tcW w:w="0" w:type="auto"/>
            <w:shd w:val="clear" w:color="auto" w:fill="FFFFFF"/>
            <w:hideMark/>
          </w:tcPr>
          <w:p w14:paraId="0D613C4C" w14:textId="77777777" w:rsidR="002B5D06" w:rsidRDefault="000B69DD">
            <w:pPr>
              <w:pStyle w:val="NormalWeb"/>
              <w:spacing w:before="0" w:beforeAutospacing="0" w:after="0" w:afterAutospacing="0"/>
              <w:rPr>
                <w:sz w:val="20"/>
                <w:szCs w:val="20"/>
              </w:rPr>
            </w:pPr>
            <w:r>
              <w:rPr>
                <w:sz w:val="20"/>
                <w:szCs w:val="20"/>
              </w:rPr>
              <w:t>Net cash provided by operating activities</w:t>
            </w:r>
          </w:p>
        </w:tc>
        <w:tc>
          <w:tcPr>
            <w:tcW w:w="50" w:type="pct"/>
            <w:shd w:val="clear" w:color="auto" w:fill="FFFFFF"/>
            <w:noWrap/>
            <w:vAlign w:val="center"/>
            <w:hideMark/>
          </w:tcPr>
          <w:p w14:paraId="6652DE4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4269CF2"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85F9E26" w14:textId="77777777" w:rsidR="002B5D06" w:rsidRDefault="000B69DD">
            <w:pPr>
              <w:jc w:val="right"/>
              <w:rPr>
                <w:rFonts w:eastAsia="Times New Roman"/>
                <w:sz w:val="20"/>
                <w:szCs w:val="20"/>
              </w:rPr>
            </w:pPr>
            <w:r>
              <w:rPr>
                <w:rFonts w:eastAsia="Times New Roman"/>
                <w:sz w:val="20"/>
                <w:szCs w:val="20"/>
              </w:rPr>
              <w:t>40,415</w:t>
            </w:r>
          </w:p>
        </w:tc>
        <w:tc>
          <w:tcPr>
            <w:tcW w:w="50" w:type="pct"/>
            <w:shd w:val="clear" w:color="auto" w:fill="FFFFFF"/>
            <w:noWrap/>
            <w:vAlign w:val="center"/>
            <w:hideMark/>
          </w:tcPr>
          <w:p w14:paraId="7742CE0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8E7B60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C3F9E6F"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3FADEB61" w14:textId="77777777" w:rsidR="002B5D06" w:rsidRDefault="000B69DD">
            <w:pPr>
              <w:jc w:val="right"/>
              <w:rPr>
                <w:rFonts w:eastAsia="Times New Roman"/>
                <w:sz w:val="20"/>
                <w:szCs w:val="20"/>
              </w:rPr>
            </w:pPr>
            <w:r>
              <w:rPr>
                <w:rFonts w:eastAsia="Times New Roman"/>
                <w:sz w:val="20"/>
                <w:szCs w:val="20"/>
              </w:rPr>
              <w:t>45,117</w:t>
            </w:r>
          </w:p>
        </w:tc>
        <w:tc>
          <w:tcPr>
            <w:tcW w:w="50" w:type="pct"/>
            <w:shd w:val="clear" w:color="auto" w:fill="FFFFFF"/>
            <w:noWrap/>
            <w:vAlign w:val="center"/>
            <w:hideMark/>
          </w:tcPr>
          <w:p w14:paraId="0E2BC707" w14:textId="77777777" w:rsidR="002B5D06" w:rsidRDefault="000B69DD">
            <w:pPr>
              <w:pStyle w:val="NormalWeb"/>
              <w:spacing w:before="0" w:beforeAutospacing="0" w:after="0" w:afterAutospacing="0"/>
              <w:rPr>
                <w:sz w:val="20"/>
                <w:szCs w:val="20"/>
              </w:rPr>
            </w:pPr>
            <w:r>
              <w:rPr>
                <w:sz w:val="20"/>
                <w:szCs w:val="20"/>
              </w:rPr>
              <w:t> </w:t>
            </w:r>
          </w:p>
        </w:tc>
      </w:tr>
      <w:tr w:rsidR="002B5D06" w14:paraId="6A1B932E" w14:textId="77777777">
        <w:trPr>
          <w:divId w:val="1684360448"/>
          <w:trHeight w:val="225"/>
          <w:tblCellSpacing w:w="15" w:type="dxa"/>
          <w:jc w:val="center"/>
        </w:trPr>
        <w:tc>
          <w:tcPr>
            <w:tcW w:w="0" w:type="auto"/>
            <w:shd w:val="clear" w:color="auto" w:fill="CCEEFF"/>
            <w:vAlign w:val="center"/>
            <w:hideMark/>
          </w:tcPr>
          <w:p w14:paraId="638BFF5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CD0536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F1B5362"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465A915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B86C66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C75D9F9"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037F1A8"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2D3EAFD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8EBD372" w14:textId="77777777" w:rsidR="002B5D06" w:rsidRDefault="000B69DD">
            <w:pPr>
              <w:pStyle w:val="NormalWeb"/>
              <w:spacing w:before="0" w:beforeAutospacing="0" w:after="0" w:afterAutospacing="0"/>
              <w:rPr>
                <w:sz w:val="20"/>
                <w:szCs w:val="20"/>
              </w:rPr>
            </w:pPr>
            <w:r>
              <w:rPr>
                <w:sz w:val="20"/>
                <w:szCs w:val="20"/>
              </w:rPr>
              <w:t> </w:t>
            </w:r>
          </w:p>
        </w:tc>
      </w:tr>
      <w:tr w:rsidR="002B5D06" w14:paraId="77F25D3E" w14:textId="77777777">
        <w:trPr>
          <w:divId w:val="1684360448"/>
          <w:trHeight w:val="225"/>
          <w:tblCellSpacing w:w="15" w:type="dxa"/>
          <w:jc w:val="center"/>
        </w:trPr>
        <w:tc>
          <w:tcPr>
            <w:tcW w:w="0" w:type="auto"/>
            <w:shd w:val="clear" w:color="auto" w:fill="FFFFFF"/>
            <w:hideMark/>
          </w:tcPr>
          <w:p w14:paraId="3EEA3296" w14:textId="77777777" w:rsidR="002B5D06" w:rsidRDefault="000B69DD">
            <w:pPr>
              <w:pStyle w:val="NormalWeb"/>
              <w:spacing w:before="0" w:beforeAutospacing="0" w:after="0" w:afterAutospacing="0"/>
              <w:rPr>
                <w:sz w:val="20"/>
                <w:szCs w:val="20"/>
              </w:rPr>
            </w:pPr>
            <w:r>
              <w:rPr>
                <w:sz w:val="20"/>
                <w:szCs w:val="20"/>
              </w:rPr>
              <w:t>Cash flow from financing activities:</w:t>
            </w:r>
          </w:p>
        </w:tc>
        <w:tc>
          <w:tcPr>
            <w:tcW w:w="50" w:type="pct"/>
            <w:shd w:val="clear" w:color="auto" w:fill="FFFFFF"/>
            <w:noWrap/>
            <w:vAlign w:val="center"/>
            <w:hideMark/>
          </w:tcPr>
          <w:p w14:paraId="39A38D6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2741A8E"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B2BA2A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40B140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80BBE4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58EDDE5"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4E34D9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F248AEC" w14:textId="77777777" w:rsidR="002B5D06" w:rsidRDefault="000B69DD">
            <w:pPr>
              <w:pStyle w:val="NormalWeb"/>
              <w:spacing w:before="0" w:beforeAutospacing="0" w:after="0" w:afterAutospacing="0"/>
              <w:rPr>
                <w:sz w:val="20"/>
                <w:szCs w:val="20"/>
              </w:rPr>
            </w:pPr>
            <w:r>
              <w:rPr>
                <w:sz w:val="20"/>
                <w:szCs w:val="20"/>
              </w:rPr>
              <w:t> </w:t>
            </w:r>
          </w:p>
        </w:tc>
      </w:tr>
      <w:tr w:rsidR="002B5D06" w14:paraId="7ADB903E" w14:textId="77777777">
        <w:trPr>
          <w:divId w:val="1684360448"/>
          <w:trHeight w:val="225"/>
          <w:tblCellSpacing w:w="15" w:type="dxa"/>
          <w:jc w:val="center"/>
        </w:trPr>
        <w:tc>
          <w:tcPr>
            <w:tcW w:w="0" w:type="auto"/>
            <w:shd w:val="clear" w:color="auto" w:fill="CCEEFF"/>
            <w:hideMark/>
          </w:tcPr>
          <w:p w14:paraId="27F007BD" w14:textId="77777777" w:rsidR="002B5D06" w:rsidRDefault="000B69DD">
            <w:pPr>
              <w:pStyle w:val="NormalWeb"/>
              <w:spacing w:before="0" w:beforeAutospacing="0" w:after="0" w:afterAutospacing="0"/>
              <w:ind w:left="225"/>
              <w:rPr>
                <w:sz w:val="20"/>
                <w:szCs w:val="20"/>
              </w:rPr>
            </w:pPr>
            <w:r>
              <w:rPr>
                <w:sz w:val="20"/>
                <w:szCs w:val="20"/>
              </w:rPr>
              <w:t>Repayment of related party debt</w:t>
            </w:r>
          </w:p>
        </w:tc>
        <w:tc>
          <w:tcPr>
            <w:tcW w:w="50" w:type="pct"/>
            <w:shd w:val="clear" w:color="auto" w:fill="CCEEFF"/>
            <w:noWrap/>
            <w:vAlign w:val="center"/>
            <w:hideMark/>
          </w:tcPr>
          <w:p w14:paraId="3E65AD0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DAB0D47"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62937AF" w14:textId="77777777" w:rsidR="002B5D06" w:rsidRDefault="000B69DD">
            <w:pPr>
              <w:jc w:val="right"/>
              <w:rPr>
                <w:rFonts w:eastAsia="Times New Roman"/>
                <w:sz w:val="20"/>
                <w:szCs w:val="20"/>
              </w:rPr>
            </w:pPr>
            <w:r>
              <w:rPr>
                <w:rFonts w:eastAsia="Times New Roman"/>
                <w:sz w:val="20"/>
                <w:szCs w:val="20"/>
              </w:rPr>
              <w:t xml:space="preserve">(89,819 </w:t>
            </w:r>
          </w:p>
        </w:tc>
        <w:tc>
          <w:tcPr>
            <w:tcW w:w="50" w:type="pct"/>
            <w:shd w:val="clear" w:color="auto" w:fill="CCEEFF"/>
            <w:noWrap/>
            <w:vAlign w:val="bottom"/>
            <w:hideMark/>
          </w:tcPr>
          <w:p w14:paraId="7649F4B6" w14:textId="77777777" w:rsidR="002B5D06" w:rsidRDefault="000B69DD">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E3DD68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55C3FAD"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6F03BDFD" w14:textId="77777777" w:rsidR="002B5D06" w:rsidRDefault="000B69DD">
            <w:pPr>
              <w:jc w:val="right"/>
              <w:rPr>
                <w:rFonts w:eastAsia="Times New Roman"/>
                <w:sz w:val="20"/>
                <w:szCs w:val="20"/>
              </w:rPr>
            </w:pPr>
            <w:r>
              <w:rPr>
                <w:rFonts w:eastAsia="Times New Roman"/>
                <w:sz w:val="20"/>
                <w:szCs w:val="20"/>
              </w:rPr>
              <w:t xml:space="preserve">(46,201 </w:t>
            </w:r>
          </w:p>
        </w:tc>
        <w:tc>
          <w:tcPr>
            <w:tcW w:w="50" w:type="pct"/>
            <w:shd w:val="clear" w:color="auto" w:fill="CCEEFF"/>
            <w:noWrap/>
            <w:vAlign w:val="bottom"/>
            <w:hideMark/>
          </w:tcPr>
          <w:p w14:paraId="7D9C93B5" w14:textId="77777777" w:rsidR="002B5D06" w:rsidRDefault="000B69DD">
            <w:pPr>
              <w:rPr>
                <w:rFonts w:eastAsia="Times New Roman"/>
                <w:sz w:val="20"/>
                <w:szCs w:val="20"/>
              </w:rPr>
            </w:pPr>
            <w:r>
              <w:rPr>
                <w:rFonts w:eastAsia="Times New Roman"/>
                <w:sz w:val="20"/>
                <w:szCs w:val="20"/>
              </w:rPr>
              <w:t>)</w:t>
            </w:r>
          </w:p>
        </w:tc>
      </w:tr>
      <w:tr w:rsidR="002B5D06" w14:paraId="67C40601" w14:textId="77777777">
        <w:trPr>
          <w:divId w:val="1684360448"/>
          <w:trHeight w:val="225"/>
          <w:tblCellSpacing w:w="15" w:type="dxa"/>
          <w:jc w:val="center"/>
        </w:trPr>
        <w:tc>
          <w:tcPr>
            <w:tcW w:w="0" w:type="auto"/>
            <w:shd w:val="clear" w:color="auto" w:fill="FFFFFF"/>
            <w:hideMark/>
          </w:tcPr>
          <w:p w14:paraId="5439A6B7" w14:textId="77777777" w:rsidR="002B5D06" w:rsidRDefault="000B69DD">
            <w:pPr>
              <w:pStyle w:val="NormalWeb"/>
              <w:spacing w:before="0" w:beforeAutospacing="0" w:after="0" w:afterAutospacing="0"/>
              <w:ind w:left="225"/>
              <w:rPr>
                <w:sz w:val="20"/>
                <w:szCs w:val="20"/>
              </w:rPr>
            </w:pPr>
            <w:r>
              <w:rPr>
                <w:sz w:val="20"/>
                <w:szCs w:val="20"/>
              </w:rPr>
              <w:t>Repayment of long-term debt</w:t>
            </w:r>
          </w:p>
        </w:tc>
        <w:tc>
          <w:tcPr>
            <w:tcW w:w="50" w:type="pct"/>
            <w:shd w:val="clear" w:color="auto" w:fill="FFFFFF"/>
            <w:noWrap/>
            <w:vAlign w:val="center"/>
            <w:hideMark/>
          </w:tcPr>
          <w:p w14:paraId="42BD8EA0"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D156949"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9751B91"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5CAF61D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F4A5378"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17109EB"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189668B8" w14:textId="77777777" w:rsidR="002B5D06" w:rsidRDefault="000B69DD">
            <w:pPr>
              <w:jc w:val="right"/>
              <w:rPr>
                <w:rFonts w:eastAsia="Times New Roman"/>
                <w:sz w:val="20"/>
                <w:szCs w:val="20"/>
              </w:rPr>
            </w:pPr>
            <w:r>
              <w:rPr>
                <w:rFonts w:eastAsia="Times New Roman"/>
                <w:sz w:val="20"/>
                <w:szCs w:val="20"/>
              </w:rPr>
              <w:t xml:space="preserve">(6,788 </w:t>
            </w:r>
          </w:p>
        </w:tc>
        <w:tc>
          <w:tcPr>
            <w:tcW w:w="50" w:type="pct"/>
            <w:shd w:val="clear" w:color="auto" w:fill="FFFFFF"/>
            <w:noWrap/>
            <w:tcMar>
              <w:top w:w="0" w:type="dxa"/>
              <w:left w:w="0" w:type="dxa"/>
              <w:bottom w:w="15" w:type="dxa"/>
              <w:right w:w="0" w:type="dxa"/>
            </w:tcMar>
            <w:vAlign w:val="bottom"/>
            <w:hideMark/>
          </w:tcPr>
          <w:p w14:paraId="5D3C277E" w14:textId="77777777" w:rsidR="002B5D06" w:rsidRDefault="000B69DD">
            <w:pPr>
              <w:rPr>
                <w:rFonts w:eastAsia="Times New Roman"/>
                <w:sz w:val="20"/>
                <w:szCs w:val="20"/>
              </w:rPr>
            </w:pPr>
            <w:r>
              <w:rPr>
                <w:rFonts w:eastAsia="Times New Roman"/>
                <w:sz w:val="20"/>
                <w:szCs w:val="20"/>
              </w:rPr>
              <w:t>)</w:t>
            </w:r>
          </w:p>
        </w:tc>
      </w:tr>
      <w:tr w:rsidR="002B5D06" w14:paraId="312695CE" w14:textId="77777777">
        <w:trPr>
          <w:divId w:val="1684360448"/>
          <w:trHeight w:val="225"/>
          <w:tblCellSpacing w:w="15" w:type="dxa"/>
          <w:jc w:val="center"/>
        </w:trPr>
        <w:tc>
          <w:tcPr>
            <w:tcW w:w="0" w:type="auto"/>
            <w:shd w:val="clear" w:color="auto" w:fill="CCEEFF"/>
            <w:hideMark/>
          </w:tcPr>
          <w:p w14:paraId="66275084" w14:textId="77777777" w:rsidR="002B5D06" w:rsidRDefault="000B69DD">
            <w:pPr>
              <w:pStyle w:val="NormalWeb"/>
              <w:spacing w:before="0" w:beforeAutospacing="0" w:after="0" w:afterAutospacing="0"/>
              <w:rPr>
                <w:sz w:val="20"/>
                <w:szCs w:val="20"/>
              </w:rPr>
            </w:pPr>
            <w:r>
              <w:rPr>
                <w:sz w:val="20"/>
                <w:szCs w:val="20"/>
              </w:rPr>
              <w:t>Net cash used in financing activities</w:t>
            </w:r>
          </w:p>
        </w:tc>
        <w:tc>
          <w:tcPr>
            <w:tcW w:w="50" w:type="pct"/>
            <w:shd w:val="clear" w:color="auto" w:fill="CCEEFF"/>
            <w:noWrap/>
            <w:vAlign w:val="center"/>
            <w:hideMark/>
          </w:tcPr>
          <w:p w14:paraId="0D48D75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E79A9A0"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5C6D3F7B" w14:textId="77777777" w:rsidR="002B5D06" w:rsidRDefault="000B69DD">
            <w:pPr>
              <w:jc w:val="right"/>
              <w:rPr>
                <w:rFonts w:eastAsia="Times New Roman"/>
                <w:sz w:val="20"/>
                <w:szCs w:val="20"/>
              </w:rPr>
            </w:pPr>
            <w:r>
              <w:rPr>
                <w:rFonts w:eastAsia="Times New Roman"/>
                <w:sz w:val="20"/>
                <w:szCs w:val="20"/>
              </w:rPr>
              <w:t xml:space="preserve">(89,819 </w:t>
            </w:r>
          </w:p>
        </w:tc>
        <w:tc>
          <w:tcPr>
            <w:tcW w:w="50" w:type="pct"/>
            <w:shd w:val="clear" w:color="auto" w:fill="CCEEFF"/>
            <w:noWrap/>
            <w:vAlign w:val="bottom"/>
            <w:hideMark/>
          </w:tcPr>
          <w:p w14:paraId="66294226" w14:textId="77777777" w:rsidR="002B5D06" w:rsidRDefault="000B69DD">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57DB9E4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F549211"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A746275" w14:textId="77777777" w:rsidR="002B5D06" w:rsidRDefault="000B69DD">
            <w:pPr>
              <w:jc w:val="right"/>
              <w:rPr>
                <w:rFonts w:eastAsia="Times New Roman"/>
                <w:sz w:val="20"/>
                <w:szCs w:val="20"/>
              </w:rPr>
            </w:pPr>
            <w:r>
              <w:rPr>
                <w:rFonts w:eastAsia="Times New Roman"/>
                <w:sz w:val="20"/>
                <w:szCs w:val="20"/>
              </w:rPr>
              <w:t xml:space="preserve">(52,989 </w:t>
            </w:r>
          </w:p>
        </w:tc>
        <w:tc>
          <w:tcPr>
            <w:tcW w:w="50" w:type="pct"/>
            <w:shd w:val="clear" w:color="auto" w:fill="CCEEFF"/>
            <w:noWrap/>
            <w:vAlign w:val="bottom"/>
            <w:hideMark/>
          </w:tcPr>
          <w:p w14:paraId="2DF1D289" w14:textId="77777777" w:rsidR="002B5D06" w:rsidRDefault="000B69DD">
            <w:pPr>
              <w:rPr>
                <w:rFonts w:eastAsia="Times New Roman"/>
                <w:sz w:val="20"/>
                <w:szCs w:val="20"/>
              </w:rPr>
            </w:pPr>
            <w:r>
              <w:rPr>
                <w:rFonts w:eastAsia="Times New Roman"/>
                <w:sz w:val="20"/>
                <w:szCs w:val="20"/>
              </w:rPr>
              <w:t>)</w:t>
            </w:r>
          </w:p>
        </w:tc>
      </w:tr>
      <w:tr w:rsidR="002B5D06" w14:paraId="01ECFEEE" w14:textId="77777777">
        <w:trPr>
          <w:divId w:val="1684360448"/>
          <w:trHeight w:val="225"/>
          <w:tblCellSpacing w:w="15" w:type="dxa"/>
          <w:jc w:val="center"/>
        </w:trPr>
        <w:tc>
          <w:tcPr>
            <w:tcW w:w="0" w:type="auto"/>
            <w:shd w:val="clear" w:color="auto" w:fill="FFFFFF"/>
            <w:hideMark/>
          </w:tcPr>
          <w:p w14:paraId="304DD6FB" w14:textId="77777777" w:rsidR="002B5D06" w:rsidRDefault="000B69DD">
            <w:pPr>
              <w:pStyle w:val="NormalWeb"/>
              <w:spacing w:before="0" w:beforeAutospacing="0" w:after="0" w:afterAutospacing="0"/>
              <w:ind w:left="225"/>
              <w:rPr>
                <w:sz w:val="20"/>
                <w:szCs w:val="20"/>
              </w:rPr>
            </w:pPr>
            <w:r>
              <w:rPr>
                <w:sz w:val="20"/>
                <w:szCs w:val="20"/>
              </w:rPr>
              <w:t>Change due to FX Translation</w:t>
            </w:r>
          </w:p>
        </w:tc>
        <w:tc>
          <w:tcPr>
            <w:tcW w:w="50" w:type="pct"/>
            <w:shd w:val="clear" w:color="auto" w:fill="FFFFFF"/>
            <w:noWrap/>
            <w:vAlign w:val="center"/>
            <w:hideMark/>
          </w:tcPr>
          <w:p w14:paraId="353D182D"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3D54AA5"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289D5CAE" w14:textId="77777777" w:rsidR="002B5D06" w:rsidRDefault="000B69DD">
            <w:pPr>
              <w:jc w:val="right"/>
              <w:rPr>
                <w:rFonts w:eastAsia="Times New Roman"/>
                <w:sz w:val="20"/>
                <w:szCs w:val="20"/>
              </w:rPr>
            </w:pPr>
            <w:r>
              <w:rPr>
                <w:rFonts w:eastAsia="Times New Roman"/>
                <w:sz w:val="20"/>
                <w:szCs w:val="20"/>
              </w:rPr>
              <w:t>12,147</w:t>
            </w:r>
          </w:p>
        </w:tc>
        <w:tc>
          <w:tcPr>
            <w:tcW w:w="50" w:type="pct"/>
            <w:shd w:val="clear" w:color="auto" w:fill="FFFFFF"/>
            <w:noWrap/>
            <w:tcMar>
              <w:top w:w="0" w:type="dxa"/>
              <w:left w:w="0" w:type="dxa"/>
              <w:bottom w:w="15" w:type="dxa"/>
              <w:right w:w="0" w:type="dxa"/>
            </w:tcMar>
            <w:vAlign w:val="center"/>
            <w:hideMark/>
          </w:tcPr>
          <w:p w14:paraId="37F956A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37E1D88"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83FD494"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53CB1A71" w14:textId="77777777" w:rsidR="002B5D06" w:rsidRDefault="000B69DD">
            <w:pPr>
              <w:jc w:val="right"/>
              <w:rPr>
                <w:rFonts w:eastAsia="Times New Roman"/>
                <w:sz w:val="20"/>
                <w:szCs w:val="20"/>
              </w:rPr>
            </w:pPr>
            <w:r>
              <w:rPr>
                <w:rFonts w:eastAsia="Times New Roman"/>
                <w:sz w:val="20"/>
                <w:szCs w:val="20"/>
              </w:rPr>
              <w:t xml:space="preserve">(2,482 </w:t>
            </w:r>
          </w:p>
        </w:tc>
        <w:tc>
          <w:tcPr>
            <w:tcW w:w="50" w:type="pct"/>
            <w:shd w:val="clear" w:color="auto" w:fill="FFFFFF"/>
            <w:noWrap/>
            <w:tcMar>
              <w:top w:w="0" w:type="dxa"/>
              <w:left w:w="0" w:type="dxa"/>
              <w:bottom w:w="15" w:type="dxa"/>
              <w:right w:w="0" w:type="dxa"/>
            </w:tcMar>
            <w:vAlign w:val="bottom"/>
            <w:hideMark/>
          </w:tcPr>
          <w:p w14:paraId="31C23160" w14:textId="77777777" w:rsidR="002B5D06" w:rsidRDefault="000B69DD">
            <w:pPr>
              <w:rPr>
                <w:rFonts w:eastAsia="Times New Roman"/>
                <w:sz w:val="20"/>
                <w:szCs w:val="20"/>
              </w:rPr>
            </w:pPr>
            <w:r>
              <w:rPr>
                <w:rFonts w:eastAsia="Times New Roman"/>
                <w:sz w:val="20"/>
                <w:szCs w:val="20"/>
              </w:rPr>
              <w:t>)</w:t>
            </w:r>
          </w:p>
        </w:tc>
      </w:tr>
      <w:tr w:rsidR="002B5D06" w14:paraId="33A74A68" w14:textId="77777777">
        <w:trPr>
          <w:divId w:val="1684360448"/>
          <w:trHeight w:val="225"/>
          <w:tblCellSpacing w:w="15" w:type="dxa"/>
          <w:jc w:val="center"/>
        </w:trPr>
        <w:tc>
          <w:tcPr>
            <w:tcW w:w="0" w:type="auto"/>
            <w:shd w:val="clear" w:color="auto" w:fill="CCEEFF"/>
            <w:hideMark/>
          </w:tcPr>
          <w:p w14:paraId="7BFC95C6" w14:textId="77777777" w:rsidR="002B5D06" w:rsidRDefault="000B69DD">
            <w:pPr>
              <w:pStyle w:val="NormalWeb"/>
              <w:spacing w:before="0" w:beforeAutospacing="0" w:after="0" w:afterAutospacing="0"/>
              <w:ind w:left="225"/>
              <w:rPr>
                <w:sz w:val="20"/>
                <w:szCs w:val="20"/>
              </w:rPr>
            </w:pPr>
            <w:r>
              <w:rPr>
                <w:rStyle w:val="Strong"/>
                <w:sz w:val="20"/>
                <w:szCs w:val="20"/>
              </w:rPr>
              <w:t>NET CHANGE IN CASH</w:t>
            </w:r>
          </w:p>
        </w:tc>
        <w:tc>
          <w:tcPr>
            <w:tcW w:w="50" w:type="pct"/>
            <w:shd w:val="clear" w:color="auto" w:fill="CCEEFF"/>
            <w:noWrap/>
            <w:vAlign w:val="center"/>
            <w:hideMark/>
          </w:tcPr>
          <w:p w14:paraId="240AB84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A4D5DFB"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51B3144" w14:textId="77777777" w:rsidR="002B5D06" w:rsidRDefault="000B69DD">
            <w:pPr>
              <w:jc w:val="right"/>
              <w:rPr>
                <w:rFonts w:eastAsia="Times New Roman"/>
                <w:sz w:val="20"/>
                <w:szCs w:val="20"/>
              </w:rPr>
            </w:pPr>
            <w:r>
              <w:rPr>
                <w:rStyle w:val="Strong"/>
                <w:rFonts w:eastAsia="Times New Roman"/>
                <w:sz w:val="20"/>
                <w:szCs w:val="20"/>
              </w:rPr>
              <w:t xml:space="preserve">(37,257 </w:t>
            </w:r>
          </w:p>
        </w:tc>
        <w:tc>
          <w:tcPr>
            <w:tcW w:w="50" w:type="pct"/>
            <w:shd w:val="clear" w:color="auto" w:fill="CCEEFF"/>
            <w:noWrap/>
            <w:vAlign w:val="bottom"/>
            <w:hideMark/>
          </w:tcPr>
          <w:p w14:paraId="4F3DB154" w14:textId="77777777" w:rsidR="002B5D06" w:rsidRDefault="000B69DD">
            <w:pPr>
              <w:rPr>
                <w:rFonts w:eastAsia="Times New Roman"/>
                <w:sz w:val="20"/>
                <w:szCs w:val="20"/>
              </w:rPr>
            </w:pPr>
            <w:r>
              <w:rPr>
                <w:rStyle w:val="Strong"/>
                <w:rFonts w:eastAsia="Times New Roman"/>
                <w:sz w:val="20"/>
                <w:szCs w:val="20"/>
              </w:rPr>
              <w:t>)</w:t>
            </w:r>
          </w:p>
        </w:tc>
        <w:tc>
          <w:tcPr>
            <w:tcW w:w="50" w:type="pct"/>
            <w:shd w:val="clear" w:color="auto" w:fill="CCEEFF"/>
            <w:noWrap/>
            <w:vAlign w:val="center"/>
            <w:hideMark/>
          </w:tcPr>
          <w:p w14:paraId="0CC8C32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CF273C7"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4C5041E7" w14:textId="77777777" w:rsidR="002B5D06" w:rsidRDefault="000B69DD">
            <w:pPr>
              <w:jc w:val="right"/>
              <w:rPr>
                <w:rFonts w:eastAsia="Times New Roman"/>
                <w:sz w:val="20"/>
                <w:szCs w:val="20"/>
              </w:rPr>
            </w:pPr>
            <w:r>
              <w:rPr>
                <w:rStyle w:val="Strong"/>
                <w:rFonts w:eastAsia="Times New Roman"/>
                <w:sz w:val="20"/>
                <w:szCs w:val="20"/>
              </w:rPr>
              <w:t xml:space="preserve">(10,354 </w:t>
            </w:r>
          </w:p>
        </w:tc>
        <w:tc>
          <w:tcPr>
            <w:tcW w:w="50" w:type="pct"/>
            <w:shd w:val="clear" w:color="auto" w:fill="CCEEFF"/>
            <w:noWrap/>
            <w:vAlign w:val="bottom"/>
            <w:hideMark/>
          </w:tcPr>
          <w:p w14:paraId="3DFD25FE" w14:textId="77777777" w:rsidR="002B5D06" w:rsidRDefault="000B69DD">
            <w:pPr>
              <w:rPr>
                <w:rFonts w:eastAsia="Times New Roman"/>
                <w:sz w:val="20"/>
                <w:szCs w:val="20"/>
              </w:rPr>
            </w:pPr>
            <w:r>
              <w:rPr>
                <w:rStyle w:val="Strong"/>
                <w:rFonts w:eastAsia="Times New Roman"/>
                <w:sz w:val="20"/>
                <w:szCs w:val="20"/>
              </w:rPr>
              <w:t>)</w:t>
            </w:r>
          </w:p>
        </w:tc>
      </w:tr>
      <w:tr w:rsidR="002B5D06" w14:paraId="11566885" w14:textId="77777777">
        <w:trPr>
          <w:divId w:val="1684360448"/>
          <w:trHeight w:val="225"/>
          <w:tblCellSpacing w:w="15" w:type="dxa"/>
          <w:jc w:val="center"/>
        </w:trPr>
        <w:tc>
          <w:tcPr>
            <w:tcW w:w="0" w:type="auto"/>
            <w:shd w:val="clear" w:color="auto" w:fill="FFFFFF"/>
            <w:vAlign w:val="center"/>
            <w:hideMark/>
          </w:tcPr>
          <w:p w14:paraId="33DE360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ECC420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D0DCDF3"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05A2C12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FD9329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A76858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FED4824"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CF5341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5DD2EBB" w14:textId="77777777" w:rsidR="002B5D06" w:rsidRDefault="000B69DD">
            <w:pPr>
              <w:pStyle w:val="NormalWeb"/>
              <w:spacing w:before="0" w:beforeAutospacing="0" w:after="0" w:afterAutospacing="0"/>
              <w:rPr>
                <w:sz w:val="20"/>
                <w:szCs w:val="20"/>
              </w:rPr>
            </w:pPr>
            <w:r>
              <w:rPr>
                <w:sz w:val="20"/>
                <w:szCs w:val="20"/>
              </w:rPr>
              <w:t> </w:t>
            </w:r>
          </w:p>
        </w:tc>
      </w:tr>
      <w:tr w:rsidR="002B5D06" w14:paraId="23BE8B49" w14:textId="77777777">
        <w:trPr>
          <w:divId w:val="1684360448"/>
          <w:trHeight w:val="225"/>
          <w:tblCellSpacing w:w="15" w:type="dxa"/>
          <w:jc w:val="center"/>
        </w:trPr>
        <w:tc>
          <w:tcPr>
            <w:tcW w:w="0" w:type="auto"/>
            <w:shd w:val="clear" w:color="auto" w:fill="CCEEFF"/>
            <w:hideMark/>
          </w:tcPr>
          <w:p w14:paraId="3AF46CB7" w14:textId="77777777" w:rsidR="002B5D06" w:rsidRDefault="000B69DD">
            <w:pPr>
              <w:pStyle w:val="NormalWeb"/>
              <w:spacing w:before="0" w:beforeAutospacing="0" w:after="0" w:afterAutospacing="0"/>
              <w:rPr>
                <w:sz w:val="20"/>
                <w:szCs w:val="20"/>
              </w:rPr>
            </w:pPr>
            <w:r>
              <w:rPr>
                <w:sz w:val="20"/>
                <w:szCs w:val="20"/>
              </w:rPr>
              <w:t>Cash at beginning of period</w:t>
            </w:r>
          </w:p>
        </w:tc>
        <w:tc>
          <w:tcPr>
            <w:tcW w:w="50" w:type="pct"/>
            <w:shd w:val="clear" w:color="auto" w:fill="CCEEFF"/>
            <w:noWrap/>
            <w:vAlign w:val="center"/>
            <w:hideMark/>
          </w:tcPr>
          <w:p w14:paraId="4DFB7D60"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bottom"/>
            <w:hideMark/>
          </w:tcPr>
          <w:p w14:paraId="44059DFF" w14:textId="77777777" w:rsidR="002B5D06" w:rsidRDefault="000B69DD">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CCEEFF"/>
            <w:vAlign w:val="bottom"/>
            <w:hideMark/>
          </w:tcPr>
          <w:p w14:paraId="268B1C7A" w14:textId="77777777" w:rsidR="002B5D06" w:rsidRDefault="000B69DD">
            <w:pPr>
              <w:jc w:val="right"/>
              <w:rPr>
                <w:rFonts w:eastAsia="Times New Roman"/>
                <w:sz w:val="20"/>
                <w:szCs w:val="20"/>
              </w:rPr>
            </w:pPr>
            <w:r>
              <w:rPr>
                <w:rFonts w:eastAsia="Times New Roman"/>
                <w:sz w:val="20"/>
                <w:szCs w:val="20"/>
              </w:rPr>
              <w:t>94,482</w:t>
            </w:r>
          </w:p>
        </w:tc>
        <w:tc>
          <w:tcPr>
            <w:tcW w:w="50" w:type="pct"/>
            <w:shd w:val="clear" w:color="auto" w:fill="CCEEFF"/>
            <w:noWrap/>
            <w:tcMar>
              <w:top w:w="0" w:type="dxa"/>
              <w:left w:w="0" w:type="dxa"/>
              <w:bottom w:w="15" w:type="dxa"/>
              <w:right w:w="0" w:type="dxa"/>
            </w:tcMar>
            <w:vAlign w:val="center"/>
            <w:hideMark/>
          </w:tcPr>
          <w:p w14:paraId="41D029D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9E12B4A"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bottom"/>
            <w:hideMark/>
          </w:tcPr>
          <w:p w14:paraId="7E469317" w14:textId="77777777" w:rsidR="002B5D06" w:rsidRDefault="000B69DD">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CCEEFF"/>
            <w:vAlign w:val="bottom"/>
            <w:hideMark/>
          </w:tcPr>
          <w:p w14:paraId="7485D80E" w14:textId="77777777" w:rsidR="002B5D06" w:rsidRDefault="000B69DD">
            <w:pPr>
              <w:jc w:val="right"/>
              <w:rPr>
                <w:rFonts w:eastAsia="Times New Roman"/>
                <w:sz w:val="20"/>
                <w:szCs w:val="20"/>
              </w:rPr>
            </w:pPr>
            <w:r>
              <w:rPr>
                <w:rFonts w:eastAsia="Times New Roman"/>
                <w:sz w:val="20"/>
                <w:szCs w:val="20"/>
              </w:rPr>
              <w:t>104,836</w:t>
            </w:r>
          </w:p>
        </w:tc>
        <w:tc>
          <w:tcPr>
            <w:tcW w:w="50" w:type="pct"/>
            <w:shd w:val="clear" w:color="auto" w:fill="CCEEFF"/>
            <w:noWrap/>
            <w:tcMar>
              <w:top w:w="0" w:type="dxa"/>
              <w:left w:w="0" w:type="dxa"/>
              <w:bottom w:w="15" w:type="dxa"/>
              <w:right w:w="0" w:type="dxa"/>
            </w:tcMar>
            <w:vAlign w:val="center"/>
            <w:hideMark/>
          </w:tcPr>
          <w:p w14:paraId="4DBE9748" w14:textId="77777777" w:rsidR="002B5D06" w:rsidRDefault="000B69DD">
            <w:pPr>
              <w:pStyle w:val="NormalWeb"/>
              <w:spacing w:before="0" w:beforeAutospacing="0" w:after="0" w:afterAutospacing="0"/>
              <w:rPr>
                <w:sz w:val="20"/>
                <w:szCs w:val="20"/>
              </w:rPr>
            </w:pPr>
            <w:r>
              <w:rPr>
                <w:sz w:val="20"/>
                <w:szCs w:val="20"/>
              </w:rPr>
              <w:t> </w:t>
            </w:r>
          </w:p>
        </w:tc>
      </w:tr>
      <w:tr w:rsidR="002B5D06" w14:paraId="0F6FD5D4" w14:textId="77777777">
        <w:trPr>
          <w:divId w:val="1684360448"/>
          <w:trHeight w:val="225"/>
          <w:tblCellSpacing w:w="15" w:type="dxa"/>
          <w:jc w:val="center"/>
        </w:trPr>
        <w:tc>
          <w:tcPr>
            <w:tcW w:w="0" w:type="auto"/>
            <w:shd w:val="clear" w:color="auto" w:fill="FFFFFF"/>
            <w:hideMark/>
          </w:tcPr>
          <w:p w14:paraId="5FF23919" w14:textId="77777777" w:rsidR="002B5D06" w:rsidRDefault="000B69DD">
            <w:pPr>
              <w:pStyle w:val="NormalWeb"/>
              <w:spacing w:before="0" w:beforeAutospacing="0" w:after="0" w:afterAutospacing="0"/>
              <w:rPr>
                <w:sz w:val="20"/>
                <w:szCs w:val="20"/>
              </w:rPr>
            </w:pPr>
            <w:r>
              <w:rPr>
                <w:sz w:val="20"/>
                <w:szCs w:val="20"/>
              </w:rPr>
              <w:t>Cash at end of period</w:t>
            </w:r>
          </w:p>
        </w:tc>
        <w:tc>
          <w:tcPr>
            <w:tcW w:w="50" w:type="pct"/>
            <w:shd w:val="clear" w:color="auto" w:fill="FFFFFF"/>
            <w:noWrap/>
            <w:vAlign w:val="center"/>
            <w:hideMark/>
          </w:tcPr>
          <w:p w14:paraId="6A855C28"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192D4FD6"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7A5C8E65" w14:textId="77777777" w:rsidR="002B5D06" w:rsidRDefault="000B69DD">
            <w:pPr>
              <w:jc w:val="right"/>
              <w:rPr>
                <w:rFonts w:eastAsia="Times New Roman"/>
                <w:sz w:val="20"/>
                <w:szCs w:val="20"/>
              </w:rPr>
            </w:pPr>
            <w:r>
              <w:rPr>
                <w:rFonts w:eastAsia="Times New Roman"/>
                <w:sz w:val="20"/>
                <w:szCs w:val="20"/>
              </w:rPr>
              <w:t>57,225</w:t>
            </w:r>
          </w:p>
        </w:tc>
        <w:tc>
          <w:tcPr>
            <w:tcW w:w="50" w:type="pct"/>
            <w:shd w:val="clear" w:color="auto" w:fill="FFFFFF"/>
            <w:noWrap/>
            <w:tcMar>
              <w:top w:w="0" w:type="dxa"/>
              <w:left w:w="0" w:type="dxa"/>
              <w:bottom w:w="45" w:type="dxa"/>
              <w:right w:w="0" w:type="dxa"/>
            </w:tcMar>
            <w:vAlign w:val="center"/>
            <w:hideMark/>
          </w:tcPr>
          <w:p w14:paraId="4BCFA7B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862B8A0"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7E51D073"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23B6D593" w14:textId="77777777" w:rsidR="002B5D06" w:rsidRDefault="000B69DD">
            <w:pPr>
              <w:jc w:val="right"/>
              <w:rPr>
                <w:rFonts w:eastAsia="Times New Roman"/>
                <w:sz w:val="20"/>
                <w:szCs w:val="20"/>
              </w:rPr>
            </w:pPr>
            <w:r>
              <w:rPr>
                <w:rFonts w:eastAsia="Times New Roman"/>
                <w:sz w:val="20"/>
                <w:szCs w:val="20"/>
              </w:rPr>
              <w:t>94,482</w:t>
            </w:r>
          </w:p>
        </w:tc>
        <w:tc>
          <w:tcPr>
            <w:tcW w:w="50" w:type="pct"/>
            <w:shd w:val="clear" w:color="auto" w:fill="FFFFFF"/>
            <w:noWrap/>
            <w:tcMar>
              <w:top w:w="0" w:type="dxa"/>
              <w:left w:w="0" w:type="dxa"/>
              <w:bottom w:w="45" w:type="dxa"/>
              <w:right w:w="0" w:type="dxa"/>
            </w:tcMar>
            <w:vAlign w:val="center"/>
            <w:hideMark/>
          </w:tcPr>
          <w:p w14:paraId="382C1D61" w14:textId="77777777" w:rsidR="002B5D06" w:rsidRDefault="000B69DD">
            <w:pPr>
              <w:pStyle w:val="NormalWeb"/>
              <w:spacing w:before="0" w:beforeAutospacing="0" w:after="0" w:afterAutospacing="0"/>
              <w:rPr>
                <w:sz w:val="20"/>
                <w:szCs w:val="20"/>
              </w:rPr>
            </w:pPr>
            <w:r>
              <w:rPr>
                <w:sz w:val="20"/>
                <w:szCs w:val="20"/>
              </w:rPr>
              <w:t> </w:t>
            </w:r>
          </w:p>
        </w:tc>
      </w:tr>
      <w:tr w:rsidR="002B5D06" w14:paraId="7290AF95" w14:textId="77777777">
        <w:trPr>
          <w:divId w:val="1684360448"/>
          <w:trHeight w:val="225"/>
          <w:tblCellSpacing w:w="15" w:type="dxa"/>
          <w:jc w:val="center"/>
        </w:trPr>
        <w:tc>
          <w:tcPr>
            <w:tcW w:w="0" w:type="auto"/>
            <w:shd w:val="clear" w:color="auto" w:fill="CCEEFF"/>
            <w:hideMark/>
          </w:tcPr>
          <w:p w14:paraId="506AD359" w14:textId="77777777" w:rsidR="002B5D06" w:rsidRDefault="000B69DD">
            <w:pPr>
              <w:pStyle w:val="NormalWeb"/>
              <w:spacing w:before="0" w:beforeAutospacing="0" w:after="0" w:afterAutospacing="0"/>
              <w:rPr>
                <w:sz w:val="20"/>
                <w:szCs w:val="20"/>
              </w:rPr>
            </w:pPr>
            <w:r>
              <w:rPr>
                <w:sz w:val="20"/>
                <w:szCs w:val="20"/>
              </w:rPr>
              <w:t>Supplemental Disclosures of Cash Flow Information</w:t>
            </w:r>
          </w:p>
        </w:tc>
        <w:tc>
          <w:tcPr>
            <w:tcW w:w="50" w:type="pct"/>
            <w:shd w:val="clear" w:color="auto" w:fill="CCEEFF"/>
            <w:noWrap/>
            <w:vAlign w:val="center"/>
            <w:hideMark/>
          </w:tcPr>
          <w:p w14:paraId="2D3AD30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4BF6BC5"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7E963A6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44C944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8E2686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0CBF8C1"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3C12ECF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D189173" w14:textId="77777777" w:rsidR="002B5D06" w:rsidRDefault="000B69DD">
            <w:pPr>
              <w:pStyle w:val="NormalWeb"/>
              <w:spacing w:before="0" w:beforeAutospacing="0" w:after="0" w:afterAutospacing="0"/>
              <w:rPr>
                <w:sz w:val="20"/>
                <w:szCs w:val="20"/>
              </w:rPr>
            </w:pPr>
            <w:r>
              <w:rPr>
                <w:sz w:val="20"/>
                <w:szCs w:val="20"/>
              </w:rPr>
              <w:t> </w:t>
            </w:r>
          </w:p>
        </w:tc>
      </w:tr>
      <w:tr w:rsidR="002B5D06" w14:paraId="5D9CC814" w14:textId="77777777">
        <w:trPr>
          <w:divId w:val="1684360448"/>
          <w:trHeight w:val="225"/>
          <w:tblCellSpacing w:w="15" w:type="dxa"/>
          <w:jc w:val="center"/>
        </w:trPr>
        <w:tc>
          <w:tcPr>
            <w:tcW w:w="0" w:type="auto"/>
            <w:shd w:val="clear" w:color="auto" w:fill="FFFFFF"/>
            <w:hideMark/>
          </w:tcPr>
          <w:p w14:paraId="33ACD9EC" w14:textId="77777777" w:rsidR="002B5D06" w:rsidRDefault="000B69DD">
            <w:pPr>
              <w:pStyle w:val="NormalWeb"/>
              <w:spacing w:before="0" w:beforeAutospacing="0" w:after="0" w:afterAutospacing="0"/>
              <w:ind w:left="675"/>
              <w:rPr>
                <w:sz w:val="20"/>
                <w:szCs w:val="20"/>
              </w:rPr>
            </w:pPr>
            <w:r>
              <w:rPr>
                <w:sz w:val="20"/>
                <w:szCs w:val="20"/>
              </w:rPr>
              <w:t>Cash paid for Interest</w:t>
            </w:r>
          </w:p>
        </w:tc>
        <w:tc>
          <w:tcPr>
            <w:tcW w:w="50" w:type="pct"/>
            <w:shd w:val="clear" w:color="auto" w:fill="FFFFFF"/>
            <w:noWrap/>
            <w:vAlign w:val="center"/>
            <w:hideMark/>
          </w:tcPr>
          <w:p w14:paraId="0930F0B4"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358EE52F"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45FB13F7"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45" w:type="dxa"/>
              <w:right w:w="0" w:type="dxa"/>
            </w:tcMar>
            <w:vAlign w:val="center"/>
            <w:hideMark/>
          </w:tcPr>
          <w:p w14:paraId="4C39C70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F95C271"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0F5153E7"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3E0C7925" w14:textId="77777777" w:rsidR="002B5D06" w:rsidRDefault="000B69DD">
            <w:pPr>
              <w:jc w:val="right"/>
              <w:rPr>
                <w:rFonts w:eastAsia="Times New Roman"/>
                <w:sz w:val="20"/>
                <w:szCs w:val="20"/>
              </w:rPr>
            </w:pPr>
            <w:r>
              <w:rPr>
                <w:rFonts w:eastAsia="Times New Roman"/>
                <w:sz w:val="20"/>
                <w:szCs w:val="20"/>
              </w:rPr>
              <w:t>106</w:t>
            </w:r>
          </w:p>
        </w:tc>
        <w:tc>
          <w:tcPr>
            <w:tcW w:w="50" w:type="pct"/>
            <w:shd w:val="clear" w:color="auto" w:fill="FFFFFF"/>
            <w:noWrap/>
            <w:tcMar>
              <w:top w:w="0" w:type="dxa"/>
              <w:left w:w="0" w:type="dxa"/>
              <w:bottom w:w="45" w:type="dxa"/>
              <w:right w:w="0" w:type="dxa"/>
            </w:tcMar>
            <w:vAlign w:val="center"/>
            <w:hideMark/>
          </w:tcPr>
          <w:p w14:paraId="7F904B11" w14:textId="77777777" w:rsidR="002B5D06" w:rsidRDefault="000B69DD">
            <w:pPr>
              <w:pStyle w:val="NormalWeb"/>
              <w:spacing w:before="0" w:beforeAutospacing="0" w:after="0" w:afterAutospacing="0"/>
              <w:rPr>
                <w:sz w:val="20"/>
                <w:szCs w:val="20"/>
              </w:rPr>
            </w:pPr>
            <w:r>
              <w:rPr>
                <w:sz w:val="20"/>
                <w:szCs w:val="20"/>
              </w:rPr>
              <w:t> </w:t>
            </w:r>
          </w:p>
        </w:tc>
      </w:tr>
      <w:tr w:rsidR="002B5D06" w14:paraId="16A048D4" w14:textId="77777777">
        <w:trPr>
          <w:divId w:val="1684360448"/>
          <w:trHeight w:val="225"/>
          <w:tblCellSpacing w:w="15" w:type="dxa"/>
          <w:jc w:val="center"/>
        </w:trPr>
        <w:tc>
          <w:tcPr>
            <w:tcW w:w="0" w:type="auto"/>
            <w:shd w:val="clear" w:color="auto" w:fill="CCEEFF"/>
            <w:hideMark/>
          </w:tcPr>
          <w:p w14:paraId="62B49FAC" w14:textId="77777777" w:rsidR="002B5D06" w:rsidRDefault="000B69DD">
            <w:pPr>
              <w:pStyle w:val="NormalWeb"/>
              <w:spacing w:before="0" w:beforeAutospacing="0" w:after="0" w:afterAutospacing="0"/>
              <w:ind w:left="675"/>
              <w:rPr>
                <w:sz w:val="20"/>
                <w:szCs w:val="20"/>
              </w:rPr>
            </w:pPr>
            <w:r>
              <w:rPr>
                <w:sz w:val="20"/>
                <w:szCs w:val="20"/>
              </w:rPr>
              <w:t>Cash paid for Income Taxes</w:t>
            </w:r>
          </w:p>
        </w:tc>
        <w:tc>
          <w:tcPr>
            <w:tcW w:w="50" w:type="pct"/>
            <w:shd w:val="clear" w:color="auto" w:fill="CCEEFF"/>
            <w:noWrap/>
            <w:vAlign w:val="center"/>
            <w:hideMark/>
          </w:tcPr>
          <w:p w14:paraId="465E85B7"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333C9D77"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3771ABDB" w14:textId="77777777" w:rsidR="002B5D06" w:rsidRDefault="000B69DD">
            <w:pPr>
              <w:jc w:val="right"/>
              <w:rPr>
                <w:rFonts w:eastAsia="Times New Roman"/>
                <w:sz w:val="20"/>
                <w:szCs w:val="20"/>
              </w:rPr>
            </w:pPr>
            <w:r>
              <w:rPr>
                <w:rFonts w:eastAsia="Times New Roman"/>
                <w:sz w:val="20"/>
                <w:szCs w:val="20"/>
              </w:rPr>
              <w:t>6,735</w:t>
            </w:r>
          </w:p>
        </w:tc>
        <w:tc>
          <w:tcPr>
            <w:tcW w:w="50" w:type="pct"/>
            <w:shd w:val="clear" w:color="auto" w:fill="CCEEFF"/>
            <w:noWrap/>
            <w:tcMar>
              <w:top w:w="0" w:type="dxa"/>
              <w:left w:w="0" w:type="dxa"/>
              <w:bottom w:w="45" w:type="dxa"/>
              <w:right w:w="0" w:type="dxa"/>
            </w:tcMar>
            <w:vAlign w:val="center"/>
            <w:hideMark/>
          </w:tcPr>
          <w:p w14:paraId="1EDAD14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B9BF0D4"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3872D2E7"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2811B240" w14:textId="77777777" w:rsidR="002B5D06" w:rsidRDefault="000B69DD">
            <w:pPr>
              <w:jc w:val="right"/>
              <w:rPr>
                <w:rFonts w:eastAsia="Times New Roman"/>
                <w:sz w:val="20"/>
                <w:szCs w:val="20"/>
              </w:rPr>
            </w:pPr>
            <w:r>
              <w:rPr>
                <w:rFonts w:eastAsia="Times New Roman"/>
                <w:sz w:val="20"/>
                <w:szCs w:val="20"/>
              </w:rPr>
              <w:t>3,284</w:t>
            </w:r>
          </w:p>
        </w:tc>
        <w:tc>
          <w:tcPr>
            <w:tcW w:w="50" w:type="pct"/>
            <w:shd w:val="clear" w:color="auto" w:fill="CCEEFF"/>
            <w:noWrap/>
            <w:tcMar>
              <w:top w:w="0" w:type="dxa"/>
              <w:left w:w="0" w:type="dxa"/>
              <w:bottom w:w="45" w:type="dxa"/>
              <w:right w:w="0" w:type="dxa"/>
            </w:tcMar>
            <w:vAlign w:val="center"/>
            <w:hideMark/>
          </w:tcPr>
          <w:p w14:paraId="49EFFBEB" w14:textId="77777777" w:rsidR="002B5D06" w:rsidRDefault="000B69DD">
            <w:pPr>
              <w:pStyle w:val="NormalWeb"/>
              <w:spacing w:before="0" w:beforeAutospacing="0" w:after="0" w:afterAutospacing="0"/>
              <w:rPr>
                <w:sz w:val="20"/>
                <w:szCs w:val="20"/>
              </w:rPr>
            </w:pPr>
            <w:r>
              <w:rPr>
                <w:sz w:val="20"/>
                <w:szCs w:val="20"/>
              </w:rPr>
              <w:t> </w:t>
            </w:r>
          </w:p>
        </w:tc>
      </w:tr>
    </w:tbl>
    <w:p w14:paraId="1E16BA6B" w14:textId="77777777" w:rsidR="002B5D06" w:rsidRDefault="000B69DD">
      <w:pPr>
        <w:pStyle w:val="NormalWeb"/>
        <w:spacing w:before="0" w:beforeAutospacing="0" w:after="0" w:afterAutospacing="0"/>
        <w:jc w:val="center"/>
        <w:divId w:val="1684360448"/>
        <w:rPr>
          <w:sz w:val="20"/>
          <w:szCs w:val="20"/>
        </w:rPr>
      </w:pPr>
      <w:r>
        <w:rPr>
          <w:sz w:val="20"/>
          <w:szCs w:val="20"/>
        </w:rPr>
        <w:t> </w:t>
      </w:r>
    </w:p>
    <w:p w14:paraId="68FA66B2" w14:textId="77777777" w:rsidR="002B5D06" w:rsidRDefault="000B69DD">
      <w:pPr>
        <w:pStyle w:val="NormalWeb"/>
        <w:spacing w:before="0" w:beforeAutospacing="0" w:after="0" w:afterAutospacing="0"/>
        <w:jc w:val="center"/>
        <w:divId w:val="1684360448"/>
        <w:rPr>
          <w:sz w:val="20"/>
          <w:szCs w:val="20"/>
        </w:rPr>
      </w:pPr>
      <w:r>
        <w:rPr>
          <w:rStyle w:val="Strong"/>
          <w:sz w:val="20"/>
          <w:szCs w:val="20"/>
        </w:rPr>
        <w:t>See accompanying notes to the consolidated financial statements.</w:t>
      </w:r>
    </w:p>
    <w:p w14:paraId="6942B3F9" w14:textId="77777777" w:rsidR="002B5D06" w:rsidRDefault="000B69DD">
      <w:pPr>
        <w:pStyle w:val="NormalWeb"/>
        <w:spacing w:before="0" w:beforeAutospacing="0" w:after="0" w:afterAutospacing="0"/>
        <w:jc w:val="center"/>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5F831D3C" w14:textId="77777777">
        <w:trPr>
          <w:divId w:val="1684360448"/>
          <w:trHeight w:val="225"/>
          <w:tblCellSpacing w:w="15" w:type="dxa"/>
          <w:jc w:val="center"/>
        </w:trPr>
        <w:tc>
          <w:tcPr>
            <w:tcW w:w="0" w:type="auto"/>
            <w:vAlign w:val="center"/>
            <w:hideMark/>
          </w:tcPr>
          <w:p w14:paraId="3EFF3438" w14:textId="77777777" w:rsidR="002B5D06" w:rsidRDefault="000B69DD">
            <w:pPr>
              <w:rPr>
                <w:rFonts w:eastAsia="Times New Roman"/>
                <w:sz w:val="20"/>
                <w:szCs w:val="20"/>
              </w:rPr>
            </w:pPr>
            <w:r>
              <w:rPr>
                <w:rFonts w:eastAsia="Times New Roman"/>
                <w:sz w:val="20"/>
                <w:szCs w:val="20"/>
              </w:rPr>
              <w:t> </w:t>
            </w:r>
          </w:p>
        </w:tc>
      </w:tr>
      <w:tr w:rsidR="002B5D06" w14:paraId="21F0C9FF" w14:textId="77777777">
        <w:trPr>
          <w:divId w:val="1684360448"/>
          <w:trHeight w:val="225"/>
          <w:tblCellSpacing w:w="15" w:type="dxa"/>
          <w:jc w:val="center"/>
        </w:trPr>
        <w:tc>
          <w:tcPr>
            <w:tcW w:w="0" w:type="auto"/>
            <w:tcBorders>
              <w:bottom w:val="single" w:sz="6" w:space="0" w:color="000000"/>
            </w:tcBorders>
            <w:vAlign w:val="center"/>
            <w:hideMark/>
          </w:tcPr>
          <w:p w14:paraId="44057F48" w14:textId="77777777" w:rsidR="002B5D06" w:rsidRDefault="000B69DD">
            <w:pPr>
              <w:jc w:val="center"/>
              <w:rPr>
                <w:rFonts w:eastAsia="Times New Roman"/>
                <w:sz w:val="20"/>
                <w:szCs w:val="20"/>
              </w:rPr>
            </w:pPr>
            <w:r>
              <w:rPr>
                <w:rFonts w:eastAsia="Times New Roman"/>
                <w:sz w:val="20"/>
                <w:szCs w:val="20"/>
              </w:rPr>
              <w:t>F-6</w:t>
            </w:r>
          </w:p>
        </w:tc>
      </w:tr>
      <w:tr w:rsidR="002B5D06" w14:paraId="6D0C99B6" w14:textId="77777777">
        <w:trPr>
          <w:divId w:val="1684360448"/>
          <w:trHeight w:val="225"/>
          <w:tblCellSpacing w:w="15" w:type="dxa"/>
          <w:jc w:val="center"/>
        </w:trPr>
        <w:tc>
          <w:tcPr>
            <w:tcW w:w="0" w:type="auto"/>
            <w:vAlign w:val="center"/>
            <w:hideMark/>
          </w:tcPr>
          <w:p w14:paraId="2D81F123" w14:textId="77777777" w:rsidR="002B5D06" w:rsidRDefault="002B5D06">
            <w:pPr>
              <w:rPr>
                <w:rFonts w:eastAsia="Times New Roman"/>
                <w:sz w:val="20"/>
                <w:szCs w:val="20"/>
              </w:rPr>
            </w:pPr>
          </w:p>
        </w:tc>
      </w:tr>
      <w:tr w:rsidR="002B5D06" w14:paraId="067904A5" w14:textId="77777777">
        <w:trPr>
          <w:divId w:val="1684360448"/>
          <w:trHeight w:val="225"/>
          <w:tblCellSpacing w:w="15" w:type="dxa"/>
          <w:jc w:val="center"/>
        </w:trPr>
        <w:tc>
          <w:tcPr>
            <w:tcW w:w="0" w:type="auto"/>
            <w:vAlign w:val="center"/>
            <w:hideMark/>
          </w:tcPr>
          <w:p w14:paraId="1771DEB2" w14:textId="77777777" w:rsidR="002B5D06" w:rsidRDefault="002B5D06">
            <w:pPr>
              <w:rPr>
                <w:rFonts w:eastAsia="Times New Roman"/>
                <w:sz w:val="20"/>
                <w:szCs w:val="20"/>
              </w:rPr>
            </w:pPr>
          </w:p>
        </w:tc>
      </w:tr>
    </w:tbl>
    <w:p w14:paraId="6BB3E756"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6FBEAD53" w14:textId="77777777" w:rsidR="002B5D06" w:rsidRDefault="000B69DD">
      <w:pPr>
        <w:pStyle w:val="NormalWeb"/>
        <w:spacing w:before="0" w:beforeAutospacing="0" w:after="0" w:afterAutospacing="0"/>
        <w:divId w:val="1684360448"/>
        <w:rPr>
          <w:sz w:val="20"/>
          <w:szCs w:val="20"/>
        </w:rPr>
      </w:pPr>
      <w:r>
        <w:rPr>
          <w:sz w:val="20"/>
          <w:szCs w:val="20"/>
        </w:rPr>
        <w:t>  </w:t>
      </w:r>
    </w:p>
    <w:p w14:paraId="010C3654" w14:textId="77777777" w:rsidR="002B5D06" w:rsidRDefault="000B69DD">
      <w:pPr>
        <w:pStyle w:val="NormalWeb"/>
        <w:spacing w:before="0" w:beforeAutospacing="0" w:after="0" w:afterAutospacing="0"/>
        <w:jc w:val="center"/>
        <w:divId w:val="1684360448"/>
        <w:rPr>
          <w:sz w:val="20"/>
          <w:szCs w:val="20"/>
        </w:rPr>
      </w:pPr>
      <w:r>
        <w:rPr>
          <w:rStyle w:val="Strong"/>
          <w:sz w:val="20"/>
          <w:szCs w:val="20"/>
        </w:rPr>
        <w:t>ADVANCED OXYGEN TECHNOLOGIES, INC.</w:t>
      </w:r>
    </w:p>
    <w:p w14:paraId="4C8CDAA7" w14:textId="77777777" w:rsidR="002B5D06" w:rsidRDefault="000B69DD">
      <w:pPr>
        <w:pStyle w:val="NormalWeb"/>
        <w:spacing w:before="0" w:beforeAutospacing="0" w:after="0" w:afterAutospacing="0"/>
        <w:jc w:val="center"/>
        <w:divId w:val="1684360448"/>
        <w:rPr>
          <w:sz w:val="20"/>
          <w:szCs w:val="20"/>
        </w:rPr>
      </w:pPr>
      <w:r>
        <w:rPr>
          <w:rStyle w:val="Strong"/>
          <w:sz w:val="20"/>
          <w:szCs w:val="20"/>
        </w:rPr>
        <w:t>NOTES TO CONSOLIDATED FINANCIAL STATEMENTS</w:t>
      </w:r>
    </w:p>
    <w:p w14:paraId="52AD23F7" w14:textId="77777777" w:rsidR="002B5D06" w:rsidRDefault="000B69DD">
      <w:pPr>
        <w:pStyle w:val="NormalWeb"/>
        <w:spacing w:before="0" w:beforeAutospacing="0" w:after="0" w:afterAutospacing="0"/>
        <w:jc w:val="center"/>
        <w:divId w:val="1684360448"/>
        <w:rPr>
          <w:sz w:val="20"/>
          <w:szCs w:val="20"/>
        </w:rPr>
      </w:pPr>
      <w:r>
        <w:rPr>
          <w:sz w:val="20"/>
          <w:szCs w:val="20"/>
        </w:rPr>
        <w:t> </w:t>
      </w:r>
    </w:p>
    <w:p w14:paraId="5749A43A" w14:textId="77777777" w:rsidR="002B5D06" w:rsidRDefault="000B69DD">
      <w:pPr>
        <w:pStyle w:val="NormalWeb"/>
        <w:spacing w:before="0" w:beforeAutospacing="0" w:after="0" w:afterAutospacing="0"/>
        <w:jc w:val="both"/>
        <w:divId w:val="1684360448"/>
        <w:rPr>
          <w:sz w:val="20"/>
          <w:szCs w:val="20"/>
        </w:rPr>
      </w:pPr>
      <w:r>
        <w:rPr>
          <w:rStyle w:val="atag"/>
          <w:b/>
          <w:bCs/>
          <w:sz w:val="20"/>
          <w:szCs w:val="20"/>
        </w:rPr>
        <w:t>NOTE 1 - ORGANIZATION AND LINE OF BUSINESS:</w:t>
      </w:r>
    </w:p>
    <w:p w14:paraId="3F2E3BAF"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BB470A7"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Organization:</w:t>
      </w:r>
    </w:p>
    <w:p w14:paraId="0452ACD5"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2BD2C16" w14:textId="77777777" w:rsidR="002B5D06" w:rsidRDefault="000B69DD">
      <w:pPr>
        <w:pStyle w:val="NormalWeb"/>
        <w:spacing w:before="0" w:beforeAutospacing="0" w:after="0" w:afterAutospacing="0"/>
        <w:jc w:val="both"/>
        <w:divId w:val="1684360448"/>
        <w:rPr>
          <w:sz w:val="20"/>
          <w:szCs w:val="20"/>
        </w:rPr>
      </w:pPr>
      <w:r>
        <w:rPr>
          <w:sz w:val="20"/>
          <w:szCs w:val="20"/>
        </w:rPr>
        <w:t>Advanced Oxygen Technologies Inc., (“Advanced Oxygen Technologies”, “AOXY”, or the “Company”), was incorporated in Delaware in 1981 under the name Aquanautics Corporation and was, from 1985 until May 1995, a startup stage specialty materials company producing new oxygen control technologies. From May of 1995 through December of 1997 the Company had minimal operations and was seeking funding for operations and companies to which it could merge or acquire. In March of 1998 the Company began operations again in California. From 1998 through 2000, the business produced and sold CD- ROMS for conference events, advertisement sales on the CD’s, database management and event marketing all associated with conference events. From 2000 through March of 2003, the business consisted solely of database management. From 2003 through April 2005, the business operations were derived totally from the Company’s wholly owned business, IP Service, ApS, a Danish IP security vulnerability company (“IP Service”). Since then, business operations have been solely derived from its wholly owned subsidiaries Anton Nielsen Vojens, ApS (“ANV”), Sharx Inc. and its wholly owned subsidiary Sharx DK ApS (collectively “Sharx”).</w:t>
      </w:r>
    </w:p>
    <w:p w14:paraId="5E51377C"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CCA74AC"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Lines of Business:</w:t>
      </w:r>
    </w:p>
    <w:p w14:paraId="2DEAE884"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7E6D783" w14:textId="77777777" w:rsidR="002B5D06" w:rsidRDefault="000B69DD">
      <w:pPr>
        <w:pStyle w:val="NormalWeb"/>
        <w:spacing w:before="0" w:beforeAutospacing="0" w:after="0" w:afterAutospacing="0"/>
        <w:jc w:val="both"/>
        <w:divId w:val="1684360448"/>
        <w:rPr>
          <w:sz w:val="20"/>
          <w:szCs w:val="20"/>
        </w:rPr>
      </w:pPr>
      <w:r>
        <w:rPr>
          <w:sz w:val="20"/>
          <w:szCs w:val="20"/>
        </w:rPr>
        <w:t>Advanced Oxygen Technologies, Inc. operations are derived from its wholly owned subsidiaries Anton Nielsen Vojens, ApS (“ANV”), Sharx Inc. and its wholly owned subsidiary Sharx DK ApS.</w:t>
      </w:r>
    </w:p>
    <w:p w14:paraId="5DE681F9"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F150EF0" w14:textId="77777777" w:rsidR="002B5D06" w:rsidRDefault="000B69DD">
      <w:pPr>
        <w:pStyle w:val="NormalWeb"/>
        <w:spacing w:before="0" w:beforeAutospacing="0" w:after="0" w:afterAutospacing="0"/>
        <w:jc w:val="both"/>
        <w:divId w:val="1684360448"/>
        <w:rPr>
          <w:sz w:val="20"/>
          <w:szCs w:val="20"/>
        </w:rPr>
      </w:pPr>
      <w:r>
        <w:rPr>
          <w:sz w:val="20"/>
          <w:szCs w:val="20"/>
        </w:rPr>
        <w:t>ANV is a Danish company that owns commercial real estate in Vojens, Denmark. ANV’s revenues are derived solely from the lease revenue from its real estate. Circle K Denmark A/S, formerly StatOil A/S, leases the facility from ANV. The lease expires in 2026.</w:t>
      </w:r>
    </w:p>
    <w:p w14:paraId="15EAF318"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17C9464" w14:textId="77777777" w:rsidR="002B5D06" w:rsidRDefault="000B69DD">
      <w:pPr>
        <w:pStyle w:val="NormalWeb"/>
        <w:spacing w:before="0" w:beforeAutospacing="0" w:after="0" w:afterAutospacing="0"/>
        <w:jc w:val="both"/>
        <w:divId w:val="1684360448"/>
        <w:rPr>
          <w:sz w:val="20"/>
          <w:szCs w:val="20"/>
        </w:rPr>
      </w:pPr>
      <w:r>
        <w:rPr>
          <w:sz w:val="20"/>
          <w:szCs w:val="20"/>
        </w:rPr>
        <w:t>Sharx Inc. is a Wyoming corporation incorporated in 2020 and operations are derived from its wholly owned subsidiary Sharx DK ApS.</w:t>
      </w:r>
    </w:p>
    <w:p w14:paraId="5355B4C4"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A04A789" w14:textId="77777777" w:rsidR="002B5D06" w:rsidRDefault="000B69DD">
      <w:pPr>
        <w:pStyle w:val="NormalWeb"/>
        <w:spacing w:before="0" w:beforeAutospacing="0" w:after="0" w:afterAutospacing="0"/>
        <w:jc w:val="both"/>
        <w:divId w:val="1684360448"/>
        <w:rPr>
          <w:sz w:val="20"/>
          <w:szCs w:val="20"/>
        </w:rPr>
      </w:pPr>
      <w:r>
        <w:rPr>
          <w:sz w:val="20"/>
          <w:szCs w:val="20"/>
        </w:rPr>
        <w:t>Sharx DK ApS is a Danish company, incorporated in 2020. On June 30, 2020, Sharx DK ApS, entered into a Distribution Agreement (the “Distribution Agreement” Exhibit 10.1) with a third party vendor, Cleaver ApS, a Danish corporation (“Cleaver”), whereby Cleaver has appointed the Company as Cleaver’s nonexclusive distributor of its products in Europe, South America and North America. Cleaver is a manufacturer of a line of products for the logistics and cargo industry.  Sharx had no activity for the period ending June 30, 2025. </w:t>
      </w:r>
    </w:p>
    <w:p w14:paraId="3F9BEE90" w14:textId="77777777" w:rsidR="002B5D06" w:rsidRDefault="000B69DD">
      <w:pPr>
        <w:pStyle w:val="NormalWeb"/>
        <w:spacing w:before="0" w:beforeAutospacing="0" w:after="0" w:afterAutospacing="0"/>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34C1C134" w14:textId="77777777">
        <w:trPr>
          <w:divId w:val="1684360448"/>
          <w:trHeight w:val="225"/>
          <w:tblCellSpacing w:w="15" w:type="dxa"/>
          <w:jc w:val="center"/>
        </w:trPr>
        <w:tc>
          <w:tcPr>
            <w:tcW w:w="0" w:type="auto"/>
            <w:vAlign w:val="center"/>
            <w:hideMark/>
          </w:tcPr>
          <w:p w14:paraId="5C1BE234" w14:textId="77777777" w:rsidR="002B5D06" w:rsidRDefault="000B69DD">
            <w:pPr>
              <w:rPr>
                <w:rFonts w:eastAsia="Times New Roman"/>
                <w:sz w:val="20"/>
                <w:szCs w:val="20"/>
              </w:rPr>
            </w:pPr>
            <w:r>
              <w:rPr>
                <w:rFonts w:eastAsia="Times New Roman"/>
                <w:sz w:val="20"/>
                <w:szCs w:val="20"/>
              </w:rPr>
              <w:t> </w:t>
            </w:r>
          </w:p>
        </w:tc>
      </w:tr>
      <w:tr w:rsidR="002B5D06" w14:paraId="775C0316" w14:textId="77777777">
        <w:trPr>
          <w:divId w:val="1684360448"/>
          <w:trHeight w:val="225"/>
          <w:tblCellSpacing w:w="15" w:type="dxa"/>
          <w:jc w:val="center"/>
        </w:trPr>
        <w:tc>
          <w:tcPr>
            <w:tcW w:w="0" w:type="auto"/>
            <w:tcBorders>
              <w:bottom w:val="single" w:sz="6" w:space="0" w:color="000000"/>
            </w:tcBorders>
            <w:vAlign w:val="center"/>
            <w:hideMark/>
          </w:tcPr>
          <w:p w14:paraId="081DB957" w14:textId="77777777" w:rsidR="002B5D06" w:rsidRDefault="000B69DD">
            <w:pPr>
              <w:jc w:val="center"/>
              <w:rPr>
                <w:rFonts w:eastAsia="Times New Roman"/>
                <w:sz w:val="20"/>
                <w:szCs w:val="20"/>
              </w:rPr>
            </w:pPr>
            <w:r>
              <w:rPr>
                <w:rFonts w:eastAsia="Times New Roman"/>
                <w:sz w:val="20"/>
                <w:szCs w:val="20"/>
              </w:rPr>
              <w:t>F-7</w:t>
            </w:r>
          </w:p>
        </w:tc>
      </w:tr>
      <w:tr w:rsidR="002B5D06" w14:paraId="3DDA059E" w14:textId="77777777">
        <w:trPr>
          <w:divId w:val="1684360448"/>
          <w:trHeight w:val="225"/>
          <w:tblCellSpacing w:w="15" w:type="dxa"/>
          <w:jc w:val="center"/>
        </w:trPr>
        <w:tc>
          <w:tcPr>
            <w:tcW w:w="0" w:type="auto"/>
            <w:vAlign w:val="center"/>
            <w:hideMark/>
          </w:tcPr>
          <w:p w14:paraId="1FEF63F2" w14:textId="77777777" w:rsidR="002B5D06" w:rsidRDefault="002B5D06">
            <w:pPr>
              <w:rPr>
                <w:rFonts w:eastAsia="Times New Roman"/>
                <w:sz w:val="20"/>
                <w:szCs w:val="20"/>
              </w:rPr>
            </w:pPr>
          </w:p>
        </w:tc>
      </w:tr>
      <w:tr w:rsidR="002B5D06" w14:paraId="24D0C77F" w14:textId="77777777">
        <w:trPr>
          <w:divId w:val="1684360448"/>
          <w:trHeight w:val="225"/>
          <w:tblCellSpacing w:w="15" w:type="dxa"/>
          <w:jc w:val="center"/>
        </w:trPr>
        <w:tc>
          <w:tcPr>
            <w:tcW w:w="0" w:type="auto"/>
            <w:vAlign w:val="center"/>
            <w:hideMark/>
          </w:tcPr>
          <w:p w14:paraId="70165BE8" w14:textId="77777777" w:rsidR="002B5D06" w:rsidRDefault="002B5D06">
            <w:pPr>
              <w:rPr>
                <w:rFonts w:eastAsia="Times New Roman"/>
                <w:sz w:val="20"/>
                <w:szCs w:val="20"/>
              </w:rPr>
            </w:pPr>
          </w:p>
        </w:tc>
      </w:tr>
    </w:tbl>
    <w:p w14:paraId="7882227C"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3371D699" w14:textId="77777777" w:rsidR="002B5D06" w:rsidRDefault="000B69DD">
      <w:pPr>
        <w:pStyle w:val="NormalWeb"/>
        <w:spacing w:before="0" w:beforeAutospacing="0" w:after="0" w:afterAutospacing="0"/>
        <w:divId w:val="1684360448"/>
        <w:rPr>
          <w:sz w:val="20"/>
          <w:szCs w:val="20"/>
        </w:rPr>
      </w:pPr>
      <w:r>
        <w:rPr>
          <w:sz w:val="20"/>
          <w:szCs w:val="20"/>
        </w:rPr>
        <w:t> </w:t>
      </w:r>
    </w:p>
    <w:p w14:paraId="3142869F"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NOTE 2 - SUMMARY OF SIGNIFICANT ACCOUNTING POLICIES:</w:t>
      </w:r>
    </w:p>
    <w:p w14:paraId="60334FD6"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B8AA8EC"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Principles of Consolidation:</w:t>
      </w:r>
    </w:p>
    <w:p w14:paraId="017F39F5"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08DF25C7" w14:textId="77777777" w:rsidR="002B5D06" w:rsidRDefault="000B69DD">
      <w:pPr>
        <w:pStyle w:val="NormalWeb"/>
        <w:spacing w:before="0" w:beforeAutospacing="0" w:after="0" w:afterAutospacing="0"/>
        <w:jc w:val="both"/>
        <w:divId w:val="1684360448"/>
        <w:rPr>
          <w:sz w:val="20"/>
          <w:szCs w:val="20"/>
        </w:rPr>
      </w:pPr>
      <w:r>
        <w:rPr>
          <w:sz w:val="20"/>
          <w:szCs w:val="20"/>
        </w:rPr>
        <w:t>The accompanying consolidated financial statements include the accounts of the Company and its wholly-owned subsidiaries (ANV and Sharx), after elimination of all intercompany accounts, transactions, and profits.</w:t>
      </w:r>
    </w:p>
    <w:p w14:paraId="73B8F87E"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A21DDC5"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Basis of Presentation:</w:t>
      </w:r>
    </w:p>
    <w:p w14:paraId="20457E4C"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50AF823" w14:textId="77777777" w:rsidR="002B5D06" w:rsidRDefault="000B69DD">
      <w:pPr>
        <w:pStyle w:val="NormalWeb"/>
        <w:spacing w:before="0" w:beforeAutospacing="0" w:after="0" w:afterAutospacing="0"/>
        <w:jc w:val="both"/>
        <w:divId w:val="1684360448"/>
        <w:rPr>
          <w:sz w:val="20"/>
          <w:szCs w:val="20"/>
        </w:rPr>
      </w:pPr>
      <w:r>
        <w:rPr>
          <w:sz w:val="20"/>
          <w:szCs w:val="20"/>
        </w:rPr>
        <w:t>The consolidated financial statements of the Company have been prepared in accordance with U.S. GAAP and are expressed in United States dollars. The Company’s fiscal year end is June 30.</w:t>
      </w:r>
    </w:p>
    <w:p w14:paraId="30DE17FB"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34AB3AD"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Use of Estimates</w:t>
      </w:r>
    </w:p>
    <w:p w14:paraId="73DBD63A"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3B65BDE" w14:textId="77777777" w:rsidR="002B5D06" w:rsidRDefault="000B69DD">
      <w:pPr>
        <w:pStyle w:val="NormalWeb"/>
        <w:spacing w:before="0" w:beforeAutospacing="0" w:after="0" w:afterAutospacing="0"/>
        <w:jc w:val="both"/>
        <w:divId w:val="1684360448"/>
        <w:rPr>
          <w:sz w:val="20"/>
          <w:szCs w:val="20"/>
        </w:rPr>
      </w:pPr>
      <w:r>
        <w:rPr>
          <w:sz w:val="20"/>
          <w:szCs w:val="20"/>
        </w:rPr>
        <w:t>The preparation of financial statements in conformity with accounting principles generally accepted in the United States of America requires our management to make estimates and assumptions that affect the reported amounts of assets and liabilities and disclosures of contingent assets and liabilities at the date of the financial statements and the reported amounts of revenue and expenses during the reporting period. Actual results could differ from those estimates.</w:t>
      </w:r>
    </w:p>
    <w:p w14:paraId="15EF239A"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2357728"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Revenue Recognition:</w:t>
      </w:r>
    </w:p>
    <w:p w14:paraId="2828F374"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6106C47" w14:textId="77777777" w:rsidR="002B5D06" w:rsidRDefault="000B69DD">
      <w:pPr>
        <w:pStyle w:val="NormalWeb"/>
        <w:spacing w:before="0" w:beforeAutospacing="0" w:after="0" w:afterAutospacing="0"/>
        <w:jc w:val="both"/>
        <w:divId w:val="1684360448"/>
        <w:rPr>
          <w:sz w:val="20"/>
          <w:szCs w:val="20"/>
        </w:rPr>
      </w:pPr>
      <w:r>
        <w:rPr>
          <w:sz w:val="20"/>
          <w:szCs w:val="20"/>
          <w:u w:val="single"/>
        </w:rPr>
        <w:t>Revenue from Contracts with Customers</w:t>
      </w:r>
    </w:p>
    <w:p w14:paraId="7F16B00A"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46C5E14" w14:textId="77777777" w:rsidR="002B5D06" w:rsidRDefault="000B69DD">
      <w:pPr>
        <w:pStyle w:val="NormalWeb"/>
        <w:spacing w:before="0" w:beforeAutospacing="0" w:after="0" w:afterAutospacing="0"/>
        <w:jc w:val="both"/>
        <w:divId w:val="1684360448"/>
        <w:rPr>
          <w:sz w:val="20"/>
          <w:szCs w:val="20"/>
        </w:rPr>
      </w:pPr>
      <w:r>
        <w:rPr>
          <w:sz w:val="20"/>
          <w:szCs w:val="20"/>
        </w:rPr>
        <w:t>The Company recognizes revenues under Accounting Standards Codification (“ASC”) 842 Leases (“ASC 842”) and ASC 606 Revenue from Contracts with Customers (“ASC 606”) for our rental revenue and commission revenue. </w:t>
      </w:r>
    </w:p>
    <w:p w14:paraId="6C61F536"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0509118E" w14:textId="77777777" w:rsidR="002B5D06" w:rsidRDefault="000B69DD">
      <w:pPr>
        <w:pStyle w:val="NormalWeb"/>
        <w:spacing w:before="0" w:beforeAutospacing="0" w:after="0" w:afterAutospacing="0"/>
        <w:jc w:val="both"/>
        <w:divId w:val="1684360448"/>
        <w:rPr>
          <w:sz w:val="20"/>
          <w:szCs w:val="20"/>
        </w:rPr>
      </w:pPr>
      <w:r>
        <w:rPr>
          <w:sz w:val="20"/>
          <w:szCs w:val="20"/>
          <w:u w:val="single"/>
        </w:rPr>
        <w:t>Rental Revenue</w:t>
      </w:r>
    </w:p>
    <w:p w14:paraId="47F32EA8"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751B41A" w14:textId="77777777" w:rsidR="002B5D06" w:rsidRDefault="000B69DD">
      <w:pPr>
        <w:pStyle w:val="NormalWeb"/>
        <w:spacing w:before="0" w:beforeAutospacing="0" w:after="0" w:afterAutospacing="0"/>
        <w:jc w:val="both"/>
        <w:divId w:val="1684360448"/>
        <w:rPr>
          <w:sz w:val="20"/>
          <w:szCs w:val="20"/>
        </w:rPr>
      </w:pPr>
      <w:r>
        <w:rPr>
          <w:sz w:val="20"/>
          <w:szCs w:val="20"/>
        </w:rPr>
        <w:t>Rental revenue is derived from the Commercial Property lease in which quarterly payments are received pursuant to the property lease which is in effect until 2026. We recognize revenue when we have satisfied a performance obligation by transferring control over a product or delivering a service to a client. We measure revenue based upon the consideration set forth in an arrangement or contract with a client. We recognize revenue from these services when the services are completed. If we are paid in advance for these services, we record such payment as a contract liability until we complete the services. As of June 30, 2025, the Company recorded $3,281 of contract liabilities in connection to rental revenues.</w:t>
      </w:r>
    </w:p>
    <w:p w14:paraId="747737D0"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CA515C2" w14:textId="77777777" w:rsidR="002B5D06" w:rsidRDefault="000B69DD">
      <w:pPr>
        <w:pStyle w:val="NormalWeb"/>
        <w:spacing w:before="0" w:beforeAutospacing="0" w:after="0" w:afterAutospacing="0"/>
        <w:jc w:val="both"/>
        <w:divId w:val="1684360448"/>
        <w:rPr>
          <w:sz w:val="20"/>
          <w:szCs w:val="20"/>
        </w:rPr>
      </w:pPr>
      <w:r>
        <w:rPr>
          <w:sz w:val="20"/>
          <w:szCs w:val="20"/>
        </w:rPr>
        <w:t>The Company leases land to a customer. We, as a lessor, retain substantially all of the risks and benefits of ownership of the investment properties and account for our leases as operating leases. We accrue fixed lease income on a straight-line basis over the terms of the leases when we believe substantially all lease income, including the related straight-line rent receivable, is probable of collection. For our leases, we receive a fixed payment from the customer which is recognized as lease income on a straight-line basis over the term of the lease beginning with the adoption of ASC 842.</w:t>
      </w:r>
    </w:p>
    <w:p w14:paraId="04407C3C"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8EACB96" w14:textId="77777777" w:rsidR="002B5D06" w:rsidRDefault="000B69DD">
      <w:pPr>
        <w:pStyle w:val="NormalWeb"/>
        <w:spacing w:before="0" w:beforeAutospacing="0" w:after="0" w:afterAutospacing="0"/>
        <w:jc w:val="both"/>
        <w:divId w:val="1684360448"/>
        <w:rPr>
          <w:sz w:val="20"/>
          <w:szCs w:val="20"/>
        </w:rPr>
      </w:pPr>
      <w:r>
        <w:rPr>
          <w:sz w:val="20"/>
          <w:szCs w:val="20"/>
        </w:rPr>
        <w:t>In April 2020, the FASB staff released guidance focused on treatment of concessions related to the effects of COVID-19 on the application of lease modification guidance in Accounting Standards Codification (ASC) 842, “Leases.” The guidance provides a practical expedient to forgo the associated reassessments required by ASC 842 when changes to a lease result in similar or lower future consideration. We have elected to generally account for rent abatements as negative variable lease consideration in the period granted, or in the period we determine we expect to grant an abatement. Further abatements granted in the future will reduce lease income in the period we grant, or determine we expect to grant, an abatement. We have not agreed to any deferral or abatement arrangements with any of our customers.</w:t>
      </w:r>
    </w:p>
    <w:p w14:paraId="2290FF67"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FA2D7F4" w14:textId="77777777" w:rsidR="002B5D06" w:rsidRDefault="000B69DD">
      <w:pPr>
        <w:pStyle w:val="NormalWeb"/>
        <w:spacing w:before="0" w:beforeAutospacing="0" w:after="0" w:afterAutospacing="0"/>
        <w:jc w:val="both"/>
        <w:divId w:val="1684360448"/>
        <w:rPr>
          <w:sz w:val="20"/>
          <w:szCs w:val="20"/>
        </w:rPr>
      </w:pPr>
      <w:r>
        <w:rPr>
          <w:sz w:val="20"/>
          <w:szCs w:val="20"/>
        </w:rPr>
        <w:t>The Company has elected to exclude short-term leases from the recognition requirements of ASC 842. A lease is short-term if, at the commencement date, it has a term of less than or equal to one year. Lease expense related to short-term leases is recognized on a straight-line basis over the lease term.</w:t>
      </w:r>
    </w:p>
    <w:p w14:paraId="154374B3"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7E0AE53" w14:textId="77777777" w:rsidR="002B5D06" w:rsidRDefault="000B69DD">
      <w:pPr>
        <w:pStyle w:val="NormalWeb"/>
        <w:spacing w:before="0" w:beforeAutospacing="0" w:after="0" w:afterAutospacing="0"/>
        <w:jc w:val="both"/>
        <w:divId w:val="1684360448"/>
        <w:rPr>
          <w:sz w:val="20"/>
          <w:szCs w:val="20"/>
        </w:rPr>
      </w:pPr>
      <w:r>
        <w:rPr>
          <w:sz w:val="20"/>
          <w:szCs w:val="20"/>
          <w:u w:val="single"/>
        </w:rPr>
        <w:t>Commission revenue</w:t>
      </w:r>
    </w:p>
    <w:p w14:paraId="618C81F0"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661C195" w14:textId="77777777" w:rsidR="002B5D06" w:rsidRDefault="000B69DD">
      <w:pPr>
        <w:pStyle w:val="NormalWeb"/>
        <w:spacing w:before="0" w:beforeAutospacing="0" w:after="0" w:afterAutospacing="0"/>
        <w:jc w:val="both"/>
        <w:divId w:val="1684360448"/>
        <w:rPr>
          <w:sz w:val="20"/>
          <w:szCs w:val="20"/>
        </w:rPr>
      </w:pPr>
      <w:r>
        <w:rPr>
          <w:sz w:val="20"/>
          <w:szCs w:val="20"/>
        </w:rPr>
        <w:t>For our commission revenue, we recognize revenue under the five steps in Topic 606, which are as follows: 1) identify the contract with the customer; 2) identify the performance obligations in the contract; 3) determine the transaction price; 4) allocate the transaction price to the performance obligations; and 5) recognize revenue when (or as) performance obligations are satisfied.</w:t>
      </w:r>
    </w:p>
    <w:p w14:paraId="4F4C5276"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E0450D5" w14:textId="77777777" w:rsidR="002B5D06" w:rsidRDefault="000B69DD">
      <w:pPr>
        <w:pStyle w:val="NormalWeb"/>
        <w:spacing w:before="0" w:beforeAutospacing="0" w:after="0" w:afterAutospacing="0"/>
        <w:jc w:val="both"/>
        <w:divId w:val="1684360448"/>
        <w:rPr>
          <w:sz w:val="20"/>
          <w:szCs w:val="20"/>
        </w:rPr>
      </w:pPr>
      <w:r>
        <w:rPr>
          <w:sz w:val="20"/>
          <w:szCs w:val="20"/>
        </w:rPr>
        <w:t>The Company’s source of commission revenue is from the Company’s subsidiary Sharx in which quarterly payments are received when the customer pre-pays or pays upon the date products are drop shipped from the manufacturer pursuant to a non-exclusive distribution agreement. At such time the products are drop shipped, the Company’s performance obligation has been satisfied and revenue is recorded The Company has determined that it is an agent of the manufacturer and collects commission revenue at or before the delivery of product (See Note 3 for further details).</w:t>
      </w:r>
    </w:p>
    <w:p w14:paraId="469DDEA9"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419B6C11" w14:textId="77777777">
        <w:trPr>
          <w:divId w:val="1684360448"/>
          <w:trHeight w:val="225"/>
          <w:tblCellSpacing w:w="15" w:type="dxa"/>
          <w:jc w:val="center"/>
        </w:trPr>
        <w:tc>
          <w:tcPr>
            <w:tcW w:w="0" w:type="auto"/>
            <w:vAlign w:val="center"/>
            <w:hideMark/>
          </w:tcPr>
          <w:p w14:paraId="3173C6B9" w14:textId="77777777" w:rsidR="002B5D06" w:rsidRDefault="000B69DD">
            <w:pPr>
              <w:rPr>
                <w:rFonts w:eastAsia="Times New Roman"/>
                <w:sz w:val="20"/>
                <w:szCs w:val="20"/>
              </w:rPr>
            </w:pPr>
            <w:r>
              <w:rPr>
                <w:rFonts w:eastAsia="Times New Roman"/>
                <w:sz w:val="20"/>
                <w:szCs w:val="20"/>
              </w:rPr>
              <w:t> </w:t>
            </w:r>
          </w:p>
        </w:tc>
      </w:tr>
      <w:tr w:rsidR="002B5D06" w14:paraId="0E22E9EA" w14:textId="77777777">
        <w:trPr>
          <w:divId w:val="1684360448"/>
          <w:trHeight w:val="225"/>
          <w:tblCellSpacing w:w="15" w:type="dxa"/>
          <w:jc w:val="center"/>
        </w:trPr>
        <w:tc>
          <w:tcPr>
            <w:tcW w:w="0" w:type="auto"/>
            <w:tcBorders>
              <w:bottom w:val="single" w:sz="6" w:space="0" w:color="000000"/>
            </w:tcBorders>
            <w:vAlign w:val="center"/>
            <w:hideMark/>
          </w:tcPr>
          <w:p w14:paraId="028D9F3F" w14:textId="77777777" w:rsidR="002B5D06" w:rsidRDefault="000B69DD">
            <w:pPr>
              <w:jc w:val="center"/>
              <w:rPr>
                <w:rFonts w:eastAsia="Times New Roman"/>
                <w:sz w:val="20"/>
                <w:szCs w:val="20"/>
              </w:rPr>
            </w:pPr>
            <w:r>
              <w:rPr>
                <w:rFonts w:eastAsia="Times New Roman"/>
                <w:sz w:val="20"/>
                <w:szCs w:val="20"/>
              </w:rPr>
              <w:t>F-8</w:t>
            </w:r>
          </w:p>
        </w:tc>
      </w:tr>
      <w:tr w:rsidR="002B5D06" w14:paraId="48C9052E" w14:textId="77777777">
        <w:trPr>
          <w:divId w:val="1684360448"/>
          <w:trHeight w:val="225"/>
          <w:tblCellSpacing w:w="15" w:type="dxa"/>
          <w:jc w:val="center"/>
        </w:trPr>
        <w:tc>
          <w:tcPr>
            <w:tcW w:w="0" w:type="auto"/>
            <w:vAlign w:val="center"/>
            <w:hideMark/>
          </w:tcPr>
          <w:p w14:paraId="6C74680F" w14:textId="77777777" w:rsidR="002B5D06" w:rsidRDefault="002B5D06">
            <w:pPr>
              <w:rPr>
                <w:rFonts w:eastAsia="Times New Roman"/>
                <w:sz w:val="20"/>
                <w:szCs w:val="20"/>
              </w:rPr>
            </w:pPr>
          </w:p>
        </w:tc>
      </w:tr>
      <w:tr w:rsidR="002B5D06" w14:paraId="27DCF359" w14:textId="77777777">
        <w:trPr>
          <w:divId w:val="1684360448"/>
          <w:trHeight w:val="225"/>
          <w:tblCellSpacing w:w="15" w:type="dxa"/>
          <w:jc w:val="center"/>
        </w:trPr>
        <w:tc>
          <w:tcPr>
            <w:tcW w:w="0" w:type="auto"/>
            <w:vAlign w:val="center"/>
            <w:hideMark/>
          </w:tcPr>
          <w:p w14:paraId="62D887C1" w14:textId="77777777" w:rsidR="002B5D06" w:rsidRDefault="002B5D06">
            <w:pPr>
              <w:rPr>
                <w:rFonts w:eastAsia="Times New Roman"/>
                <w:sz w:val="20"/>
                <w:szCs w:val="20"/>
              </w:rPr>
            </w:pPr>
          </w:p>
        </w:tc>
      </w:tr>
    </w:tbl>
    <w:p w14:paraId="627056F3"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0AC49C45" w14:textId="77777777" w:rsidR="002B5D06" w:rsidRDefault="000B69DD">
      <w:pPr>
        <w:pStyle w:val="NormalWeb"/>
        <w:spacing w:before="0" w:beforeAutospacing="0" w:after="0" w:afterAutospacing="0"/>
        <w:divId w:val="1684360448"/>
        <w:rPr>
          <w:sz w:val="20"/>
          <w:szCs w:val="20"/>
        </w:rPr>
      </w:pPr>
      <w:r>
        <w:rPr>
          <w:sz w:val="20"/>
          <w:szCs w:val="20"/>
        </w:rPr>
        <w:t> </w:t>
      </w:r>
    </w:p>
    <w:p w14:paraId="33ABBD70"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E8F3845"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Cash and Cash Equivalents:</w:t>
      </w:r>
    </w:p>
    <w:p w14:paraId="376E8CF4"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72236F9" w14:textId="77777777" w:rsidR="002B5D06" w:rsidRDefault="000B69DD">
      <w:pPr>
        <w:pStyle w:val="NormalWeb"/>
        <w:spacing w:before="0" w:beforeAutospacing="0" w:after="0" w:afterAutospacing="0"/>
        <w:jc w:val="both"/>
        <w:divId w:val="1684360448"/>
        <w:rPr>
          <w:sz w:val="20"/>
          <w:szCs w:val="20"/>
        </w:rPr>
      </w:pPr>
      <w:r>
        <w:rPr>
          <w:sz w:val="20"/>
          <w:szCs w:val="20"/>
        </w:rPr>
        <w:t>For purposes of the statement of cash flows, the Company considers all highly-liquid investments purchased with original maturities of three months or less to be cash equivalents.</w:t>
      </w:r>
    </w:p>
    <w:p w14:paraId="66A3A920"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F9C1315" w14:textId="77777777" w:rsidR="002B5D06" w:rsidRDefault="000B69DD">
      <w:pPr>
        <w:pStyle w:val="NormalWeb"/>
        <w:spacing w:before="0" w:beforeAutospacing="0" w:after="0" w:afterAutospacing="0"/>
        <w:jc w:val="both"/>
        <w:divId w:val="1684360448"/>
        <w:rPr>
          <w:sz w:val="20"/>
          <w:szCs w:val="20"/>
        </w:rPr>
      </w:pPr>
      <w:r>
        <w:rPr>
          <w:sz w:val="20"/>
          <w:szCs w:val="20"/>
        </w:rPr>
        <w:t>The Company maintains its cash in bank deposit accounts which, at June 30, 2025 did not exceed federally insured limits. The Company has not experienced any losses in such accounts and believes that it is not exposed to any significant credit risk on such amounts.</w:t>
      </w:r>
    </w:p>
    <w:p w14:paraId="1194DA08"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67D30BD"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Property and Equipment:</w:t>
      </w:r>
    </w:p>
    <w:p w14:paraId="5BC36F3E"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38F7A48" w14:textId="77777777" w:rsidR="002B5D06" w:rsidRDefault="000B69DD">
      <w:pPr>
        <w:pStyle w:val="NormalWeb"/>
        <w:spacing w:before="0" w:beforeAutospacing="0" w:after="0" w:afterAutospacing="0"/>
        <w:jc w:val="both"/>
        <w:divId w:val="1684360448"/>
        <w:rPr>
          <w:sz w:val="20"/>
          <w:szCs w:val="20"/>
        </w:rPr>
      </w:pPr>
      <w:r>
        <w:rPr>
          <w:sz w:val="20"/>
          <w:szCs w:val="20"/>
        </w:rPr>
        <w:t>Land is recognized at cost. Land is carried at cost less accumulated impairment losses.</w:t>
      </w:r>
    </w:p>
    <w:p w14:paraId="62531769"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8B60FB5"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Foreign currency translation:</w:t>
      </w:r>
    </w:p>
    <w:p w14:paraId="6B855031"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46265E7" w14:textId="77777777" w:rsidR="002B5D06" w:rsidRDefault="000B69DD">
      <w:pPr>
        <w:pStyle w:val="NormalWeb"/>
        <w:spacing w:before="0" w:beforeAutospacing="0" w:after="0" w:afterAutospacing="0"/>
        <w:jc w:val="both"/>
        <w:divId w:val="1684360448"/>
        <w:rPr>
          <w:sz w:val="20"/>
          <w:szCs w:val="20"/>
        </w:rPr>
      </w:pPr>
      <w:r>
        <w:rPr>
          <w:sz w:val="20"/>
          <w:szCs w:val="20"/>
        </w:rPr>
        <w:t>Foreign currency transactions are translated applying the current rate method. Assets and liabilities are translated at current rates. Stockholders’ equity accounts are translated at the appropriate historical rates and revenue and expenses are translated at weighted average rates for the year.</w:t>
      </w:r>
    </w:p>
    <w:p w14:paraId="7DEC43BA"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BEF3DAA"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Foreign currency transactions:</w:t>
      </w:r>
    </w:p>
    <w:p w14:paraId="541D8FC7"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0D21AA3A" w14:textId="77777777" w:rsidR="002B5D06" w:rsidRDefault="000B69DD">
      <w:pPr>
        <w:pStyle w:val="NormalWeb"/>
        <w:spacing w:before="0" w:beforeAutospacing="0" w:after="0" w:afterAutospacing="0"/>
        <w:jc w:val="both"/>
        <w:divId w:val="1684360448"/>
        <w:rPr>
          <w:sz w:val="20"/>
          <w:szCs w:val="20"/>
        </w:rPr>
      </w:pPr>
      <w:r>
        <w:rPr>
          <w:sz w:val="20"/>
          <w:szCs w:val="20"/>
        </w:rPr>
        <w:t>The Company applies the guidelines as set out in Section 830-20-35 of the FASB Accounting Standards Codification (“Section 830-20-35”) for foreign currency transactions. Pursuant to Section 830-20-35 of the FASB Accounting Standards Codification, foreign currency transactions are transactions denominated in currencies other than U.S. Dollar, the Company’s reporting currency. Foreign currency transactions may produce receivables or payables that are fixed in terms of the amount of foreign currency that will be received or paid. A change in exchange rates between the reporting currency and the currency in which a transaction is denominated increases or decreases the expected amount of reporting currency cash flows upon settlement of the transaction. That increase or decrease in expected reporting currency cash flows is a foreign currency transaction gain or loss that generally shall be included in determining net income for the period in which the exchange rate changes. Likewise, a transaction gain or loss (measured from the transaction date or the most recent intervening balance sheet date, whichever is later) realized upon settlement of a foreign currency transaction generally shall be included in determining net income for the period in which the transaction is settled. The exceptions to this requirement for inclusion in net income of transaction gains and losses pertain to certain intercompany transactions and to transactions that are designated as, and effective as, economic hedges of net investments and foreign currency commitments. Pursuant to Section 830-20-25 of the FASB Accounting Standards Codification, the following shall apply to all foreign currency transactions of an enterprise and its investees: (a) at the date the transaction is recognized, each asset, liability, revenue, expense, gain, or loss arising from the transaction shall be measured and recorded in the functional currency of the recording entity by use of the exchange rate in effect at that date as defined in section 830-10-20 of the FASB Accounting Standards Codification; and (b) at each balance sheet date, recorded balances that are denominated in currencies other than the functional currency or reporting currency of the recording entity shall be adjusted to reflect the current exchange rate.</w:t>
      </w:r>
    </w:p>
    <w:p w14:paraId="5F8C19E2"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CC9D064" w14:textId="77777777" w:rsidR="002B5D06" w:rsidRDefault="000B69DD">
      <w:pPr>
        <w:pStyle w:val="NormalWeb"/>
        <w:spacing w:before="0" w:beforeAutospacing="0" w:after="0" w:afterAutospacing="0"/>
        <w:jc w:val="both"/>
        <w:divId w:val="1684360448"/>
        <w:rPr>
          <w:sz w:val="20"/>
          <w:szCs w:val="20"/>
        </w:rPr>
      </w:pPr>
      <w:r>
        <w:rPr>
          <w:sz w:val="20"/>
          <w:szCs w:val="20"/>
        </w:rPr>
        <w:t>The Company’s wholly owned subsidiary ANV uses the Danish Krone, DKK as its reporting currency as well as its functional currency.</w:t>
      </w:r>
    </w:p>
    <w:p w14:paraId="054C4547"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A0A6A11" w14:textId="77777777" w:rsidR="002B5D06" w:rsidRDefault="000B69DD">
      <w:pPr>
        <w:pStyle w:val="NormalWeb"/>
        <w:spacing w:before="0" w:beforeAutospacing="0" w:after="0" w:afterAutospacing="0"/>
        <w:jc w:val="both"/>
        <w:divId w:val="1684360448"/>
        <w:rPr>
          <w:sz w:val="20"/>
          <w:szCs w:val="20"/>
        </w:rPr>
      </w:pPr>
      <w:r>
        <w:rPr>
          <w:sz w:val="20"/>
          <w:szCs w:val="20"/>
        </w:rPr>
        <w:t>The wholly owned subsidiary Sharx DK ApS uses the US Dollar as its reporting currency as well as its functional currency and from time to time has transactions in foreign currencies. The change in exchange rates between the U.S. Dollar, the Company’s reporting and functional currency and the foreign currency, the currency in which a transaction is denominated increases or decreases the expected amount of reporting currency cash flows upon settlement of the transaction. That increase or decrease in expected reporting currency cash flows is a foreign currency transaction gain or loss that generally is included in determining net income (loss) for the period in which the exchange rate changes.</w:t>
      </w:r>
    </w:p>
    <w:p w14:paraId="5C93EDA2"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35DDB1D1" w14:textId="77777777">
        <w:trPr>
          <w:divId w:val="1684360448"/>
          <w:trHeight w:val="225"/>
          <w:tblCellSpacing w:w="15" w:type="dxa"/>
          <w:jc w:val="center"/>
        </w:trPr>
        <w:tc>
          <w:tcPr>
            <w:tcW w:w="0" w:type="auto"/>
            <w:vAlign w:val="center"/>
            <w:hideMark/>
          </w:tcPr>
          <w:p w14:paraId="3210496D" w14:textId="77777777" w:rsidR="002B5D06" w:rsidRDefault="000B69DD">
            <w:pPr>
              <w:rPr>
                <w:rFonts w:eastAsia="Times New Roman"/>
                <w:sz w:val="20"/>
                <w:szCs w:val="20"/>
              </w:rPr>
            </w:pPr>
            <w:r>
              <w:rPr>
                <w:rFonts w:eastAsia="Times New Roman"/>
                <w:sz w:val="20"/>
                <w:szCs w:val="20"/>
              </w:rPr>
              <w:t> </w:t>
            </w:r>
          </w:p>
        </w:tc>
      </w:tr>
      <w:tr w:rsidR="002B5D06" w14:paraId="0B0D6EA4" w14:textId="77777777">
        <w:trPr>
          <w:divId w:val="1684360448"/>
          <w:trHeight w:val="225"/>
          <w:tblCellSpacing w:w="15" w:type="dxa"/>
          <w:jc w:val="center"/>
        </w:trPr>
        <w:tc>
          <w:tcPr>
            <w:tcW w:w="0" w:type="auto"/>
            <w:tcBorders>
              <w:bottom w:val="single" w:sz="6" w:space="0" w:color="000000"/>
            </w:tcBorders>
            <w:vAlign w:val="center"/>
            <w:hideMark/>
          </w:tcPr>
          <w:p w14:paraId="14FB62E4" w14:textId="77777777" w:rsidR="002B5D06" w:rsidRDefault="000B69DD">
            <w:pPr>
              <w:jc w:val="center"/>
              <w:rPr>
                <w:rFonts w:eastAsia="Times New Roman"/>
                <w:sz w:val="20"/>
                <w:szCs w:val="20"/>
              </w:rPr>
            </w:pPr>
            <w:r>
              <w:rPr>
                <w:rFonts w:eastAsia="Times New Roman"/>
                <w:sz w:val="20"/>
                <w:szCs w:val="20"/>
              </w:rPr>
              <w:t>F-9</w:t>
            </w:r>
          </w:p>
        </w:tc>
      </w:tr>
      <w:tr w:rsidR="002B5D06" w14:paraId="2BF03C39" w14:textId="77777777">
        <w:trPr>
          <w:divId w:val="1684360448"/>
          <w:trHeight w:val="225"/>
          <w:tblCellSpacing w:w="15" w:type="dxa"/>
          <w:jc w:val="center"/>
        </w:trPr>
        <w:tc>
          <w:tcPr>
            <w:tcW w:w="0" w:type="auto"/>
            <w:vAlign w:val="center"/>
            <w:hideMark/>
          </w:tcPr>
          <w:p w14:paraId="1D5A4AB1" w14:textId="77777777" w:rsidR="002B5D06" w:rsidRDefault="002B5D06">
            <w:pPr>
              <w:rPr>
                <w:rFonts w:eastAsia="Times New Roman"/>
                <w:sz w:val="20"/>
                <w:szCs w:val="20"/>
              </w:rPr>
            </w:pPr>
          </w:p>
        </w:tc>
      </w:tr>
      <w:tr w:rsidR="002B5D06" w14:paraId="3B6E61C7" w14:textId="77777777">
        <w:trPr>
          <w:divId w:val="1684360448"/>
          <w:trHeight w:val="225"/>
          <w:tblCellSpacing w:w="15" w:type="dxa"/>
          <w:jc w:val="center"/>
        </w:trPr>
        <w:tc>
          <w:tcPr>
            <w:tcW w:w="0" w:type="auto"/>
            <w:vAlign w:val="center"/>
            <w:hideMark/>
          </w:tcPr>
          <w:p w14:paraId="3A431AF8" w14:textId="77777777" w:rsidR="002B5D06" w:rsidRDefault="002B5D06">
            <w:pPr>
              <w:rPr>
                <w:rFonts w:eastAsia="Times New Roman"/>
                <w:sz w:val="20"/>
                <w:szCs w:val="20"/>
              </w:rPr>
            </w:pPr>
          </w:p>
        </w:tc>
      </w:tr>
    </w:tbl>
    <w:p w14:paraId="14A9E64A"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54F453F0" w14:textId="77777777" w:rsidR="002B5D06" w:rsidRDefault="000B69DD">
      <w:pPr>
        <w:pStyle w:val="NormalWeb"/>
        <w:spacing w:before="0" w:beforeAutospacing="0" w:after="0" w:afterAutospacing="0"/>
        <w:divId w:val="1684360448"/>
        <w:rPr>
          <w:sz w:val="20"/>
          <w:szCs w:val="20"/>
        </w:rPr>
      </w:pPr>
      <w:r>
        <w:rPr>
          <w:sz w:val="20"/>
          <w:szCs w:val="20"/>
        </w:rPr>
        <w:t> </w:t>
      </w:r>
    </w:p>
    <w:p w14:paraId="3C44FAB9"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D53718F"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Income Taxes:</w:t>
      </w:r>
    </w:p>
    <w:p w14:paraId="4538596F"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DCBD30A" w14:textId="77777777" w:rsidR="002B5D06" w:rsidRDefault="000B69DD">
      <w:pPr>
        <w:pStyle w:val="NormalWeb"/>
        <w:spacing w:before="0" w:beforeAutospacing="0" w:after="0" w:afterAutospacing="0"/>
        <w:jc w:val="both"/>
        <w:divId w:val="1684360448"/>
        <w:rPr>
          <w:sz w:val="20"/>
          <w:szCs w:val="20"/>
        </w:rPr>
      </w:pPr>
      <w:r>
        <w:rPr>
          <w:sz w:val="20"/>
          <w:szCs w:val="20"/>
        </w:rPr>
        <w:t>The Company accounts for income taxes under the asset and liability method of accounting. Under this method, deferred tax assets and liabilities are recognized for the future tax consequences attributable to differences between the financial statement carrying amounts of existing assets and liabilities and their respective tax bases. Deferred tax assets and liabilities are measured using enacted tax rates expected to apply to taxable income in the years in which those temporary differences are expected to be recovered or settled. The effect on deferred tax assets and liabilities of a change in tax rates is recognized in income in the period that includes the enactment date. A valuation allowance is required when it is less likely than not that the Company will be able to realize all or a portion of its deferred tax assets. Because it is doubtful that the net operating losses of recent years will ever be used, a valuation allowance has been recognized equal to the tax benefit of net operating losses generated.</w:t>
      </w:r>
    </w:p>
    <w:p w14:paraId="2F6BE6B3" w14:textId="77777777" w:rsidR="002B5D06" w:rsidRDefault="000B69DD">
      <w:pPr>
        <w:pStyle w:val="NormalWeb"/>
        <w:spacing w:before="0" w:beforeAutospacing="0" w:after="0" w:afterAutospacing="0"/>
        <w:divId w:val="1684360448"/>
        <w:rPr>
          <w:sz w:val="20"/>
          <w:szCs w:val="20"/>
        </w:rPr>
      </w:pPr>
      <w:r>
        <w:rPr>
          <w:sz w:val="20"/>
          <w:szCs w:val="20"/>
        </w:rPr>
        <w:t> </w:t>
      </w:r>
    </w:p>
    <w:p w14:paraId="597E201E"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Earnings per Share:</w:t>
      </w:r>
    </w:p>
    <w:p w14:paraId="56A2F67D"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4D70036" w14:textId="77777777" w:rsidR="002B5D06" w:rsidRDefault="000B69DD">
      <w:pPr>
        <w:pStyle w:val="NormalWeb"/>
        <w:spacing w:before="0" w:beforeAutospacing="0" w:after="0" w:afterAutospacing="0"/>
        <w:jc w:val="both"/>
        <w:divId w:val="1684360448"/>
        <w:rPr>
          <w:sz w:val="20"/>
          <w:szCs w:val="20"/>
        </w:rPr>
      </w:pPr>
      <w:r>
        <w:rPr>
          <w:sz w:val="20"/>
          <w:szCs w:val="20"/>
        </w:rPr>
        <w:t>Basic earnings per share is computed by dividing income available to common shareholders by the weighted-average number of common shares available. Diluted earnings per share is computed similar to basic earnings per share except that the denominator is increased to include the number of additional common shares that would have been outstanding if the potential common shares had been issued and if the additional common shares were dilutive. As of June 30, 2025, and June 30, 2024 there were10,000 and10,000, potential dilutive shares that need to be considered as common share equivalents and because of the net income for June 30, 2025, the effect of these potential common shares is dilutive.</w:t>
      </w:r>
    </w:p>
    <w:p w14:paraId="072FF98D" w14:textId="77777777" w:rsidR="002B5D06" w:rsidRDefault="000B69DD">
      <w:pPr>
        <w:pStyle w:val="NormalWeb"/>
        <w:spacing w:before="0" w:beforeAutospacing="0" w:after="0" w:afterAutospacing="0"/>
        <w:divId w:val="1684360448"/>
        <w:rPr>
          <w:sz w:val="20"/>
          <w:szCs w:val="20"/>
        </w:rPr>
      </w:pPr>
      <w:r>
        <w:rPr>
          <w:sz w:val="20"/>
          <w:szCs w:val="20"/>
        </w:rPr>
        <w:t> </w:t>
      </w:r>
    </w:p>
    <w:p w14:paraId="56855935"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 xml:space="preserve">Stock-Based Compensation: </w:t>
      </w:r>
    </w:p>
    <w:p w14:paraId="54BC2EEE"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26130C9" w14:textId="77777777" w:rsidR="002B5D06" w:rsidRDefault="000B69DD">
      <w:pPr>
        <w:pStyle w:val="NormalWeb"/>
        <w:spacing w:before="0" w:beforeAutospacing="0" w:after="0" w:afterAutospacing="0"/>
        <w:jc w:val="both"/>
        <w:divId w:val="1684360448"/>
        <w:rPr>
          <w:sz w:val="20"/>
          <w:szCs w:val="20"/>
        </w:rPr>
      </w:pPr>
      <w:r>
        <w:rPr>
          <w:sz w:val="20"/>
          <w:szCs w:val="20"/>
        </w:rPr>
        <w:t>The Company records stock-based compensation in accordance with ASC 718, Compensation. All transactions in which goods or services are the consideration received for the issuance of equity instruments are accounted for based on the fair value of the consideration received or the fair value of the equity instrument issued, whichever is more reliably measurable. Equity instruments issued to employees and the cost of the services received as consideration are measured and recognized based on the grant date fair value of the equity instruments issued and are recognized over the employees required service period, which is generally the vesting period.</w:t>
      </w:r>
    </w:p>
    <w:p w14:paraId="75995E11"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7BAA438"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Concentrations of Credit Risk:</w:t>
      </w:r>
    </w:p>
    <w:p w14:paraId="6E3ABD80"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E84CA70" w14:textId="77777777" w:rsidR="002B5D06" w:rsidRDefault="000B69DD">
      <w:pPr>
        <w:pStyle w:val="NormalWeb"/>
        <w:spacing w:before="0" w:beforeAutospacing="0" w:after="0" w:afterAutospacing="0"/>
        <w:jc w:val="both"/>
        <w:divId w:val="1684360448"/>
        <w:rPr>
          <w:sz w:val="20"/>
          <w:szCs w:val="20"/>
        </w:rPr>
      </w:pPr>
      <w:r>
        <w:rPr>
          <w:sz w:val="20"/>
          <w:szCs w:val="20"/>
        </w:rPr>
        <w:t>Financial instruments that potentially subject the Company to major credit risk consist principally of a single subsidiary of Anton Nielsen Vojens ApS. ANV’s rent revenues are derived from one customer. The Company’s commission revenues are subject to concentration risk as the commission revenues are derived from one product.</w:t>
      </w:r>
    </w:p>
    <w:p w14:paraId="27571D1B"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404564C"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New Accounting Pronouncements already adopted:</w:t>
      </w:r>
    </w:p>
    <w:p w14:paraId="456F7202"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F758CBE" w14:textId="77777777" w:rsidR="002B5D06" w:rsidRDefault="000B69DD">
      <w:pPr>
        <w:pStyle w:val="NormalWeb"/>
        <w:spacing w:before="0" w:beforeAutospacing="0" w:after="0" w:afterAutospacing="0"/>
        <w:jc w:val="both"/>
        <w:divId w:val="1684360448"/>
        <w:rPr>
          <w:sz w:val="20"/>
          <w:szCs w:val="20"/>
        </w:rPr>
      </w:pPr>
      <w:r>
        <w:rPr>
          <w:sz w:val="20"/>
          <w:szCs w:val="20"/>
        </w:rPr>
        <w:t>None.</w:t>
      </w:r>
    </w:p>
    <w:p w14:paraId="3BA542F2"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E06034C" w14:textId="77777777" w:rsidR="002B5D06" w:rsidRDefault="000B69DD">
      <w:pPr>
        <w:pStyle w:val="NormalWeb"/>
        <w:spacing w:before="0" w:beforeAutospacing="0" w:after="0" w:afterAutospacing="0"/>
        <w:jc w:val="both"/>
        <w:divId w:val="1684360448"/>
        <w:rPr>
          <w:sz w:val="20"/>
          <w:szCs w:val="20"/>
        </w:rPr>
      </w:pPr>
      <w:r>
        <w:rPr>
          <w:rStyle w:val="Emphasis"/>
          <w:sz w:val="20"/>
          <w:szCs w:val="20"/>
        </w:rPr>
        <w:t>New Accounting Pronouncements Not Yet Adopted</w:t>
      </w:r>
    </w:p>
    <w:p w14:paraId="57B95C17"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D0EC441" w14:textId="77777777" w:rsidR="002B5D06" w:rsidRDefault="000B69DD">
      <w:pPr>
        <w:pStyle w:val="NormalWeb"/>
        <w:spacing w:before="0" w:beforeAutospacing="0" w:after="0" w:afterAutospacing="0"/>
        <w:jc w:val="both"/>
        <w:divId w:val="1684360448"/>
        <w:rPr>
          <w:sz w:val="20"/>
          <w:szCs w:val="20"/>
        </w:rPr>
      </w:pPr>
      <w:r>
        <w:rPr>
          <w:sz w:val="20"/>
          <w:szCs w:val="20"/>
        </w:rPr>
        <w:t>Other recent accounting pronouncements issued by the FASB did not or are not believed by management to have a material impact on the Company’s present or future financial statements.</w:t>
      </w:r>
    </w:p>
    <w:p w14:paraId="3A8BF304"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03953519" w14:textId="77777777">
        <w:trPr>
          <w:divId w:val="1684360448"/>
          <w:trHeight w:val="225"/>
          <w:tblCellSpacing w:w="15" w:type="dxa"/>
          <w:jc w:val="center"/>
        </w:trPr>
        <w:tc>
          <w:tcPr>
            <w:tcW w:w="0" w:type="auto"/>
            <w:vAlign w:val="center"/>
            <w:hideMark/>
          </w:tcPr>
          <w:p w14:paraId="25F6AE9B" w14:textId="77777777" w:rsidR="002B5D06" w:rsidRDefault="000B69DD">
            <w:pPr>
              <w:rPr>
                <w:rFonts w:eastAsia="Times New Roman"/>
                <w:sz w:val="20"/>
                <w:szCs w:val="20"/>
              </w:rPr>
            </w:pPr>
            <w:r>
              <w:rPr>
                <w:rFonts w:eastAsia="Times New Roman"/>
                <w:sz w:val="20"/>
                <w:szCs w:val="20"/>
              </w:rPr>
              <w:t> </w:t>
            </w:r>
          </w:p>
        </w:tc>
      </w:tr>
      <w:tr w:rsidR="002B5D06" w14:paraId="62D9976E" w14:textId="77777777">
        <w:trPr>
          <w:divId w:val="1684360448"/>
          <w:trHeight w:val="225"/>
          <w:tblCellSpacing w:w="15" w:type="dxa"/>
          <w:jc w:val="center"/>
        </w:trPr>
        <w:tc>
          <w:tcPr>
            <w:tcW w:w="0" w:type="auto"/>
            <w:tcBorders>
              <w:bottom w:val="single" w:sz="6" w:space="0" w:color="000000"/>
            </w:tcBorders>
            <w:vAlign w:val="center"/>
            <w:hideMark/>
          </w:tcPr>
          <w:p w14:paraId="0E22A9D2" w14:textId="77777777" w:rsidR="002B5D06" w:rsidRDefault="000B69DD">
            <w:pPr>
              <w:jc w:val="center"/>
              <w:rPr>
                <w:rFonts w:eastAsia="Times New Roman"/>
                <w:sz w:val="20"/>
                <w:szCs w:val="20"/>
              </w:rPr>
            </w:pPr>
            <w:r>
              <w:rPr>
                <w:rFonts w:eastAsia="Times New Roman"/>
                <w:sz w:val="20"/>
                <w:szCs w:val="20"/>
              </w:rPr>
              <w:t>F-10</w:t>
            </w:r>
          </w:p>
        </w:tc>
      </w:tr>
      <w:tr w:rsidR="002B5D06" w14:paraId="3F3EBB09" w14:textId="77777777">
        <w:trPr>
          <w:divId w:val="1684360448"/>
          <w:trHeight w:val="225"/>
          <w:tblCellSpacing w:w="15" w:type="dxa"/>
          <w:jc w:val="center"/>
        </w:trPr>
        <w:tc>
          <w:tcPr>
            <w:tcW w:w="0" w:type="auto"/>
            <w:vAlign w:val="center"/>
            <w:hideMark/>
          </w:tcPr>
          <w:p w14:paraId="5093555D" w14:textId="77777777" w:rsidR="002B5D06" w:rsidRDefault="002B5D06">
            <w:pPr>
              <w:rPr>
                <w:rFonts w:eastAsia="Times New Roman"/>
                <w:sz w:val="20"/>
                <w:szCs w:val="20"/>
              </w:rPr>
            </w:pPr>
          </w:p>
        </w:tc>
      </w:tr>
      <w:tr w:rsidR="002B5D06" w14:paraId="059D3A8F" w14:textId="77777777">
        <w:trPr>
          <w:divId w:val="1684360448"/>
          <w:trHeight w:val="225"/>
          <w:tblCellSpacing w:w="15" w:type="dxa"/>
          <w:jc w:val="center"/>
        </w:trPr>
        <w:tc>
          <w:tcPr>
            <w:tcW w:w="0" w:type="auto"/>
            <w:vAlign w:val="center"/>
            <w:hideMark/>
          </w:tcPr>
          <w:p w14:paraId="649A1179" w14:textId="77777777" w:rsidR="002B5D06" w:rsidRDefault="002B5D06">
            <w:pPr>
              <w:rPr>
                <w:rFonts w:eastAsia="Times New Roman"/>
                <w:sz w:val="20"/>
                <w:szCs w:val="20"/>
              </w:rPr>
            </w:pPr>
          </w:p>
        </w:tc>
      </w:tr>
    </w:tbl>
    <w:p w14:paraId="7BDC2D21"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48BC3922" w14:textId="77777777" w:rsidR="002B5D06" w:rsidRDefault="000B69DD">
      <w:pPr>
        <w:pStyle w:val="NormalWeb"/>
        <w:spacing w:before="0" w:beforeAutospacing="0" w:after="0" w:afterAutospacing="0"/>
        <w:divId w:val="1684360448"/>
        <w:rPr>
          <w:sz w:val="20"/>
          <w:szCs w:val="20"/>
        </w:rPr>
      </w:pPr>
      <w:r>
        <w:rPr>
          <w:sz w:val="20"/>
          <w:szCs w:val="20"/>
        </w:rPr>
        <w:t> </w:t>
      </w:r>
    </w:p>
    <w:p w14:paraId="77E8A7C9"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NOTE 3 - REVENUE:</w:t>
      </w:r>
    </w:p>
    <w:p w14:paraId="3379D370"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3B14E9F" w14:textId="77777777" w:rsidR="002B5D06" w:rsidRDefault="000B69DD">
      <w:pPr>
        <w:pStyle w:val="NormalWeb"/>
        <w:spacing w:before="0" w:beforeAutospacing="0" w:after="0" w:afterAutospacing="0"/>
        <w:jc w:val="both"/>
        <w:divId w:val="1684360448"/>
        <w:rPr>
          <w:sz w:val="20"/>
          <w:szCs w:val="20"/>
        </w:rPr>
      </w:pPr>
      <w:r>
        <w:rPr>
          <w:sz w:val="20"/>
          <w:szCs w:val="20"/>
        </w:rPr>
        <w:t>The Company’s subsidiary, Anton Nielsen Vojens, ApS has one customer who is a non-related party and leases property from the Company. Rent revenues related to the operating lease are recognized as earned. The Company’s subsidiary Sharx DK ApS had zero retail customers for the year ending June 30, 2025 and zero for the year ending June 30, 2024. The Company has determined that it is an agent of the manufacturer and collects commission revenue at or before the delivery of product.</w:t>
      </w:r>
    </w:p>
    <w:p w14:paraId="242208EC"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8BD136F" w14:textId="77777777" w:rsidR="002B5D06" w:rsidRDefault="000B69DD">
      <w:pPr>
        <w:pStyle w:val="NormalWeb"/>
        <w:spacing w:before="0" w:beforeAutospacing="0" w:after="0" w:afterAutospacing="0"/>
        <w:jc w:val="both"/>
        <w:divId w:val="1684360448"/>
        <w:rPr>
          <w:sz w:val="20"/>
          <w:szCs w:val="20"/>
        </w:rPr>
      </w:pPr>
      <w:r>
        <w:rPr>
          <w:sz w:val="20"/>
          <w:szCs w:val="20"/>
        </w:rPr>
        <w:t>The Company disaggregates revenues by revenue type and geographic location. See the below tables:</w:t>
      </w:r>
    </w:p>
    <w:p w14:paraId="189F7107"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2B5D06" w14:paraId="182FF495" w14:textId="77777777">
        <w:trPr>
          <w:divId w:val="1684360448"/>
          <w:trHeight w:val="225"/>
          <w:tblCellSpacing w:w="15" w:type="dxa"/>
          <w:jc w:val="center"/>
        </w:trPr>
        <w:tc>
          <w:tcPr>
            <w:tcW w:w="0" w:type="auto"/>
            <w:vAlign w:val="center"/>
            <w:hideMark/>
          </w:tcPr>
          <w:p w14:paraId="37BFDC01"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5667F09F"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6C86F0EE" w14:textId="77777777" w:rsidR="002B5D06" w:rsidRDefault="000B69DD">
            <w:pPr>
              <w:pStyle w:val="NormalWeb"/>
              <w:spacing w:before="0" w:beforeAutospacing="0" w:after="0" w:afterAutospacing="0"/>
              <w:jc w:val="center"/>
              <w:rPr>
                <w:sz w:val="20"/>
                <w:szCs w:val="20"/>
              </w:rPr>
            </w:pPr>
            <w:r>
              <w:rPr>
                <w:rStyle w:val="Strong"/>
                <w:sz w:val="20"/>
                <w:szCs w:val="20"/>
              </w:rPr>
              <w:t>Year Ended June 30,</w:t>
            </w:r>
          </w:p>
        </w:tc>
        <w:tc>
          <w:tcPr>
            <w:tcW w:w="0" w:type="auto"/>
            <w:noWrap/>
            <w:vAlign w:val="center"/>
            <w:hideMark/>
          </w:tcPr>
          <w:p w14:paraId="0FD5CD41" w14:textId="77777777" w:rsidR="002B5D06" w:rsidRDefault="000B69DD">
            <w:pPr>
              <w:pStyle w:val="NormalWeb"/>
              <w:spacing w:before="0" w:beforeAutospacing="0" w:after="0" w:afterAutospacing="0"/>
              <w:rPr>
                <w:sz w:val="20"/>
                <w:szCs w:val="20"/>
              </w:rPr>
            </w:pPr>
            <w:r>
              <w:rPr>
                <w:sz w:val="20"/>
                <w:szCs w:val="20"/>
              </w:rPr>
              <w:t> </w:t>
            </w:r>
          </w:p>
        </w:tc>
      </w:tr>
      <w:tr w:rsidR="002B5D06" w14:paraId="025F56F2" w14:textId="77777777">
        <w:trPr>
          <w:divId w:val="1684360448"/>
          <w:trHeight w:val="225"/>
          <w:tblCellSpacing w:w="15" w:type="dxa"/>
          <w:jc w:val="center"/>
        </w:trPr>
        <w:tc>
          <w:tcPr>
            <w:tcW w:w="0" w:type="auto"/>
            <w:tcBorders>
              <w:bottom w:val="single" w:sz="6" w:space="0" w:color="auto"/>
            </w:tcBorders>
            <w:vAlign w:val="bottom"/>
            <w:hideMark/>
          </w:tcPr>
          <w:p w14:paraId="02C6B3ED" w14:textId="77777777" w:rsidR="002B5D06" w:rsidRDefault="000B69DD">
            <w:pPr>
              <w:pStyle w:val="NormalWeb"/>
              <w:spacing w:before="0" w:beforeAutospacing="0" w:after="0" w:afterAutospacing="0"/>
              <w:jc w:val="center"/>
              <w:rPr>
                <w:sz w:val="20"/>
                <w:szCs w:val="20"/>
              </w:rPr>
            </w:pPr>
            <w:r>
              <w:rPr>
                <w:rStyle w:val="Strong"/>
                <w:sz w:val="20"/>
                <w:szCs w:val="20"/>
              </w:rPr>
              <w:t>Revenue Type</w:t>
            </w:r>
          </w:p>
        </w:tc>
        <w:tc>
          <w:tcPr>
            <w:tcW w:w="0" w:type="auto"/>
            <w:noWrap/>
            <w:vAlign w:val="center"/>
            <w:hideMark/>
          </w:tcPr>
          <w:p w14:paraId="1BF13CA1"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0AFA271" w14:textId="77777777" w:rsidR="002B5D06" w:rsidRDefault="000B69DD">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3CF78B23"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7FA19F7E"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7670A68C" w14:textId="77777777" w:rsidR="002B5D06" w:rsidRDefault="000B69DD">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5AB239C6" w14:textId="77777777" w:rsidR="002B5D06" w:rsidRDefault="000B69DD">
            <w:pPr>
              <w:pStyle w:val="NormalWeb"/>
              <w:spacing w:before="0" w:beforeAutospacing="0" w:after="0" w:afterAutospacing="0"/>
              <w:rPr>
                <w:sz w:val="20"/>
                <w:szCs w:val="20"/>
              </w:rPr>
            </w:pPr>
            <w:r>
              <w:rPr>
                <w:sz w:val="20"/>
                <w:szCs w:val="20"/>
              </w:rPr>
              <w:t> </w:t>
            </w:r>
          </w:p>
        </w:tc>
      </w:tr>
      <w:tr w:rsidR="002B5D06" w14:paraId="09AA7E58" w14:textId="77777777">
        <w:trPr>
          <w:divId w:val="1684360448"/>
          <w:trHeight w:val="225"/>
          <w:tblCellSpacing w:w="15" w:type="dxa"/>
          <w:jc w:val="center"/>
        </w:trPr>
        <w:tc>
          <w:tcPr>
            <w:tcW w:w="0" w:type="auto"/>
            <w:shd w:val="clear" w:color="auto" w:fill="CCEEFF"/>
            <w:hideMark/>
          </w:tcPr>
          <w:p w14:paraId="1E97389D" w14:textId="77777777" w:rsidR="002B5D06" w:rsidRDefault="000B69DD">
            <w:pPr>
              <w:pStyle w:val="NormalWeb"/>
              <w:spacing w:before="0" w:beforeAutospacing="0" w:after="0" w:afterAutospacing="0"/>
              <w:rPr>
                <w:sz w:val="20"/>
                <w:szCs w:val="20"/>
              </w:rPr>
            </w:pPr>
            <w:r>
              <w:rPr>
                <w:sz w:val="20"/>
                <w:szCs w:val="20"/>
              </w:rPr>
              <w:t>Real Estate Rental</w:t>
            </w:r>
          </w:p>
        </w:tc>
        <w:tc>
          <w:tcPr>
            <w:tcW w:w="50" w:type="pct"/>
            <w:shd w:val="clear" w:color="auto" w:fill="CCEEFF"/>
            <w:noWrap/>
            <w:vAlign w:val="center"/>
            <w:hideMark/>
          </w:tcPr>
          <w:p w14:paraId="2A63A97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C682CB1"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53875791" w14:textId="77777777" w:rsidR="002B5D06" w:rsidRDefault="000B69DD">
            <w:pPr>
              <w:jc w:val="right"/>
              <w:rPr>
                <w:rFonts w:eastAsia="Times New Roman"/>
                <w:sz w:val="20"/>
                <w:szCs w:val="20"/>
              </w:rPr>
            </w:pPr>
            <w:r>
              <w:rPr>
                <w:rFonts w:eastAsia="Times New Roman"/>
                <w:sz w:val="20"/>
                <w:szCs w:val="20"/>
              </w:rPr>
              <w:t>43,445</w:t>
            </w:r>
          </w:p>
        </w:tc>
        <w:tc>
          <w:tcPr>
            <w:tcW w:w="50" w:type="pct"/>
            <w:shd w:val="clear" w:color="auto" w:fill="CCEEFF"/>
            <w:noWrap/>
            <w:vAlign w:val="center"/>
            <w:hideMark/>
          </w:tcPr>
          <w:p w14:paraId="0A374AA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6373DD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04B0BF0"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2A15B295" w14:textId="77777777" w:rsidR="002B5D06" w:rsidRDefault="000B69DD">
            <w:pPr>
              <w:jc w:val="right"/>
              <w:rPr>
                <w:rFonts w:eastAsia="Times New Roman"/>
                <w:sz w:val="20"/>
                <w:szCs w:val="20"/>
              </w:rPr>
            </w:pPr>
            <w:r>
              <w:rPr>
                <w:rFonts w:eastAsia="Times New Roman"/>
                <w:sz w:val="20"/>
                <w:szCs w:val="20"/>
              </w:rPr>
              <w:t>42,577</w:t>
            </w:r>
          </w:p>
        </w:tc>
        <w:tc>
          <w:tcPr>
            <w:tcW w:w="50" w:type="pct"/>
            <w:shd w:val="clear" w:color="auto" w:fill="CCEEFF"/>
            <w:noWrap/>
            <w:vAlign w:val="center"/>
            <w:hideMark/>
          </w:tcPr>
          <w:p w14:paraId="1D70C10B" w14:textId="77777777" w:rsidR="002B5D06" w:rsidRDefault="000B69DD">
            <w:pPr>
              <w:pStyle w:val="NormalWeb"/>
              <w:spacing w:before="0" w:beforeAutospacing="0" w:after="0" w:afterAutospacing="0"/>
              <w:rPr>
                <w:sz w:val="20"/>
                <w:szCs w:val="20"/>
              </w:rPr>
            </w:pPr>
            <w:r>
              <w:rPr>
                <w:sz w:val="20"/>
                <w:szCs w:val="20"/>
              </w:rPr>
              <w:t> </w:t>
            </w:r>
          </w:p>
        </w:tc>
      </w:tr>
      <w:tr w:rsidR="002B5D06" w14:paraId="230998F5" w14:textId="77777777">
        <w:trPr>
          <w:divId w:val="1684360448"/>
          <w:trHeight w:val="225"/>
          <w:tblCellSpacing w:w="15" w:type="dxa"/>
          <w:jc w:val="center"/>
        </w:trPr>
        <w:tc>
          <w:tcPr>
            <w:tcW w:w="0" w:type="auto"/>
            <w:shd w:val="clear" w:color="auto" w:fill="FFFFFF"/>
            <w:hideMark/>
          </w:tcPr>
          <w:p w14:paraId="6CBDA40C" w14:textId="77777777" w:rsidR="002B5D06" w:rsidRDefault="000B69DD">
            <w:pPr>
              <w:pStyle w:val="NormalWeb"/>
              <w:spacing w:before="0" w:beforeAutospacing="0" w:after="0" w:afterAutospacing="0"/>
              <w:rPr>
                <w:sz w:val="20"/>
                <w:szCs w:val="20"/>
              </w:rPr>
            </w:pPr>
            <w:r>
              <w:rPr>
                <w:sz w:val="20"/>
                <w:szCs w:val="20"/>
              </w:rPr>
              <w:t>Commission Revenues</w:t>
            </w:r>
          </w:p>
        </w:tc>
        <w:tc>
          <w:tcPr>
            <w:tcW w:w="50" w:type="pct"/>
            <w:shd w:val="clear" w:color="auto" w:fill="FFFFFF"/>
            <w:noWrap/>
            <w:vAlign w:val="center"/>
            <w:hideMark/>
          </w:tcPr>
          <w:p w14:paraId="424B5566"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F17F967"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5C7CBF8"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4CE8C3F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8B35AB0"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33AAD7FF"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C2D251B"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2AF563FD" w14:textId="77777777" w:rsidR="002B5D06" w:rsidRDefault="000B69DD">
            <w:pPr>
              <w:pStyle w:val="NormalWeb"/>
              <w:spacing w:before="0" w:beforeAutospacing="0" w:after="0" w:afterAutospacing="0"/>
              <w:rPr>
                <w:sz w:val="20"/>
                <w:szCs w:val="20"/>
              </w:rPr>
            </w:pPr>
            <w:r>
              <w:rPr>
                <w:sz w:val="20"/>
                <w:szCs w:val="20"/>
              </w:rPr>
              <w:t> </w:t>
            </w:r>
          </w:p>
        </w:tc>
      </w:tr>
      <w:tr w:rsidR="002B5D06" w14:paraId="0A6F55E5" w14:textId="77777777">
        <w:trPr>
          <w:divId w:val="1684360448"/>
          <w:trHeight w:val="225"/>
          <w:tblCellSpacing w:w="15" w:type="dxa"/>
          <w:jc w:val="center"/>
        </w:trPr>
        <w:tc>
          <w:tcPr>
            <w:tcW w:w="0" w:type="auto"/>
            <w:shd w:val="clear" w:color="auto" w:fill="CCEEFF"/>
            <w:hideMark/>
          </w:tcPr>
          <w:p w14:paraId="423DC3BF" w14:textId="77777777" w:rsidR="002B5D06" w:rsidRDefault="000B69DD">
            <w:pPr>
              <w:pStyle w:val="NormalWeb"/>
              <w:spacing w:before="0" w:beforeAutospacing="0" w:after="0" w:afterAutospacing="0"/>
              <w:rPr>
                <w:sz w:val="20"/>
                <w:szCs w:val="20"/>
              </w:rPr>
            </w:pPr>
            <w:r>
              <w:rPr>
                <w:rStyle w:val="Strong"/>
                <w:sz w:val="20"/>
                <w:szCs w:val="20"/>
              </w:rPr>
              <w:t>Total Sales by Revenue Type</w:t>
            </w:r>
          </w:p>
        </w:tc>
        <w:tc>
          <w:tcPr>
            <w:tcW w:w="50" w:type="pct"/>
            <w:shd w:val="clear" w:color="auto" w:fill="CCEEFF"/>
            <w:noWrap/>
            <w:vAlign w:val="center"/>
            <w:hideMark/>
          </w:tcPr>
          <w:p w14:paraId="568B60E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C1295E7" w14:textId="77777777" w:rsidR="002B5D06" w:rsidRDefault="000B69DD">
            <w:pPr>
              <w:rPr>
                <w:rFonts w:eastAsia="Times New Roman"/>
                <w:sz w:val="20"/>
                <w:szCs w:val="20"/>
              </w:rPr>
            </w:pPr>
            <w:r>
              <w:rPr>
                <w:rStyle w:val="Strong"/>
                <w:rFonts w:eastAsia="Times New Roman"/>
                <w:sz w:val="20"/>
                <w:szCs w:val="20"/>
              </w:rPr>
              <w:t>$</w:t>
            </w:r>
          </w:p>
        </w:tc>
        <w:tc>
          <w:tcPr>
            <w:tcW w:w="450" w:type="pct"/>
            <w:shd w:val="clear" w:color="auto" w:fill="CCEEFF"/>
            <w:vAlign w:val="bottom"/>
            <w:hideMark/>
          </w:tcPr>
          <w:p w14:paraId="300D9A08" w14:textId="77777777" w:rsidR="002B5D06" w:rsidRDefault="000B69DD">
            <w:pPr>
              <w:jc w:val="right"/>
              <w:rPr>
                <w:rFonts w:eastAsia="Times New Roman"/>
                <w:sz w:val="20"/>
                <w:szCs w:val="20"/>
              </w:rPr>
            </w:pPr>
            <w:r>
              <w:rPr>
                <w:rStyle w:val="Strong"/>
                <w:rFonts w:eastAsia="Times New Roman"/>
                <w:sz w:val="20"/>
                <w:szCs w:val="20"/>
              </w:rPr>
              <w:t>43,445</w:t>
            </w:r>
          </w:p>
        </w:tc>
        <w:tc>
          <w:tcPr>
            <w:tcW w:w="50" w:type="pct"/>
            <w:shd w:val="clear" w:color="auto" w:fill="CCEEFF"/>
            <w:noWrap/>
            <w:vAlign w:val="center"/>
            <w:hideMark/>
          </w:tcPr>
          <w:p w14:paraId="14DAF9F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FB3BF5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DC01AD7" w14:textId="77777777" w:rsidR="002B5D06" w:rsidRDefault="000B69DD">
            <w:pPr>
              <w:rPr>
                <w:rFonts w:eastAsia="Times New Roman"/>
                <w:sz w:val="20"/>
                <w:szCs w:val="20"/>
              </w:rPr>
            </w:pPr>
            <w:r>
              <w:rPr>
                <w:rStyle w:val="Strong"/>
                <w:rFonts w:eastAsia="Times New Roman"/>
                <w:sz w:val="20"/>
                <w:szCs w:val="20"/>
              </w:rPr>
              <w:t>$</w:t>
            </w:r>
          </w:p>
        </w:tc>
        <w:tc>
          <w:tcPr>
            <w:tcW w:w="450" w:type="pct"/>
            <w:shd w:val="clear" w:color="auto" w:fill="CCEEFF"/>
            <w:vAlign w:val="bottom"/>
            <w:hideMark/>
          </w:tcPr>
          <w:p w14:paraId="6DD2605A" w14:textId="77777777" w:rsidR="002B5D06" w:rsidRDefault="000B69DD">
            <w:pPr>
              <w:jc w:val="right"/>
              <w:rPr>
                <w:rFonts w:eastAsia="Times New Roman"/>
                <w:sz w:val="20"/>
                <w:szCs w:val="20"/>
              </w:rPr>
            </w:pPr>
            <w:r>
              <w:rPr>
                <w:rStyle w:val="Strong"/>
                <w:rFonts w:eastAsia="Times New Roman"/>
                <w:sz w:val="20"/>
                <w:szCs w:val="20"/>
              </w:rPr>
              <w:t>42,577</w:t>
            </w:r>
          </w:p>
        </w:tc>
        <w:tc>
          <w:tcPr>
            <w:tcW w:w="50" w:type="pct"/>
            <w:shd w:val="clear" w:color="auto" w:fill="CCEEFF"/>
            <w:noWrap/>
            <w:vAlign w:val="center"/>
            <w:hideMark/>
          </w:tcPr>
          <w:p w14:paraId="3AC74A04" w14:textId="77777777" w:rsidR="002B5D06" w:rsidRDefault="000B69DD">
            <w:pPr>
              <w:pStyle w:val="NormalWeb"/>
              <w:spacing w:before="0" w:beforeAutospacing="0" w:after="0" w:afterAutospacing="0"/>
              <w:rPr>
                <w:sz w:val="20"/>
                <w:szCs w:val="20"/>
              </w:rPr>
            </w:pPr>
            <w:r>
              <w:rPr>
                <w:sz w:val="20"/>
                <w:szCs w:val="20"/>
              </w:rPr>
              <w:t> </w:t>
            </w:r>
          </w:p>
        </w:tc>
      </w:tr>
    </w:tbl>
    <w:p w14:paraId="6C3EEEE2" w14:textId="77777777" w:rsidR="002B5D06" w:rsidRDefault="000B69DD">
      <w:pPr>
        <w:pStyle w:val="NormalWeb"/>
        <w:spacing w:before="0" w:beforeAutospacing="0" w:after="0" w:afterAutospacing="0"/>
        <w:jc w:val="center"/>
        <w:divId w:val="1684360448"/>
        <w:rPr>
          <w:sz w:val="20"/>
          <w:szCs w:val="20"/>
        </w:rPr>
      </w:pPr>
      <w:r>
        <w:rPr>
          <w:sz w:val="20"/>
          <w:szCs w:val="20"/>
        </w:rPr>
        <w:t> </w:t>
      </w:r>
    </w:p>
    <w:p w14:paraId="455F32E3" w14:textId="77777777" w:rsidR="002B5D06" w:rsidRDefault="000B69DD">
      <w:pPr>
        <w:pStyle w:val="NormalWeb"/>
        <w:spacing w:before="0" w:beforeAutospacing="0" w:after="0" w:afterAutospacing="0"/>
        <w:jc w:val="both"/>
        <w:divId w:val="1684360448"/>
        <w:rPr>
          <w:sz w:val="20"/>
          <w:szCs w:val="20"/>
        </w:rPr>
      </w:pPr>
      <w:r>
        <w:rPr>
          <w:sz w:val="20"/>
          <w:szCs w:val="20"/>
        </w:rPr>
        <w:t>The Company’s derives revenues from 100% of foreign revenues. For the period ending June 30, 2025 and June 30, 2024 the major geographic concentrations were as follows:</w:t>
      </w:r>
    </w:p>
    <w:p w14:paraId="702FFFC2"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2B5D06" w14:paraId="22631425" w14:textId="77777777">
        <w:trPr>
          <w:divId w:val="1684360448"/>
          <w:trHeight w:val="225"/>
          <w:tblCellSpacing w:w="15" w:type="dxa"/>
          <w:jc w:val="center"/>
        </w:trPr>
        <w:tc>
          <w:tcPr>
            <w:tcW w:w="0" w:type="auto"/>
            <w:vAlign w:val="center"/>
            <w:hideMark/>
          </w:tcPr>
          <w:p w14:paraId="7C73B8BF"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7E838094"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15E89E16" w14:textId="77777777" w:rsidR="002B5D06" w:rsidRDefault="000B69DD">
            <w:pPr>
              <w:pStyle w:val="NormalWeb"/>
              <w:spacing w:before="0" w:beforeAutospacing="0" w:after="0" w:afterAutospacing="0"/>
              <w:jc w:val="center"/>
              <w:rPr>
                <w:sz w:val="20"/>
                <w:szCs w:val="20"/>
              </w:rPr>
            </w:pPr>
            <w:r>
              <w:rPr>
                <w:rStyle w:val="Strong"/>
                <w:sz w:val="20"/>
                <w:szCs w:val="20"/>
              </w:rPr>
              <w:t xml:space="preserve">Geographic Regions </w:t>
            </w:r>
          </w:p>
          <w:p w14:paraId="18057043" w14:textId="77777777" w:rsidR="002B5D06" w:rsidRDefault="000B69DD">
            <w:pPr>
              <w:pStyle w:val="NormalWeb"/>
              <w:spacing w:before="0" w:beforeAutospacing="0" w:after="0" w:afterAutospacing="0"/>
              <w:jc w:val="center"/>
              <w:rPr>
                <w:sz w:val="20"/>
                <w:szCs w:val="20"/>
              </w:rPr>
            </w:pPr>
            <w:r>
              <w:rPr>
                <w:rStyle w:val="Strong"/>
                <w:sz w:val="20"/>
                <w:szCs w:val="20"/>
              </w:rPr>
              <w:t xml:space="preserve">for the Twelve Months </w:t>
            </w:r>
          </w:p>
          <w:p w14:paraId="23B06BA5" w14:textId="77777777" w:rsidR="002B5D06" w:rsidRDefault="000B69DD">
            <w:pPr>
              <w:pStyle w:val="NormalWeb"/>
              <w:spacing w:before="0" w:beforeAutospacing="0" w:after="0" w:afterAutospacing="0"/>
              <w:jc w:val="center"/>
              <w:rPr>
                <w:sz w:val="20"/>
                <w:szCs w:val="20"/>
              </w:rPr>
            </w:pPr>
            <w:r>
              <w:rPr>
                <w:rStyle w:val="Strong"/>
                <w:sz w:val="20"/>
                <w:szCs w:val="20"/>
              </w:rPr>
              <w:t>Ended June 30,</w:t>
            </w:r>
          </w:p>
        </w:tc>
        <w:tc>
          <w:tcPr>
            <w:tcW w:w="0" w:type="auto"/>
            <w:noWrap/>
            <w:vAlign w:val="center"/>
            <w:hideMark/>
          </w:tcPr>
          <w:p w14:paraId="421E6059" w14:textId="77777777" w:rsidR="002B5D06" w:rsidRDefault="000B69DD">
            <w:pPr>
              <w:pStyle w:val="NormalWeb"/>
              <w:spacing w:before="0" w:beforeAutospacing="0" w:after="0" w:afterAutospacing="0"/>
              <w:rPr>
                <w:sz w:val="20"/>
                <w:szCs w:val="20"/>
              </w:rPr>
            </w:pPr>
            <w:r>
              <w:rPr>
                <w:sz w:val="20"/>
                <w:szCs w:val="20"/>
              </w:rPr>
              <w:t> </w:t>
            </w:r>
          </w:p>
        </w:tc>
      </w:tr>
      <w:tr w:rsidR="002B5D06" w14:paraId="2284A375" w14:textId="77777777">
        <w:trPr>
          <w:divId w:val="1684360448"/>
          <w:trHeight w:val="225"/>
          <w:tblCellSpacing w:w="15" w:type="dxa"/>
          <w:jc w:val="center"/>
        </w:trPr>
        <w:tc>
          <w:tcPr>
            <w:tcW w:w="0" w:type="auto"/>
            <w:tcBorders>
              <w:bottom w:val="single" w:sz="6" w:space="0" w:color="auto"/>
            </w:tcBorders>
            <w:vAlign w:val="bottom"/>
            <w:hideMark/>
          </w:tcPr>
          <w:p w14:paraId="4E0892CD" w14:textId="77777777" w:rsidR="002B5D06" w:rsidRDefault="000B69DD">
            <w:pPr>
              <w:pStyle w:val="NormalWeb"/>
              <w:spacing w:before="0" w:beforeAutospacing="0" w:after="0" w:afterAutospacing="0"/>
              <w:jc w:val="center"/>
              <w:rPr>
                <w:sz w:val="20"/>
                <w:szCs w:val="20"/>
              </w:rPr>
            </w:pPr>
            <w:r>
              <w:rPr>
                <w:rStyle w:val="Strong"/>
                <w:sz w:val="20"/>
                <w:szCs w:val="20"/>
              </w:rPr>
              <w:t>Revenue Type</w:t>
            </w:r>
          </w:p>
        </w:tc>
        <w:tc>
          <w:tcPr>
            <w:tcW w:w="0" w:type="auto"/>
            <w:noWrap/>
            <w:vAlign w:val="center"/>
            <w:hideMark/>
          </w:tcPr>
          <w:p w14:paraId="39F4A7A0"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79CF8734" w14:textId="77777777" w:rsidR="002B5D06" w:rsidRDefault="000B69DD">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2982CD2E"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1A0617C8"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76CB24BA" w14:textId="77777777" w:rsidR="002B5D06" w:rsidRDefault="000B69DD">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6A4CE1F0" w14:textId="77777777" w:rsidR="002B5D06" w:rsidRDefault="000B69DD">
            <w:pPr>
              <w:pStyle w:val="NormalWeb"/>
              <w:spacing w:before="0" w:beforeAutospacing="0" w:after="0" w:afterAutospacing="0"/>
              <w:rPr>
                <w:sz w:val="20"/>
                <w:szCs w:val="20"/>
              </w:rPr>
            </w:pPr>
            <w:r>
              <w:rPr>
                <w:sz w:val="20"/>
                <w:szCs w:val="20"/>
              </w:rPr>
              <w:t> </w:t>
            </w:r>
          </w:p>
        </w:tc>
      </w:tr>
      <w:tr w:rsidR="002B5D06" w14:paraId="7857A076" w14:textId="77777777">
        <w:trPr>
          <w:divId w:val="1684360448"/>
          <w:trHeight w:val="225"/>
          <w:tblCellSpacing w:w="15" w:type="dxa"/>
          <w:jc w:val="center"/>
        </w:trPr>
        <w:tc>
          <w:tcPr>
            <w:tcW w:w="0" w:type="auto"/>
            <w:shd w:val="clear" w:color="auto" w:fill="CCEEFF"/>
            <w:hideMark/>
          </w:tcPr>
          <w:p w14:paraId="557F8F3A" w14:textId="77777777" w:rsidR="002B5D06" w:rsidRDefault="000B69DD">
            <w:pPr>
              <w:pStyle w:val="NormalWeb"/>
              <w:spacing w:before="0" w:beforeAutospacing="0" w:after="0" w:afterAutospacing="0"/>
              <w:rPr>
                <w:sz w:val="20"/>
                <w:szCs w:val="20"/>
              </w:rPr>
            </w:pPr>
            <w:r>
              <w:rPr>
                <w:sz w:val="20"/>
                <w:szCs w:val="20"/>
              </w:rPr>
              <w:t>International</w:t>
            </w:r>
          </w:p>
        </w:tc>
        <w:tc>
          <w:tcPr>
            <w:tcW w:w="50" w:type="pct"/>
            <w:shd w:val="clear" w:color="auto" w:fill="CCEEFF"/>
            <w:noWrap/>
            <w:vAlign w:val="center"/>
            <w:hideMark/>
          </w:tcPr>
          <w:p w14:paraId="19A6881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4C013BB"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77C1AEF1" w14:textId="77777777" w:rsidR="002B5D06" w:rsidRDefault="000B69DD">
            <w:pPr>
              <w:jc w:val="right"/>
              <w:rPr>
                <w:rFonts w:eastAsia="Times New Roman"/>
                <w:sz w:val="20"/>
                <w:szCs w:val="20"/>
              </w:rPr>
            </w:pPr>
            <w:r>
              <w:rPr>
                <w:rFonts w:eastAsia="Times New Roman"/>
                <w:sz w:val="20"/>
                <w:szCs w:val="20"/>
              </w:rPr>
              <w:t>43,445</w:t>
            </w:r>
          </w:p>
        </w:tc>
        <w:tc>
          <w:tcPr>
            <w:tcW w:w="50" w:type="pct"/>
            <w:shd w:val="clear" w:color="auto" w:fill="CCEEFF"/>
            <w:noWrap/>
            <w:vAlign w:val="center"/>
            <w:hideMark/>
          </w:tcPr>
          <w:p w14:paraId="5C6154B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CFC431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4A72CFE"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6C75B901" w14:textId="77777777" w:rsidR="002B5D06" w:rsidRDefault="000B69DD">
            <w:pPr>
              <w:jc w:val="right"/>
              <w:rPr>
                <w:rFonts w:eastAsia="Times New Roman"/>
                <w:sz w:val="20"/>
                <w:szCs w:val="20"/>
              </w:rPr>
            </w:pPr>
            <w:r>
              <w:rPr>
                <w:rFonts w:eastAsia="Times New Roman"/>
                <w:sz w:val="20"/>
                <w:szCs w:val="20"/>
              </w:rPr>
              <w:t>42,577</w:t>
            </w:r>
          </w:p>
        </w:tc>
        <w:tc>
          <w:tcPr>
            <w:tcW w:w="50" w:type="pct"/>
            <w:shd w:val="clear" w:color="auto" w:fill="CCEEFF"/>
            <w:noWrap/>
            <w:vAlign w:val="center"/>
            <w:hideMark/>
          </w:tcPr>
          <w:p w14:paraId="7B47460F" w14:textId="77777777" w:rsidR="002B5D06" w:rsidRDefault="000B69DD">
            <w:pPr>
              <w:pStyle w:val="NormalWeb"/>
              <w:spacing w:before="0" w:beforeAutospacing="0" w:after="0" w:afterAutospacing="0"/>
              <w:rPr>
                <w:sz w:val="20"/>
                <w:szCs w:val="20"/>
              </w:rPr>
            </w:pPr>
            <w:r>
              <w:rPr>
                <w:sz w:val="20"/>
                <w:szCs w:val="20"/>
              </w:rPr>
              <w:t> </w:t>
            </w:r>
          </w:p>
        </w:tc>
      </w:tr>
      <w:tr w:rsidR="002B5D06" w14:paraId="3782A187" w14:textId="77777777">
        <w:trPr>
          <w:divId w:val="1684360448"/>
          <w:trHeight w:val="225"/>
          <w:tblCellSpacing w:w="15" w:type="dxa"/>
          <w:jc w:val="center"/>
        </w:trPr>
        <w:tc>
          <w:tcPr>
            <w:tcW w:w="0" w:type="auto"/>
            <w:shd w:val="clear" w:color="auto" w:fill="FFFFFF"/>
            <w:hideMark/>
          </w:tcPr>
          <w:p w14:paraId="54B3C82D" w14:textId="77777777" w:rsidR="002B5D06" w:rsidRDefault="000B69DD">
            <w:pPr>
              <w:pStyle w:val="NormalWeb"/>
              <w:spacing w:before="0" w:beforeAutospacing="0" w:after="0" w:afterAutospacing="0"/>
              <w:rPr>
                <w:sz w:val="20"/>
                <w:szCs w:val="20"/>
              </w:rPr>
            </w:pPr>
            <w:r>
              <w:rPr>
                <w:sz w:val="20"/>
                <w:szCs w:val="20"/>
              </w:rPr>
              <w:t>Domestic</w:t>
            </w:r>
          </w:p>
        </w:tc>
        <w:tc>
          <w:tcPr>
            <w:tcW w:w="50" w:type="pct"/>
            <w:shd w:val="clear" w:color="auto" w:fill="FFFFFF"/>
            <w:noWrap/>
            <w:vAlign w:val="center"/>
            <w:hideMark/>
          </w:tcPr>
          <w:p w14:paraId="10134330"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E053DF0"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A25EE30"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5C2F84A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600ACA6"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2EC15B4"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609531D"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1EC64646" w14:textId="77777777" w:rsidR="002B5D06" w:rsidRDefault="000B69DD">
            <w:pPr>
              <w:pStyle w:val="NormalWeb"/>
              <w:spacing w:before="0" w:beforeAutospacing="0" w:after="0" w:afterAutospacing="0"/>
              <w:rPr>
                <w:sz w:val="20"/>
                <w:szCs w:val="20"/>
              </w:rPr>
            </w:pPr>
            <w:r>
              <w:rPr>
                <w:sz w:val="20"/>
                <w:szCs w:val="20"/>
              </w:rPr>
              <w:t> </w:t>
            </w:r>
          </w:p>
        </w:tc>
      </w:tr>
      <w:tr w:rsidR="002B5D06" w14:paraId="24056CAC" w14:textId="77777777">
        <w:trPr>
          <w:divId w:val="1684360448"/>
          <w:trHeight w:val="225"/>
          <w:tblCellSpacing w:w="15" w:type="dxa"/>
          <w:jc w:val="center"/>
        </w:trPr>
        <w:tc>
          <w:tcPr>
            <w:tcW w:w="0" w:type="auto"/>
            <w:shd w:val="clear" w:color="auto" w:fill="CCEEFF"/>
            <w:hideMark/>
          </w:tcPr>
          <w:p w14:paraId="297B976E" w14:textId="77777777" w:rsidR="002B5D06" w:rsidRDefault="000B69DD">
            <w:pPr>
              <w:pStyle w:val="NormalWeb"/>
              <w:spacing w:before="0" w:beforeAutospacing="0" w:after="0" w:afterAutospacing="0"/>
              <w:rPr>
                <w:sz w:val="20"/>
                <w:szCs w:val="20"/>
              </w:rPr>
            </w:pPr>
            <w:r>
              <w:rPr>
                <w:rStyle w:val="Strong"/>
                <w:sz w:val="20"/>
                <w:szCs w:val="20"/>
              </w:rPr>
              <w:t>Total Sales by Geographic Location</w:t>
            </w:r>
          </w:p>
        </w:tc>
        <w:tc>
          <w:tcPr>
            <w:tcW w:w="50" w:type="pct"/>
            <w:shd w:val="clear" w:color="auto" w:fill="CCEEFF"/>
            <w:noWrap/>
            <w:vAlign w:val="center"/>
            <w:hideMark/>
          </w:tcPr>
          <w:p w14:paraId="056D133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4868D3A" w14:textId="77777777" w:rsidR="002B5D06" w:rsidRDefault="000B69DD">
            <w:pPr>
              <w:rPr>
                <w:rFonts w:eastAsia="Times New Roman"/>
                <w:sz w:val="20"/>
                <w:szCs w:val="20"/>
              </w:rPr>
            </w:pPr>
            <w:r>
              <w:rPr>
                <w:rStyle w:val="Strong"/>
                <w:rFonts w:eastAsia="Times New Roman"/>
                <w:sz w:val="20"/>
                <w:szCs w:val="20"/>
              </w:rPr>
              <w:t>$</w:t>
            </w:r>
          </w:p>
        </w:tc>
        <w:tc>
          <w:tcPr>
            <w:tcW w:w="450" w:type="pct"/>
            <w:shd w:val="clear" w:color="auto" w:fill="CCEEFF"/>
            <w:vAlign w:val="bottom"/>
            <w:hideMark/>
          </w:tcPr>
          <w:p w14:paraId="78E4D404" w14:textId="77777777" w:rsidR="002B5D06" w:rsidRDefault="000B69DD">
            <w:pPr>
              <w:jc w:val="right"/>
              <w:rPr>
                <w:rFonts w:eastAsia="Times New Roman"/>
                <w:sz w:val="20"/>
                <w:szCs w:val="20"/>
              </w:rPr>
            </w:pPr>
            <w:r>
              <w:rPr>
                <w:rStyle w:val="Strong"/>
                <w:rFonts w:eastAsia="Times New Roman"/>
                <w:sz w:val="20"/>
                <w:szCs w:val="20"/>
              </w:rPr>
              <w:t>43,445</w:t>
            </w:r>
          </w:p>
        </w:tc>
        <w:tc>
          <w:tcPr>
            <w:tcW w:w="50" w:type="pct"/>
            <w:shd w:val="clear" w:color="auto" w:fill="CCEEFF"/>
            <w:noWrap/>
            <w:vAlign w:val="center"/>
            <w:hideMark/>
          </w:tcPr>
          <w:p w14:paraId="7DA6978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B0F526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5D852B2" w14:textId="77777777" w:rsidR="002B5D06" w:rsidRDefault="000B69DD">
            <w:pPr>
              <w:rPr>
                <w:rFonts w:eastAsia="Times New Roman"/>
                <w:sz w:val="20"/>
                <w:szCs w:val="20"/>
              </w:rPr>
            </w:pPr>
            <w:r>
              <w:rPr>
                <w:rStyle w:val="Strong"/>
                <w:rFonts w:eastAsia="Times New Roman"/>
                <w:sz w:val="20"/>
                <w:szCs w:val="20"/>
              </w:rPr>
              <w:t>$</w:t>
            </w:r>
          </w:p>
        </w:tc>
        <w:tc>
          <w:tcPr>
            <w:tcW w:w="450" w:type="pct"/>
            <w:shd w:val="clear" w:color="auto" w:fill="CCEEFF"/>
            <w:vAlign w:val="bottom"/>
            <w:hideMark/>
          </w:tcPr>
          <w:p w14:paraId="26E92918" w14:textId="77777777" w:rsidR="002B5D06" w:rsidRDefault="000B69DD">
            <w:pPr>
              <w:jc w:val="right"/>
              <w:rPr>
                <w:rFonts w:eastAsia="Times New Roman"/>
                <w:sz w:val="20"/>
                <w:szCs w:val="20"/>
              </w:rPr>
            </w:pPr>
            <w:r>
              <w:rPr>
                <w:rStyle w:val="Strong"/>
                <w:rFonts w:eastAsia="Times New Roman"/>
                <w:sz w:val="20"/>
                <w:szCs w:val="20"/>
              </w:rPr>
              <w:t>42,577</w:t>
            </w:r>
          </w:p>
        </w:tc>
        <w:tc>
          <w:tcPr>
            <w:tcW w:w="50" w:type="pct"/>
            <w:shd w:val="clear" w:color="auto" w:fill="CCEEFF"/>
            <w:noWrap/>
            <w:vAlign w:val="center"/>
            <w:hideMark/>
          </w:tcPr>
          <w:p w14:paraId="59DA3A8F" w14:textId="77777777" w:rsidR="002B5D06" w:rsidRDefault="000B69DD">
            <w:pPr>
              <w:pStyle w:val="NormalWeb"/>
              <w:spacing w:before="0" w:beforeAutospacing="0" w:after="0" w:afterAutospacing="0"/>
              <w:rPr>
                <w:sz w:val="20"/>
                <w:szCs w:val="20"/>
              </w:rPr>
            </w:pPr>
            <w:r>
              <w:rPr>
                <w:sz w:val="20"/>
                <w:szCs w:val="20"/>
              </w:rPr>
              <w:t> </w:t>
            </w:r>
          </w:p>
        </w:tc>
      </w:tr>
    </w:tbl>
    <w:p w14:paraId="7F26CB76"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0E586AED"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NOTE 4 – PROPERTY &amp; EQUIPMENT:</w:t>
      </w:r>
    </w:p>
    <w:p w14:paraId="710ABFB7"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469C378" w14:textId="77777777" w:rsidR="002B5D06" w:rsidRDefault="000B69DD">
      <w:pPr>
        <w:pStyle w:val="NormalWeb"/>
        <w:spacing w:before="0" w:beforeAutospacing="0" w:after="0" w:afterAutospacing="0"/>
        <w:jc w:val="both"/>
        <w:divId w:val="1684360448"/>
        <w:rPr>
          <w:sz w:val="20"/>
          <w:szCs w:val="20"/>
        </w:rPr>
      </w:pPr>
      <w:r>
        <w:rPr>
          <w:sz w:val="20"/>
          <w:szCs w:val="20"/>
        </w:rPr>
        <w:t>The Land owned by the Company’s wholly owned subsidiary constitutes the largest asset of the Company. During the period ending June 30, 2025 the Company recorded a decrease in the carrying value of the Land of $55,013, due to the currency translation difference. The carrying value of the Land of the Company was as follows:</w:t>
      </w:r>
    </w:p>
    <w:p w14:paraId="287CB354"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2B5D06" w14:paraId="313A1D4C" w14:textId="77777777">
        <w:trPr>
          <w:divId w:val="1684360448"/>
          <w:trHeight w:val="225"/>
          <w:tblCellSpacing w:w="15" w:type="dxa"/>
          <w:jc w:val="center"/>
        </w:trPr>
        <w:tc>
          <w:tcPr>
            <w:tcW w:w="0" w:type="auto"/>
            <w:vAlign w:val="center"/>
            <w:hideMark/>
          </w:tcPr>
          <w:p w14:paraId="52F86419"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1E24F0F8"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0A3D246D" w14:textId="77777777" w:rsidR="002B5D06" w:rsidRDefault="000B69DD">
            <w:pPr>
              <w:pStyle w:val="NormalWeb"/>
              <w:spacing w:before="0" w:beforeAutospacing="0" w:after="0" w:afterAutospacing="0"/>
              <w:jc w:val="center"/>
              <w:rPr>
                <w:sz w:val="20"/>
                <w:szCs w:val="20"/>
              </w:rPr>
            </w:pPr>
            <w:r>
              <w:rPr>
                <w:rStyle w:val="Strong"/>
                <w:sz w:val="20"/>
                <w:szCs w:val="20"/>
              </w:rPr>
              <w:t xml:space="preserve">Carrying Value of Land at </w:t>
            </w:r>
          </w:p>
          <w:p w14:paraId="66AB2444" w14:textId="77777777" w:rsidR="002B5D06" w:rsidRDefault="000B69DD">
            <w:pPr>
              <w:pStyle w:val="NormalWeb"/>
              <w:spacing w:before="0" w:beforeAutospacing="0" w:after="0" w:afterAutospacing="0"/>
              <w:jc w:val="center"/>
              <w:rPr>
                <w:sz w:val="20"/>
                <w:szCs w:val="20"/>
              </w:rPr>
            </w:pPr>
            <w:r>
              <w:rPr>
                <w:rStyle w:val="Strong"/>
                <w:sz w:val="20"/>
                <w:szCs w:val="20"/>
              </w:rPr>
              <w:t>June 30,</w:t>
            </w:r>
          </w:p>
        </w:tc>
        <w:tc>
          <w:tcPr>
            <w:tcW w:w="0" w:type="auto"/>
            <w:noWrap/>
            <w:vAlign w:val="center"/>
            <w:hideMark/>
          </w:tcPr>
          <w:p w14:paraId="4E9B2729" w14:textId="77777777" w:rsidR="002B5D06" w:rsidRDefault="000B69DD">
            <w:pPr>
              <w:pStyle w:val="NormalWeb"/>
              <w:spacing w:before="0" w:beforeAutospacing="0" w:after="0" w:afterAutospacing="0"/>
              <w:rPr>
                <w:sz w:val="20"/>
                <w:szCs w:val="20"/>
              </w:rPr>
            </w:pPr>
            <w:r>
              <w:rPr>
                <w:sz w:val="20"/>
                <w:szCs w:val="20"/>
              </w:rPr>
              <w:t> </w:t>
            </w:r>
          </w:p>
        </w:tc>
      </w:tr>
      <w:tr w:rsidR="002B5D06" w14:paraId="70F4A15E" w14:textId="77777777">
        <w:trPr>
          <w:divId w:val="1684360448"/>
          <w:trHeight w:val="225"/>
          <w:tblCellSpacing w:w="15" w:type="dxa"/>
          <w:jc w:val="center"/>
        </w:trPr>
        <w:tc>
          <w:tcPr>
            <w:tcW w:w="0" w:type="auto"/>
            <w:vAlign w:val="center"/>
            <w:hideMark/>
          </w:tcPr>
          <w:p w14:paraId="1D82B870"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3AEA73A2"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4F62EA9D" w14:textId="77777777" w:rsidR="002B5D06" w:rsidRDefault="000B69DD">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20CF5DEE"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4E534595"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BA141F6" w14:textId="77777777" w:rsidR="002B5D06" w:rsidRDefault="000B69DD">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246C7C98" w14:textId="77777777" w:rsidR="002B5D06" w:rsidRDefault="000B69DD">
            <w:pPr>
              <w:pStyle w:val="NormalWeb"/>
              <w:spacing w:before="0" w:beforeAutospacing="0" w:after="0" w:afterAutospacing="0"/>
              <w:rPr>
                <w:sz w:val="20"/>
                <w:szCs w:val="20"/>
              </w:rPr>
            </w:pPr>
            <w:r>
              <w:rPr>
                <w:sz w:val="20"/>
                <w:szCs w:val="20"/>
              </w:rPr>
              <w:t> </w:t>
            </w:r>
          </w:p>
        </w:tc>
      </w:tr>
      <w:tr w:rsidR="002B5D06" w14:paraId="71F12870" w14:textId="77777777">
        <w:trPr>
          <w:divId w:val="1684360448"/>
          <w:trHeight w:val="225"/>
          <w:tblCellSpacing w:w="15" w:type="dxa"/>
          <w:jc w:val="center"/>
        </w:trPr>
        <w:tc>
          <w:tcPr>
            <w:tcW w:w="0" w:type="auto"/>
            <w:shd w:val="clear" w:color="auto" w:fill="CCEEFF"/>
            <w:hideMark/>
          </w:tcPr>
          <w:p w14:paraId="73DF7E4B" w14:textId="77777777" w:rsidR="002B5D06" w:rsidRDefault="000B69DD">
            <w:pPr>
              <w:pStyle w:val="NormalWeb"/>
              <w:spacing w:before="0" w:beforeAutospacing="0" w:after="0" w:afterAutospacing="0"/>
              <w:rPr>
                <w:sz w:val="20"/>
                <w:szCs w:val="20"/>
              </w:rPr>
            </w:pPr>
            <w:r>
              <w:rPr>
                <w:sz w:val="20"/>
                <w:szCs w:val="20"/>
              </w:rPr>
              <w:t>US Dollars</w:t>
            </w:r>
          </w:p>
        </w:tc>
        <w:tc>
          <w:tcPr>
            <w:tcW w:w="50" w:type="pct"/>
            <w:shd w:val="clear" w:color="auto" w:fill="CCEEFF"/>
            <w:noWrap/>
            <w:vAlign w:val="center"/>
            <w:hideMark/>
          </w:tcPr>
          <w:p w14:paraId="5FFCF9D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70A3515"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2DA31709" w14:textId="77777777" w:rsidR="002B5D06" w:rsidRDefault="000B69DD">
            <w:pPr>
              <w:jc w:val="right"/>
              <w:rPr>
                <w:rFonts w:eastAsia="Times New Roman"/>
                <w:sz w:val="20"/>
                <w:szCs w:val="20"/>
              </w:rPr>
            </w:pPr>
            <w:r>
              <w:rPr>
                <w:rFonts w:eastAsia="Times New Roman"/>
                <w:sz w:val="20"/>
                <w:szCs w:val="20"/>
              </w:rPr>
              <w:t>634,601</w:t>
            </w:r>
          </w:p>
        </w:tc>
        <w:tc>
          <w:tcPr>
            <w:tcW w:w="50" w:type="pct"/>
            <w:shd w:val="clear" w:color="auto" w:fill="CCEEFF"/>
            <w:noWrap/>
            <w:vAlign w:val="center"/>
            <w:hideMark/>
          </w:tcPr>
          <w:p w14:paraId="64B774C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D08058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7C9FDD0"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4B1AFDB0" w14:textId="77777777" w:rsidR="002B5D06" w:rsidRDefault="000B69DD">
            <w:pPr>
              <w:jc w:val="right"/>
              <w:rPr>
                <w:rFonts w:eastAsia="Times New Roman"/>
                <w:sz w:val="20"/>
                <w:szCs w:val="20"/>
              </w:rPr>
            </w:pPr>
            <w:r>
              <w:rPr>
                <w:rFonts w:eastAsia="Times New Roman"/>
                <w:sz w:val="20"/>
                <w:szCs w:val="20"/>
              </w:rPr>
              <w:t>579,588</w:t>
            </w:r>
          </w:p>
        </w:tc>
        <w:tc>
          <w:tcPr>
            <w:tcW w:w="50" w:type="pct"/>
            <w:shd w:val="clear" w:color="auto" w:fill="CCEEFF"/>
            <w:noWrap/>
            <w:vAlign w:val="center"/>
            <w:hideMark/>
          </w:tcPr>
          <w:p w14:paraId="65831CB5" w14:textId="77777777" w:rsidR="002B5D06" w:rsidRDefault="000B69DD">
            <w:pPr>
              <w:pStyle w:val="NormalWeb"/>
              <w:spacing w:before="0" w:beforeAutospacing="0" w:after="0" w:afterAutospacing="0"/>
              <w:rPr>
                <w:sz w:val="20"/>
                <w:szCs w:val="20"/>
              </w:rPr>
            </w:pPr>
            <w:r>
              <w:rPr>
                <w:sz w:val="20"/>
                <w:szCs w:val="20"/>
              </w:rPr>
              <w:t> </w:t>
            </w:r>
          </w:p>
        </w:tc>
      </w:tr>
    </w:tbl>
    <w:p w14:paraId="4BA944FA"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7C80110"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NOTE 5 - RELATED PARTY TRANSACTIONS:</w:t>
      </w:r>
    </w:p>
    <w:p w14:paraId="0EDD9F47"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7341FD0" w14:textId="77777777" w:rsidR="002B5D06" w:rsidRDefault="000B69DD">
      <w:pPr>
        <w:pStyle w:val="NormalWeb"/>
        <w:spacing w:before="0" w:beforeAutospacing="0" w:after="0" w:afterAutospacing="0"/>
        <w:jc w:val="both"/>
        <w:divId w:val="1684360448"/>
        <w:rPr>
          <w:sz w:val="20"/>
          <w:szCs w:val="20"/>
        </w:rPr>
      </w:pPr>
      <w:r>
        <w:rPr>
          <w:sz w:val="20"/>
          <w:szCs w:val="20"/>
        </w:rPr>
        <w:t>Crossfield, Inc., a company of which the CEO, Robert Wolfe is an officer and director, has made advances to the Company which are not collateralized, non-interest bearing, and payable upon demand. At June 30, 2025 and 2024, the Company had a balance of $55,974 and $128,373 respectively. During the twelve-month period ended June 30, 2025 and 2024 expenses paid on behalf of the Company were $27,419 and $25,950 respectively. The Company repaid $89,819 of the advancements during the year ending June 30, 2025.</w:t>
      </w:r>
    </w:p>
    <w:p w14:paraId="55B5512B"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7F7B9F6"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NOTE 6 - NOTES PAYABLE:</w:t>
      </w:r>
    </w:p>
    <w:p w14:paraId="65A5D5F3"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60DC556" w14:textId="77777777" w:rsidR="002B5D06" w:rsidRDefault="000B69DD">
      <w:pPr>
        <w:pStyle w:val="NormalWeb"/>
        <w:spacing w:before="0" w:beforeAutospacing="0" w:after="0" w:afterAutospacing="0"/>
        <w:jc w:val="both"/>
        <w:divId w:val="1684360448"/>
        <w:rPr>
          <w:sz w:val="20"/>
          <w:szCs w:val="20"/>
        </w:rPr>
      </w:pPr>
      <w:r>
        <w:rPr>
          <w:sz w:val="20"/>
          <w:szCs w:val="20"/>
        </w:rPr>
        <w:t>During 2006, the Company issued a promissory note (“Note”) for $650,000, payable to the Borkwood Development Ltd, a previous shareholder of the Company (“Seller”), payable and amortized monthly and carrying an interest at 5% per year. The Company has the right to prepay the note at any time with a notice of 14 days. To secure the payment of principal and interest the Sellers will receive a perfect lien and security interest in the Shares in the company ANV until the note with accrued interest is paid in full, and, 2) In the case that the Note has not been repaid within 12 months from the day of closing the Sellers have the right to convert the debt to common stock of Advanced Oxygen Technologies, Inc. in an amount of non-diluted shares calculated on the conversion Date, equal to the lesser of : a) Six hundred and Fifty thousand (650,000) or the Purchase Price minus the principal payments made by the buyer, whichever is greater, divided by the previous ten day closing price of AOXY as quoted on the national exchange, or b) Fifteen million shares, whichever is lesser. The Note has been extended until July 1, 2026, prior to period end and interest waived through the period ending June 30, 2025. As of June 30, 2025 and 2024, the unpaid balance was $127,029.</w:t>
      </w:r>
    </w:p>
    <w:p w14:paraId="795849F5"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47599C73" w14:textId="77777777">
        <w:trPr>
          <w:divId w:val="1684360448"/>
          <w:trHeight w:val="225"/>
          <w:tblCellSpacing w:w="15" w:type="dxa"/>
          <w:jc w:val="center"/>
        </w:trPr>
        <w:tc>
          <w:tcPr>
            <w:tcW w:w="0" w:type="auto"/>
            <w:vAlign w:val="center"/>
            <w:hideMark/>
          </w:tcPr>
          <w:p w14:paraId="4B1A346A" w14:textId="77777777" w:rsidR="002B5D06" w:rsidRDefault="000B69DD">
            <w:pPr>
              <w:rPr>
                <w:rFonts w:eastAsia="Times New Roman"/>
                <w:sz w:val="20"/>
                <w:szCs w:val="20"/>
              </w:rPr>
            </w:pPr>
            <w:r>
              <w:rPr>
                <w:rFonts w:eastAsia="Times New Roman"/>
                <w:sz w:val="20"/>
                <w:szCs w:val="20"/>
              </w:rPr>
              <w:t> </w:t>
            </w:r>
          </w:p>
        </w:tc>
      </w:tr>
      <w:tr w:rsidR="002B5D06" w14:paraId="7FAEA56F" w14:textId="77777777">
        <w:trPr>
          <w:divId w:val="1684360448"/>
          <w:trHeight w:val="225"/>
          <w:tblCellSpacing w:w="15" w:type="dxa"/>
          <w:jc w:val="center"/>
        </w:trPr>
        <w:tc>
          <w:tcPr>
            <w:tcW w:w="0" w:type="auto"/>
            <w:tcBorders>
              <w:bottom w:val="single" w:sz="6" w:space="0" w:color="000000"/>
            </w:tcBorders>
            <w:vAlign w:val="center"/>
            <w:hideMark/>
          </w:tcPr>
          <w:p w14:paraId="53D3CEBA" w14:textId="77777777" w:rsidR="002B5D06" w:rsidRDefault="000B69DD">
            <w:pPr>
              <w:jc w:val="center"/>
              <w:rPr>
                <w:rFonts w:eastAsia="Times New Roman"/>
                <w:sz w:val="20"/>
                <w:szCs w:val="20"/>
              </w:rPr>
            </w:pPr>
            <w:r>
              <w:rPr>
                <w:rFonts w:eastAsia="Times New Roman"/>
                <w:sz w:val="20"/>
                <w:szCs w:val="20"/>
              </w:rPr>
              <w:t>F-11</w:t>
            </w:r>
          </w:p>
        </w:tc>
      </w:tr>
      <w:tr w:rsidR="002B5D06" w14:paraId="26F8472C" w14:textId="77777777">
        <w:trPr>
          <w:divId w:val="1684360448"/>
          <w:trHeight w:val="225"/>
          <w:tblCellSpacing w:w="15" w:type="dxa"/>
          <w:jc w:val="center"/>
        </w:trPr>
        <w:tc>
          <w:tcPr>
            <w:tcW w:w="0" w:type="auto"/>
            <w:vAlign w:val="center"/>
            <w:hideMark/>
          </w:tcPr>
          <w:p w14:paraId="6A0D9ACB" w14:textId="77777777" w:rsidR="002B5D06" w:rsidRDefault="002B5D06">
            <w:pPr>
              <w:rPr>
                <w:rFonts w:eastAsia="Times New Roman"/>
                <w:sz w:val="20"/>
                <w:szCs w:val="20"/>
              </w:rPr>
            </w:pPr>
          </w:p>
        </w:tc>
      </w:tr>
      <w:tr w:rsidR="002B5D06" w14:paraId="2FE1F8E8" w14:textId="77777777">
        <w:trPr>
          <w:divId w:val="1684360448"/>
          <w:trHeight w:val="225"/>
          <w:tblCellSpacing w:w="15" w:type="dxa"/>
          <w:jc w:val="center"/>
        </w:trPr>
        <w:tc>
          <w:tcPr>
            <w:tcW w:w="0" w:type="auto"/>
            <w:vAlign w:val="center"/>
            <w:hideMark/>
          </w:tcPr>
          <w:p w14:paraId="1DCF2C44" w14:textId="77777777" w:rsidR="002B5D06" w:rsidRDefault="002B5D06">
            <w:pPr>
              <w:rPr>
                <w:rFonts w:eastAsia="Times New Roman"/>
                <w:sz w:val="20"/>
                <w:szCs w:val="20"/>
              </w:rPr>
            </w:pPr>
          </w:p>
        </w:tc>
      </w:tr>
    </w:tbl>
    <w:p w14:paraId="0B16ABB5"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7FC606E8" w14:textId="77777777" w:rsidR="002B5D06" w:rsidRDefault="000B69DD">
      <w:pPr>
        <w:pStyle w:val="NormalWeb"/>
        <w:spacing w:before="0" w:beforeAutospacing="0" w:after="0" w:afterAutospacing="0"/>
        <w:divId w:val="1684360448"/>
        <w:rPr>
          <w:sz w:val="20"/>
          <w:szCs w:val="20"/>
        </w:rPr>
      </w:pPr>
      <w:r>
        <w:rPr>
          <w:sz w:val="20"/>
          <w:szCs w:val="20"/>
        </w:rPr>
        <w:t> </w:t>
      </w:r>
    </w:p>
    <w:p w14:paraId="6B03EF69"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104762D" w14:textId="77777777" w:rsidR="002B5D06" w:rsidRDefault="000B69DD">
      <w:pPr>
        <w:pStyle w:val="NormalWeb"/>
        <w:spacing w:before="0" w:beforeAutospacing="0" w:after="0" w:afterAutospacing="0"/>
        <w:jc w:val="both"/>
        <w:divId w:val="1684360448"/>
        <w:rPr>
          <w:sz w:val="20"/>
          <w:szCs w:val="20"/>
        </w:rPr>
      </w:pPr>
      <w:r>
        <w:rPr>
          <w:sz w:val="20"/>
          <w:szCs w:val="20"/>
        </w:rPr>
        <w:t>The Company’s commitments and contingencies are $127,029 for 2025. See below table for the years 2025 through 2026 with total principal payments due on outstanding notes payable of $127,029. The amounts stated reflect the Company’s commitments in the currencies that those commitments were made and the amounts are an estimate of what the US dollar amount would be if the currency rates did not change.</w:t>
      </w:r>
    </w:p>
    <w:p w14:paraId="73364688"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8121"/>
        <w:gridCol w:w="120"/>
        <w:gridCol w:w="130"/>
        <w:gridCol w:w="854"/>
        <w:gridCol w:w="135"/>
      </w:tblGrid>
      <w:tr w:rsidR="002B5D06" w14:paraId="32BD075A" w14:textId="77777777">
        <w:trPr>
          <w:divId w:val="1684360448"/>
          <w:trHeight w:val="225"/>
          <w:tblCellSpacing w:w="15" w:type="dxa"/>
          <w:jc w:val="center"/>
        </w:trPr>
        <w:tc>
          <w:tcPr>
            <w:tcW w:w="0" w:type="auto"/>
            <w:tcBorders>
              <w:bottom w:val="single" w:sz="6" w:space="0" w:color="auto"/>
            </w:tcBorders>
            <w:vAlign w:val="bottom"/>
            <w:hideMark/>
          </w:tcPr>
          <w:p w14:paraId="043CB35D" w14:textId="77777777" w:rsidR="002B5D06" w:rsidRDefault="000B69DD">
            <w:pPr>
              <w:pStyle w:val="NormalWeb"/>
              <w:spacing w:before="0" w:beforeAutospacing="0" w:after="0" w:afterAutospacing="0"/>
              <w:rPr>
                <w:sz w:val="20"/>
                <w:szCs w:val="20"/>
              </w:rPr>
            </w:pPr>
            <w:r>
              <w:rPr>
                <w:rStyle w:val="Strong"/>
                <w:sz w:val="20"/>
                <w:szCs w:val="20"/>
              </w:rPr>
              <w:t>Year</w:t>
            </w:r>
          </w:p>
        </w:tc>
        <w:tc>
          <w:tcPr>
            <w:tcW w:w="0" w:type="auto"/>
            <w:noWrap/>
            <w:vAlign w:val="center"/>
            <w:hideMark/>
          </w:tcPr>
          <w:p w14:paraId="27B9B640"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A918952" w14:textId="77777777" w:rsidR="002B5D06" w:rsidRDefault="000B69DD">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5C4DE0FC" w14:textId="77777777" w:rsidR="002B5D06" w:rsidRDefault="000B69DD">
            <w:pPr>
              <w:pStyle w:val="NormalWeb"/>
              <w:spacing w:before="0" w:beforeAutospacing="0" w:after="0" w:afterAutospacing="0"/>
              <w:rPr>
                <w:sz w:val="20"/>
                <w:szCs w:val="20"/>
              </w:rPr>
            </w:pPr>
            <w:r>
              <w:rPr>
                <w:sz w:val="20"/>
                <w:szCs w:val="20"/>
              </w:rPr>
              <w:t> </w:t>
            </w:r>
          </w:p>
        </w:tc>
      </w:tr>
      <w:tr w:rsidR="002B5D06" w14:paraId="16A5755A" w14:textId="77777777">
        <w:trPr>
          <w:divId w:val="1684360448"/>
          <w:trHeight w:val="225"/>
          <w:tblCellSpacing w:w="15" w:type="dxa"/>
          <w:jc w:val="center"/>
        </w:trPr>
        <w:tc>
          <w:tcPr>
            <w:tcW w:w="0" w:type="auto"/>
            <w:shd w:val="clear" w:color="auto" w:fill="CCEEFF"/>
            <w:hideMark/>
          </w:tcPr>
          <w:p w14:paraId="18CFDF70" w14:textId="77777777" w:rsidR="002B5D06" w:rsidRDefault="000B69DD">
            <w:pPr>
              <w:pStyle w:val="NormalWeb"/>
              <w:spacing w:before="0" w:beforeAutospacing="0" w:after="0" w:afterAutospacing="0"/>
              <w:rPr>
                <w:sz w:val="20"/>
                <w:szCs w:val="20"/>
              </w:rPr>
            </w:pPr>
            <w:r>
              <w:rPr>
                <w:sz w:val="20"/>
                <w:szCs w:val="20"/>
              </w:rPr>
              <w:t>2026</w:t>
            </w:r>
          </w:p>
        </w:tc>
        <w:tc>
          <w:tcPr>
            <w:tcW w:w="50" w:type="pct"/>
            <w:shd w:val="clear" w:color="auto" w:fill="CCEEFF"/>
            <w:noWrap/>
            <w:vAlign w:val="center"/>
            <w:hideMark/>
          </w:tcPr>
          <w:p w14:paraId="79BB9A0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D123181"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2E01E5AD"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9D4E016" w14:textId="77777777" w:rsidR="002B5D06" w:rsidRDefault="000B69DD">
            <w:pPr>
              <w:pStyle w:val="NormalWeb"/>
              <w:spacing w:before="0" w:beforeAutospacing="0" w:after="0" w:afterAutospacing="0"/>
              <w:rPr>
                <w:sz w:val="20"/>
                <w:szCs w:val="20"/>
              </w:rPr>
            </w:pPr>
            <w:r>
              <w:rPr>
                <w:sz w:val="20"/>
                <w:szCs w:val="20"/>
              </w:rPr>
              <w:t> </w:t>
            </w:r>
          </w:p>
        </w:tc>
      </w:tr>
      <w:tr w:rsidR="002B5D06" w14:paraId="5C8E0810" w14:textId="77777777">
        <w:trPr>
          <w:divId w:val="1684360448"/>
          <w:trHeight w:val="225"/>
          <w:tblCellSpacing w:w="15" w:type="dxa"/>
          <w:jc w:val="center"/>
        </w:trPr>
        <w:tc>
          <w:tcPr>
            <w:tcW w:w="0" w:type="auto"/>
            <w:shd w:val="clear" w:color="auto" w:fill="FFFFFF"/>
            <w:hideMark/>
          </w:tcPr>
          <w:p w14:paraId="6493AA80" w14:textId="77777777" w:rsidR="002B5D06" w:rsidRDefault="000B69DD">
            <w:pPr>
              <w:pStyle w:val="NormalWeb"/>
              <w:spacing w:before="0" w:beforeAutospacing="0" w:after="0" w:afterAutospacing="0"/>
              <w:rPr>
                <w:sz w:val="20"/>
                <w:szCs w:val="20"/>
              </w:rPr>
            </w:pPr>
            <w:r>
              <w:rPr>
                <w:sz w:val="20"/>
                <w:szCs w:val="20"/>
              </w:rPr>
              <w:t>2027</w:t>
            </w:r>
          </w:p>
        </w:tc>
        <w:tc>
          <w:tcPr>
            <w:tcW w:w="50" w:type="pct"/>
            <w:shd w:val="clear" w:color="auto" w:fill="FFFFFF"/>
            <w:noWrap/>
            <w:vAlign w:val="center"/>
            <w:hideMark/>
          </w:tcPr>
          <w:p w14:paraId="1000E22B"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CF15428"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21362F6A" w14:textId="77777777" w:rsidR="002B5D06" w:rsidRDefault="000B69DD">
            <w:pPr>
              <w:jc w:val="right"/>
              <w:rPr>
                <w:rFonts w:eastAsia="Times New Roman"/>
                <w:sz w:val="20"/>
                <w:szCs w:val="20"/>
              </w:rPr>
            </w:pPr>
            <w:r>
              <w:rPr>
                <w:rFonts w:eastAsia="Times New Roman"/>
                <w:sz w:val="20"/>
                <w:szCs w:val="20"/>
              </w:rPr>
              <w:t>127,029</w:t>
            </w:r>
          </w:p>
        </w:tc>
        <w:tc>
          <w:tcPr>
            <w:tcW w:w="50" w:type="pct"/>
            <w:shd w:val="clear" w:color="auto" w:fill="FFFFFF"/>
            <w:noWrap/>
            <w:tcMar>
              <w:top w:w="0" w:type="dxa"/>
              <w:left w:w="0" w:type="dxa"/>
              <w:bottom w:w="15" w:type="dxa"/>
              <w:right w:w="0" w:type="dxa"/>
            </w:tcMar>
            <w:vAlign w:val="center"/>
            <w:hideMark/>
          </w:tcPr>
          <w:p w14:paraId="36C5C7C8" w14:textId="77777777" w:rsidR="002B5D06" w:rsidRDefault="000B69DD">
            <w:pPr>
              <w:pStyle w:val="NormalWeb"/>
              <w:spacing w:before="0" w:beforeAutospacing="0" w:after="0" w:afterAutospacing="0"/>
              <w:rPr>
                <w:sz w:val="20"/>
                <w:szCs w:val="20"/>
              </w:rPr>
            </w:pPr>
            <w:r>
              <w:rPr>
                <w:sz w:val="20"/>
                <w:szCs w:val="20"/>
              </w:rPr>
              <w:t> </w:t>
            </w:r>
          </w:p>
        </w:tc>
      </w:tr>
      <w:tr w:rsidR="002B5D06" w14:paraId="33776D79" w14:textId="77777777">
        <w:trPr>
          <w:divId w:val="1684360448"/>
          <w:trHeight w:val="225"/>
          <w:tblCellSpacing w:w="15" w:type="dxa"/>
          <w:jc w:val="center"/>
        </w:trPr>
        <w:tc>
          <w:tcPr>
            <w:tcW w:w="0" w:type="auto"/>
            <w:shd w:val="clear" w:color="auto" w:fill="CCEEFF"/>
            <w:hideMark/>
          </w:tcPr>
          <w:p w14:paraId="4FD847CC" w14:textId="77777777" w:rsidR="002B5D06" w:rsidRDefault="000B69DD">
            <w:pPr>
              <w:pStyle w:val="NormalWeb"/>
              <w:spacing w:before="0" w:beforeAutospacing="0" w:after="0" w:afterAutospacing="0"/>
              <w:rPr>
                <w:sz w:val="20"/>
                <w:szCs w:val="20"/>
              </w:rPr>
            </w:pPr>
            <w:r>
              <w:rPr>
                <w:sz w:val="20"/>
                <w:szCs w:val="20"/>
              </w:rPr>
              <w:t>Total</w:t>
            </w:r>
          </w:p>
        </w:tc>
        <w:tc>
          <w:tcPr>
            <w:tcW w:w="50" w:type="pct"/>
            <w:shd w:val="clear" w:color="auto" w:fill="CCEEFF"/>
            <w:noWrap/>
            <w:vAlign w:val="center"/>
            <w:hideMark/>
          </w:tcPr>
          <w:p w14:paraId="37472BD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06A6D17"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4DE7E0D9" w14:textId="77777777" w:rsidR="002B5D06" w:rsidRDefault="000B69DD">
            <w:pPr>
              <w:jc w:val="right"/>
              <w:rPr>
                <w:rFonts w:eastAsia="Times New Roman"/>
                <w:sz w:val="20"/>
                <w:szCs w:val="20"/>
              </w:rPr>
            </w:pPr>
            <w:r>
              <w:rPr>
                <w:rFonts w:eastAsia="Times New Roman"/>
                <w:sz w:val="20"/>
                <w:szCs w:val="20"/>
              </w:rPr>
              <w:t>127,029</w:t>
            </w:r>
          </w:p>
        </w:tc>
        <w:tc>
          <w:tcPr>
            <w:tcW w:w="50" w:type="pct"/>
            <w:shd w:val="clear" w:color="auto" w:fill="CCEEFF"/>
            <w:noWrap/>
            <w:vAlign w:val="center"/>
            <w:hideMark/>
          </w:tcPr>
          <w:p w14:paraId="53A9C856" w14:textId="77777777" w:rsidR="002B5D06" w:rsidRDefault="000B69DD">
            <w:pPr>
              <w:pStyle w:val="NormalWeb"/>
              <w:spacing w:before="0" w:beforeAutospacing="0" w:after="0" w:afterAutospacing="0"/>
              <w:rPr>
                <w:sz w:val="20"/>
                <w:szCs w:val="20"/>
              </w:rPr>
            </w:pPr>
            <w:r>
              <w:rPr>
                <w:sz w:val="20"/>
                <w:szCs w:val="20"/>
              </w:rPr>
              <w:t> </w:t>
            </w:r>
          </w:p>
        </w:tc>
      </w:tr>
      <w:tr w:rsidR="002B5D06" w14:paraId="4D9A0898" w14:textId="77777777">
        <w:trPr>
          <w:divId w:val="1684360448"/>
          <w:trHeight w:val="225"/>
          <w:tblCellSpacing w:w="15" w:type="dxa"/>
          <w:jc w:val="center"/>
        </w:trPr>
        <w:tc>
          <w:tcPr>
            <w:tcW w:w="0" w:type="auto"/>
            <w:shd w:val="clear" w:color="auto" w:fill="FFFFFF"/>
            <w:hideMark/>
          </w:tcPr>
          <w:p w14:paraId="07AF99D2" w14:textId="77777777" w:rsidR="002B5D06" w:rsidRDefault="000B69DD">
            <w:pPr>
              <w:pStyle w:val="NormalWeb"/>
              <w:spacing w:before="0" w:beforeAutospacing="0" w:after="0" w:afterAutospacing="0"/>
              <w:rPr>
                <w:sz w:val="20"/>
                <w:szCs w:val="20"/>
              </w:rPr>
            </w:pPr>
            <w:r>
              <w:rPr>
                <w:sz w:val="20"/>
                <w:szCs w:val="20"/>
              </w:rPr>
              <w:t>Less: Long-term portion of notes payable</w:t>
            </w:r>
          </w:p>
        </w:tc>
        <w:tc>
          <w:tcPr>
            <w:tcW w:w="50" w:type="pct"/>
            <w:shd w:val="clear" w:color="auto" w:fill="FFFFFF"/>
            <w:noWrap/>
            <w:vAlign w:val="center"/>
            <w:hideMark/>
          </w:tcPr>
          <w:p w14:paraId="76ACBF1D"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C2CB3B8"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9F7812C"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67233AF7" w14:textId="77777777" w:rsidR="002B5D06" w:rsidRDefault="000B69DD">
            <w:pPr>
              <w:pStyle w:val="NormalWeb"/>
              <w:spacing w:before="0" w:beforeAutospacing="0" w:after="0" w:afterAutospacing="0"/>
              <w:rPr>
                <w:sz w:val="20"/>
                <w:szCs w:val="20"/>
              </w:rPr>
            </w:pPr>
            <w:r>
              <w:rPr>
                <w:sz w:val="20"/>
                <w:szCs w:val="20"/>
              </w:rPr>
              <w:t> </w:t>
            </w:r>
          </w:p>
        </w:tc>
      </w:tr>
      <w:tr w:rsidR="002B5D06" w14:paraId="366EC118" w14:textId="77777777">
        <w:trPr>
          <w:divId w:val="1684360448"/>
          <w:trHeight w:val="225"/>
          <w:tblCellSpacing w:w="15" w:type="dxa"/>
          <w:jc w:val="center"/>
        </w:trPr>
        <w:tc>
          <w:tcPr>
            <w:tcW w:w="0" w:type="auto"/>
            <w:shd w:val="clear" w:color="auto" w:fill="CCEEFF"/>
            <w:hideMark/>
          </w:tcPr>
          <w:p w14:paraId="29489A85" w14:textId="77777777" w:rsidR="002B5D06" w:rsidRDefault="000B69DD">
            <w:pPr>
              <w:pStyle w:val="NormalWeb"/>
              <w:spacing w:before="0" w:beforeAutospacing="0" w:after="0" w:afterAutospacing="0"/>
              <w:rPr>
                <w:sz w:val="20"/>
                <w:szCs w:val="20"/>
              </w:rPr>
            </w:pPr>
            <w:r>
              <w:rPr>
                <w:sz w:val="20"/>
                <w:szCs w:val="20"/>
              </w:rPr>
              <w:t>Notes payable, current portion</w:t>
            </w:r>
          </w:p>
        </w:tc>
        <w:tc>
          <w:tcPr>
            <w:tcW w:w="50" w:type="pct"/>
            <w:shd w:val="clear" w:color="auto" w:fill="CCEEFF"/>
            <w:noWrap/>
            <w:vAlign w:val="center"/>
            <w:hideMark/>
          </w:tcPr>
          <w:p w14:paraId="615C97FD"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383F9D2D"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7B7DA022" w14:textId="77777777" w:rsidR="002B5D06" w:rsidRDefault="000B69DD">
            <w:pPr>
              <w:jc w:val="right"/>
              <w:rPr>
                <w:rFonts w:eastAsia="Times New Roman"/>
                <w:sz w:val="20"/>
                <w:szCs w:val="20"/>
              </w:rPr>
            </w:pPr>
            <w:r>
              <w:rPr>
                <w:rFonts w:eastAsia="Times New Roman"/>
                <w:sz w:val="20"/>
                <w:szCs w:val="20"/>
              </w:rPr>
              <w:t>127,029</w:t>
            </w:r>
          </w:p>
        </w:tc>
        <w:tc>
          <w:tcPr>
            <w:tcW w:w="50" w:type="pct"/>
            <w:shd w:val="clear" w:color="auto" w:fill="CCEEFF"/>
            <w:noWrap/>
            <w:tcMar>
              <w:top w:w="0" w:type="dxa"/>
              <w:left w:w="0" w:type="dxa"/>
              <w:bottom w:w="45" w:type="dxa"/>
              <w:right w:w="0" w:type="dxa"/>
            </w:tcMar>
            <w:vAlign w:val="center"/>
            <w:hideMark/>
          </w:tcPr>
          <w:p w14:paraId="1D7541EC" w14:textId="77777777" w:rsidR="002B5D06" w:rsidRDefault="000B69DD">
            <w:pPr>
              <w:pStyle w:val="NormalWeb"/>
              <w:spacing w:before="0" w:beforeAutospacing="0" w:after="0" w:afterAutospacing="0"/>
              <w:rPr>
                <w:sz w:val="20"/>
                <w:szCs w:val="20"/>
              </w:rPr>
            </w:pPr>
            <w:r>
              <w:rPr>
                <w:sz w:val="20"/>
                <w:szCs w:val="20"/>
              </w:rPr>
              <w:t> </w:t>
            </w:r>
          </w:p>
        </w:tc>
      </w:tr>
    </w:tbl>
    <w:p w14:paraId="51F27EB3"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EF36FB8" w14:textId="77777777" w:rsidR="002B5D06" w:rsidRDefault="000B69DD">
      <w:pPr>
        <w:pStyle w:val="NormalWeb"/>
        <w:spacing w:before="0" w:beforeAutospacing="0" w:after="0" w:afterAutospacing="0"/>
        <w:jc w:val="both"/>
        <w:divId w:val="1684360448"/>
        <w:rPr>
          <w:sz w:val="20"/>
          <w:szCs w:val="20"/>
        </w:rPr>
      </w:pPr>
      <w:r>
        <w:rPr>
          <w:sz w:val="20"/>
          <w:szCs w:val="20"/>
        </w:rPr>
        <w:t>The amounts stated reflect the Company’s commitments in the currencies that those commitments were made and the amounts are an estimate of what the US dollar amount would be if the currency rates did not change going forward.</w:t>
      </w:r>
    </w:p>
    <w:p w14:paraId="3C11C5C1"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0DC43C6"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NOTE 7 - INCOME TAXES:</w:t>
      </w:r>
    </w:p>
    <w:p w14:paraId="6D20C16B"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CA91272" w14:textId="77777777" w:rsidR="002B5D06" w:rsidRDefault="000B69DD">
      <w:pPr>
        <w:pStyle w:val="NormalWeb"/>
        <w:spacing w:before="0" w:beforeAutospacing="0" w:after="0" w:afterAutospacing="0"/>
        <w:jc w:val="both"/>
        <w:divId w:val="1684360448"/>
        <w:rPr>
          <w:sz w:val="20"/>
          <w:szCs w:val="20"/>
        </w:rPr>
      </w:pPr>
      <w:r>
        <w:rPr>
          <w:sz w:val="20"/>
          <w:szCs w:val="20"/>
        </w:rPr>
        <w:t>As of June 30, 2025, the Company had federal and state net operating loss carryforwards of approximately $20,752,040 of which approximately $654,734 may be utilized to offset future taxable income. Section 382 of the Internal Revenue Code imposes substantial restrictions on the utilization of net operating loss and tax credit carryforwards when a change in ownership occurs. No deferred tax assets have been recorded because it is considered unlikely that they will be realized. The loss carryforwards will expire during the fiscal years ended June 30 as follows:</w:t>
      </w:r>
    </w:p>
    <w:p w14:paraId="1D355A89"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8120"/>
        <w:gridCol w:w="120"/>
        <w:gridCol w:w="131"/>
        <w:gridCol w:w="854"/>
        <w:gridCol w:w="135"/>
      </w:tblGrid>
      <w:tr w:rsidR="002B5D06" w14:paraId="244FCA8B" w14:textId="77777777">
        <w:trPr>
          <w:divId w:val="1684360448"/>
          <w:trHeight w:val="225"/>
          <w:tblCellSpacing w:w="15" w:type="dxa"/>
          <w:jc w:val="center"/>
        </w:trPr>
        <w:tc>
          <w:tcPr>
            <w:tcW w:w="0" w:type="auto"/>
            <w:tcBorders>
              <w:bottom w:val="single" w:sz="6" w:space="0" w:color="auto"/>
            </w:tcBorders>
            <w:vAlign w:val="bottom"/>
            <w:hideMark/>
          </w:tcPr>
          <w:p w14:paraId="22DEF950" w14:textId="77777777" w:rsidR="002B5D06" w:rsidRDefault="000B69DD">
            <w:pPr>
              <w:pStyle w:val="NormalWeb"/>
              <w:spacing w:before="0" w:beforeAutospacing="0" w:after="0" w:afterAutospacing="0"/>
              <w:rPr>
                <w:sz w:val="20"/>
                <w:szCs w:val="20"/>
              </w:rPr>
            </w:pPr>
            <w:r>
              <w:rPr>
                <w:rStyle w:val="Strong"/>
                <w:sz w:val="20"/>
                <w:szCs w:val="20"/>
              </w:rPr>
              <w:t>Year</w:t>
            </w:r>
          </w:p>
        </w:tc>
        <w:tc>
          <w:tcPr>
            <w:tcW w:w="0" w:type="auto"/>
            <w:noWrap/>
            <w:vAlign w:val="center"/>
            <w:hideMark/>
          </w:tcPr>
          <w:p w14:paraId="5F0F26BC"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34DEEBC" w14:textId="77777777" w:rsidR="002B5D06" w:rsidRDefault="000B69DD">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3FCC867A" w14:textId="77777777" w:rsidR="002B5D06" w:rsidRDefault="000B69DD">
            <w:pPr>
              <w:pStyle w:val="NormalWeb"/>
              <w:spacing w:before="0" w:beforeAutospacing="0" w:after="0" w:afterAutospacing="0"/>
              <w:rPr>
                <w:sz w:val="20"/>
                <w:szCs w:val="20"/>
              </w:rPr>
            </w:pPr>
            <w:r>
              <w:rPr>
                <w:sz w:val="20"/>
                <w:szCs w:val="20"/>
              </w:rPr>
              <w:t> </w:t>
            </w:r>
          </w:p>
        </w:tc>
      </w:tr>
      <w:tr w:rsidR="002B5D06" w14:paraId="52F860AA" w14:textId="77777777">
        <w:trPr>
          <w:divId w:val="1684360448"/>
          <w:trHeight w:val="225"/>
          <w:tblCellSpacing w:w="15" w:type="dxa"/>
          <w:jc w:val="center"/>
        </w:trPr>
        <w:tc>
          <w:tcPr>
            <w:tcW w:w="0" w:type="auto"/>
            <w:shd w:val="clear" w:color="auto" w:fill="CCEEFF"/>
            <w:hideMark/>
          </w:tcPr>
          <w:p w14:paraId="2419F045" w14:textId="77777777" w:rsidR="002B5D06" w:rsidRDefault="000B69DD">
            <w:pPr>
              <w:pStyle w:val="NormalWeb"/>
              <w:spacing w:before="0" w:beforeAutospacing="0" w:after="0" w:afterAutospacing="0"/>
              <w:rPr>
                <w:sz w:val="20"/>
                <w:szCs w:val="20"/>
              </w:rPr>
            </w:pPr>
            <w:r>
              <w:rPr>
                <w:sz w:val="20"/>
                <w:szCs w:val="20"/>
              </w:rPr>
              <w:t>2025</w:t>
            </w:r>
          </w:p>
        </w:tc>
        <w:tc>
          <w:tcPr>
            <w:tcW w:w="50" w:type="pct"/>
            <w:shd w:val="clear" w:color="auto" w:fill="CCEEFF"/>
            <w:noWrap/>
            <w:vAlign w:val="center"/>
            <w:hideMark/>
          </w:tcPr>
          <w:p w14:paraId="12233C45"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bottom"/>
            <w:hideMark/>
          </w:tcPr>
          <w:p w14:paraId="6CCBD531" w14:textId="77777777" w:rsidR="002B5D06" w:rsidRDefault="000B69DD">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CCEEFF"/>
            <w:vAlign w:val="bottom"/>
            <w:hideMark/>
          </w:tcPr>
          <w:p w14:paraId="62BEA67E"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47062CFA" w14:textId="77777777" w:rsidR="002B5D06" w:rsidRDefault="000B69DD">
            <w:pPr>
              <w:pStyle w:val="NormalWeb"/>
              <w:spacing w:before="0" w:beforeAutospacing="0" w:after="0" w:afterAutospacing="0"/>
              <w:rPr>
                <w:sz w:val="20"/>
                <w:szCs w:val="20"/>
              </w:rPr>
            </w:pPr>
            <w:r>
              <w:rPr>
                <w:sz w:val="20"/>
                <w:szCs w:val="20"/>
              </w:rPr>
              <w:t> </w:t>
            </w:r>
          </w:p>
        </w:tc>
      </w:tr>
      <w:tr w:rsidR="002B5D06" w14:paraId="62D2FDCE" w14:textId="77777777">
        <w:trPr>
          <w:divId w:val="1684360448"/>
          <w:trHeight w:val="225"/>
          <w:tblCellSpacing w:w="15" w:type="dxa"/>
          <w:jc w:val="center"/>
        </w:trPr>
        <w:tc>
          <w:tcPr>
            <w:tcW w:w="0" w:type="auto"/>
            <w:shd w:val="clear" w:color="auto" w:fill="FFFFFF"/>
            <w:hideMark/>
          </w:tcPr>
          <w:p w14:paraId="1DA13E8A" w14:textId="77777777" w:rsidR="002B5D06" w:rsidRDefault="000B69DD">
            <w:pPr>
              <w:pStyle w:val="NormalWeb"/>
              <w:spacing w:before="0" w:beforeAutospacing="0" w:after="0" w:afterAutospacing="0"/>
              <w:rPr>
                <w:sz w:val="20"/>
                <w:szCs w:val="20"/>
              </w:rPr>
            </w:pPr>
            <w:r>
              <w:rPr>
                <w:sz w:val="20"/>
                <w:szCs w:val="20"/>
              </w:rPr>
              <w:t>Total</w:t>
            </w:r>
          </w:p>
        </w:tc>
        <w:tc>
          <w:tcPr>
            <w:tcW w:w="50" w:type="pct"/>
            <w:shd w:val="clear" w:color="auto" w:fill="FFFFFF"/>
            <w:noWrap/>
            <w:vAlign w:val="center"/>
            <w:hideMark/>
          </w:tcPr>
          <w:p w14:paraId="4DE8F35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7CCD6909" w14:textId="77777777" w:rsidR="002B5D06" w:rsidRDefault="000B69DD">
            <w:pPr>
              <w:rPr>
                <w:rFonts w:eastAsia="Times New Roman"/>
                <w:sz w:val="20"/>
                <w:szCs w:val="20"/>
              </w:rPr>
            </w:pPr>
            <w:r>
              <w:rPr>
                <w:rFonts w:eastAsia="Times New Roman"/>
                <w:sz w:val="20"/>
                <w:szCs w:val="20"/>
              </w:rPr>
              <w:t>$</w:t>
            </w:r>
          </w:p>
        </w:tc>
        <w:tc>
          <w:tcPr>
            <w:tcW w:w="450" w:type="pct"/>
            <w:shd w:val="clear" w:color="auto" w:fill="FFFFFF"/>
            <w:vAlign w:val="bottom"/>
            <w:hideMark/>
          </w:tcPr>
          <w:p w14:paraId="6F438331"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0C0CD1A2" w14:textId="77777777" w:rsidR="002B5D06" w:rsidRDefault="000B69DD">
            <w:pPr>
              <w:pStyle w:val="NormalWeb"/>
              <w:spacing w:before="0" w:beforeAutospacing="0" w:after="0" w:afterAutospacing="0"/>
              <w:rPr>
                <w:sz w:val="20"/>
                <w:szCs w:val="20"/>
              </w:rPr>
            </w:pPr>
            <w:r>
              <w:rPr>
                <w:sz w:val="20"/>
                <w:szCs w:val="20"/>
              </w:rPr>
              <w:t> </w:t>
            </w:r>
          </w:p>
        </w:tc>
      </w:tr>
    </w:tbl>
    <w:p w14:paraId="535FAC64"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18654907" w14:textId="77777777" w:rsidR="002B5D06" w:rsidRDefault="000B69DD">
      <w:pPr>
        <w:pStyle w:val="NormalWeb"/>
        <w:spacing w:before="0" w:beforeAutospacing="0" w:after="0" w:afterAutospacing="0"/>
        <w:jc w:val="both"/>
        <w:divId w:val="1684360448"/>
        <w:rPr>
          <w:sz w:val="20"/>
          <w:szCs w:val="20"/>
        </w:rPr>
      </w:pPr>
      <w:r>
        <w:rPr>
          <w:sz w:val="20"/>
          <w:szCs w:val="20"/>
        </w:rPr>
        <w:t>The overall effective tax rate differs from the federal statutory tax rate of 21% due to operating losses and other deferred assets not providing benefit for income tax purposes.</w:t>
      </w:r>
    </w:p>
    <w:p w14:paraId="00AF5D13"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29258F9" w14:textId="77777777" w:rsidR="002B5D06" w:rsidRDefault="000B69DD">
      <w:pPr>
        <w:pStyle w:val="NormalWeb"/>
        <w:spacing w:before="0" w:beforeAutospacing="0" w:after="0" w:afterAutospacing="0"/>
        <w:jc w:val="both"/>
        <w:divId w:val="1684360448"/>
        <w:rPr>
          <w:sz w:val="20"/>
          <w:szCs w:val="20"/>
        </w:rPr>
      </w:pPr>
      <w:r>
        <w:rPr>
          <w:sz w:val="20"/>
          <w:szCs w:val="20"/>
        </w:rPr>
        <w:t>A reconciliation of income tax expense at the federal statutory rate to income tax expense at the Company’s effective rate is as follows at June 30, 2025 and 2024:</w:t>
      </w:r>
    </w:p>
    <w:p w14:paraId="236C35B5"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09"/>
        <w:gridCol w:w="99"/>
        <w:gridCol w:w="99"/>
        <w:gridCol w:w="823"/>
        <w:gridCol w:w="197"/>
        <w:gridCol w:w="99"/>
        <w:gridCol w:w="99"/>
        <w:gridCol w:w="823"/>
        <w:gridCol w:w="212"/>
      </w:tblGrid>
      <w:tr w:rsidR="002B5D06" w14:paraId="14C34D19" w14:textId="77777777">
        <w:trPr>
          <w:divId w:val="1684360448"/>
          <w:trHeight w:val="225"/>
          <w:tblCellSpacing w:w="15" w:type="dxa"/>
          <w:jc w:val="center"/>
        </w:trPr>
        <w:tc>
          <w:tcPr>
            <w:tcW w:w="0" w:type="auto"/>
            <w:vAlign w:val="center"/>
            <w:hideMark/>
          </w:tcPr>
          <w:p w14:paraId="09551941"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20B68471"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503B4E0" w14:textId="77777777" w:rsidR="002B5D06" w:rsidRDefault="000B69DD">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4A3EB656"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62E5ED96"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9D8865C" w14:textId="77777777" w:rsidR="002B5D06" w:rsidRDefault="000B69DD">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72A73C5A" w14:textId="77777777" w:rsidR="002B5D06" w:rsidRDefault="000B69DD">
            <w:pPr>
              <w:pStyle w:val="NormalWeb"/>
              <w:spacing w:before="0" w:beforeAutospacing="0" w:after="0" w:afterAutospacing="0"/>
              <w:rPr>
                <w:sz w:val="20"/>
                <w:szCs w:val="20"/>
              </w:rPr>
            </w:pPr>
            <w:r>
              <w:rPr>
                <w:sz w:val="20"/>
                <w:szCs w:val="20"/>
              </w:rPr>
              <w:t> </w:t>
            </w:r>
          </w:p>
        </w:tc>
      </w:tr>
      <w:tr w:rsidR="002B5D06" w14:paraId="2895D37F" w14:textId="77777777">
        <w:trPr>
          <w:divId w:val="1684360448"/>
          <w:trHeight w:val="225"/>
          <w:tblCellSpacing w:w="15" w:type="dxa"/>
          <w:jc w:val="center"/>
        </w:trPr>
        <w:tc>
          <w:tcPr>
            <w:tcW w:w="0" w:type="auto"/>
            <w:shd w:val="clear" w:color="auto" w:fill="CCEEFF"/>
            <w:hideMark/>
          </w:tcPr>
          <w:p w14:paraId="23716A10" w14:textId="77777777" w:rsidR="002B5D06" w:rsidRDefault="000B69DD">
            <w:pPr>
              <w:pStyle w:val="NormalWeb"/>
              <w:spacing w:before="0" w:beforeAutospacing="0" w:after="0" w:afterAutospacing="0"/>
              <w:rPr>
                <w:sz w:val="20"/>
                <w:szCs w:val="20"/>
              </w:rPr>
            </w:pPr>
            <w:r>
              <w:rPr>
                <w:sz w:val="20"/>
                <w:szCs w:val="20"/>
              </w:rPr>
              <w:t>United States Statutory Income Tax Rate</w:t>
            </w:r>
          </w:p>
        </w:tc>
        <w:tc>
          <w:tcPr>
            <w:tcW w:w="50" w:type="pct"/>
            <w:shd w:val="clear" w:color="auto" w:fill="CCEEFF"/>
            <w:noWrap/>
            <w:vAlign w:val="center"/>
            <w:hideMark/>
          </w:tcPr>
          <w:p w14:paraId="50FEA13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37B4D56"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C52C957" w14:textId="77777777" w:rsidR="002B5D06" w:rsidRDefault="000B69DD">
            <w:pPr>
              <w:jc w:val="right"/>
              <w:rPr>
                <w:rFonts w:eastAsia="Times New Roman"/>
                <w:sz w:val="20"/>
                <w:szCs w:val="20"/>
              </w:rPr>
            </w:pPr>
            <w:r>
              <w:rPr>
                <w:rFonts w:eastAsia="Times New Roman"/>
                <w:sz w:val="20"/>
                <w:szCs w:val="20"/>
              </w:rPr>
              <w:t>21</w:t>
            </w:r>
          </w:p>
        </w:tc>
        <w:tc>
          <w:tcPr>
            <w:tcW w:w="50" w:type="pct"/>
            <w:shd w:val="clear" w:color="auto" w:fill="CCEEFF"/>
            <w:noWrap/>
            <w:vAlign w:val="bottom"/>
            <w:hideMark/>
          </w:tcPr>
          <w:p w14:paraId="4F02D410" w14:textId="77777777" w:rsidR="002B5D06" w:rsidRDefault="000B69DD">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3A8E524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0F6B620"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3B59EAD" w14:textId="77777777" w:rsidR="002B5D06" w:rsidRDefault="000B69DD">
            <w:pPr>
              <w:jc w:val="right"/>
              <w:rPr>
                <w:rFonts w:eastAsia="Times New Roman"/>
                <w:sz w:val="20"/>
                <w:szCs w:val="20"/>
              </w:rPr>
            </w:pPr>
            <w:r>
              <w:rPr>
                <w:rFonts w:eastAsia="Times New Roman"/>
                <w:sz w:val="20"/>
                <w:szCs w:val="20"/>
              </w:rPr>
              <w:t>21</w:t>
            </w:r>
          </w:p>
        </w:tc>
        <w:tc>
          <w:tcPr>
            <w:tcW w:w="50" w:type="pct"/>
            <w:shd w:val="clear" w:color="auto" w:fill="CCEEFF"/>
            <w:noWrap/>
            <w:vAlign w:val="bottom"/>
            <w:hideMark/>
          </w:tcPr>
          <w:p w14:paraId="39951D67" w14:textId="77777777" w:rsidR="002B5D06" w:rsidRDefault="000B69DD">
            <w:pPr>
              <w:rPr>
                <w:rFonts w:eastAsia="Times New Roman"/>
                <w:sz w:val="20"/>
                <w:szCs w:val="20"/>
              </w:rPr>
            </w:pPr>
            <w:r>
              <w:rPr>
                <w:rFonts w:eastAsia="Times New Roman"/>
                <w:sz w:val="20"/>
                <w:szCs w:val="20"/>
              </w:rPr>
              <w:t>%</w:t>
            </w:r>
          </w:p>
        </w:tc>
      </w:tr>
      <w:tr w:rsidR="002B5D06" w14:paraId="4F4C37EC" w14:textId="77777777">
        <w:trPr>
          <w:divId w:val="1684360448"/>
          <w:trHeight w:val="225"/>
          <w:tblCellSpacing w:w="15" w:type="dxa"/>
          <w:jc w:val="center"/>
        </w:trPr>
        <w:tc>
          <w:tcPr>
            <w:tcW w:w="0" w:type="auto"/>
            <w:shd w:val="clear" w:color="auto" w:fill="FFFFFF"/>
            <w:hideMark/>
          </w:tcPr>
          <w:p w14:paraId="16DF6D7B" w14:textId="77777777" w:rsidR="002B5D06" w:rsidRDefault="000B69DD">
            <w:pPr>
              <w:pStyle w:val="NormalWeb"/>
              <w:spacing w:before="0" w:beforeAutospacing="0" w:after="0" w:afterAutospacing="0"/>
              <w:rPr>
                <w:sz w:val="20"/>
                <w:szCs w:val="20"/>
              </w:rPr>
            </w:pPr>
            <w:r>
              <w:rPr>
                <w:sz w:val="20"/>
                <w:szCs w:val="20"/>
              </w:rPr>
              <w:t>Increase (Decrease) in rate on income subject to Danish income tax rates</w:t>
            </w:r>
          </w:p>
        </w:tc>
        <w:tc>
          <w:tcPr>
            <w:tcW w:w="50" w:type="pct"/>
            <w:shd w:val="clear" w:color="auto" w:fill="FFFFFF"/>
            <w:noWrap/>
            <w:vAlign w:val="center"/>
            <w:hideMark/>
          </w:tcPr>
          <w:p w14:paraId="1477BFF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10BDD4A"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4F353E11" w14:textId="77777777" w:rsidR="002B5D06" w:rsidRDefault="000B69DD">
            <w:pPr>
              <w:jc w:val="right"/>
              <w:rPr>
                <w:rFonts w:eastAsia="Times New Roman"/>
                <w:sz w:val="20"/>
                <w:szCs w:val="20"/>
              </w:rPr>
            </w:pPr>
            <w:r>
              <w:rPr>
                <w:rFonts w:eastAsia="Times New Roman"/>
                <w:sz w:val="20"/>
                <w:szCs w:val="20"/>
              </w:rPr>
              <w:t>1</w:t>
            </w:r>
          </w:p>
        </w:tc>
        <w:tc>
          <w:tcPr>
            <w:tcW w:w="50" w:type="pct"/>
            <w:shd w:val="clear" w:color="auto" w:fill="FFFFFF"/>
            <w:noWrap/>
            <w:vAlign w:val="bottom"/>
            <w:hideMark/>
          </w:tcPr>
          <w:p w14:paraId="489AF861" w14:textId="77777777" w:rsidR="002B5D06" w:rsidRDefault="000B69DD">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C3771C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6150FF9"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112A949" w14:textId="77777777" w:rsidR="002B5D06" w:rsidRDefault="000B69DD">
            <w:pPr>
              <w:jc w:val="right"/>
              <w:rPr>
                <w:rFonts w:eastAsia="Times New Roman"/>
                <w:sz w:val="20"/>
                <w:szCs w:val="20"/>
              </w:rPr>
            </w:pPr>
            <w:r>
              <w:rPr>
                <w:rFonts w:eastAsia="Times New Roman"/>
                <w:sz w:val="20"/>
                <w:szCs w:val="20"/>
              </w:rPr>
              <w:t>1</w:t>
            </w:r>
          </w:p>
        </w:tc>
        <w:tc>
          <w:tcPr>
            <w:tcW w:w="50" w:type="pct"/>
            <w:shd w:val="clear" w:color="auto" w:fill="FFFFFF"/>
            <w:noWrap/>
            <w:vAlign w:val="bottom"/>
            <w:hideMark/>
          </w:tcPr>
          <w:p w14:paraId="63F529AA" w14:textId="77777777" w:rsidR="002B5D06" w:rsidRDefault="000B69DD">
            <w:pPr>
              <w:rPr>
                <w:rFonts w:eastAsia="Times New Roman"/>
                <w:sz w:val="20"/>
                <w:szCs w:val="20"/>
              </w:rPr>
            </w:pPr>
            <w:r>
              <w:rPr>
                <w:rFonts w:eastAsia="Times New Roman"/>
                <w:sz w:val="20"/>
                <w:szCs w:val="20"/>
              </w:rPr>
              <w:t>%</w:t>
            </w:r>
          </w:p>
        </w:tc>
      </w:tr>
      <w:tr w:rsidR="002B5D06" w14:paraId="55A99B9C" w14:textId="77777777">
        <w:trPr>
          <w:divId w:val="1684360448"/>
          <w:trHeight w:val="225"/>
          <w:tblCellSpacing w:w="15" w:type="dxa"/>
          <w:jc w:val="center"/>
        </w:trPr>
        <w:tc>
          <w:tcPr>
            <w:tcW w:w="0" w:type="auto"/>
            <w:shd w:val="clear" w:color="auto" w:fill="CCEEFF"/>
            <w:hideMark/>
          </w:tcPr>
          <w:p w14:paraId="3A0A386B" w14:textId="77777777" w:rsidR="002B5D06" w:rsidRDefault="000B69DD">
            <w:pPr>
              <w:pStyle w:val="NormalWeb"/>
              <w:spacing w:before="0" w:beforeAutospacing="0" w:after="0" w:afterAutospacing="0"/>
              <w:rPr>
                <w:sz w:val="20"/>
                <w:szCs w:val="20"/>
              </w:rPr>
            </w:pPr>
            <w:r>
              <w:rPr>
                <w:sz w:val="20"/>
                <w:szCs w:val="20"/>
              </w:rPr>
              <w:t>Decrease in rate resulting from Non-Deductible expenses</w:t>
            </w:r>
          </w:p>
        </w:tc>
        <w:tc>
          <w:tcPr>
            <w:tcW w:w="50" w:type="pct"/>
            <w:shd w:val="clear" w:color="auto" w:fill="CCEEFF"/>
            <w:noWrap/>
            <w:vAlign w:val="center"/>
            <w:hideMark/>
          </w:tcPr>
          <w:p w14:paraId="352338F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34E0CC4"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44C804A"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5E25C7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8031DC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A9AF4A7"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75A86077"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57899F1A" w14:textId="77777777" w:rsidR="002B5D06" w:rsidRDefault="000B69DD">
            <w:pPr>
              <w:pStyle w:val="NormalWeb"/>
              <w:spacing w:before="0" w:beforeAutospacing="0" w:after="0" w:afterAutospacing="0"/>
              <w:rPr>
                <w:sz w:val="20"/>
                <w:szCs w:val="20"/>
              </w:rPr>
            </w:pPr>
            <w:r>
              <w:rPr>
                <w:sz w:val="20"/>
                <w:szCs w:val="20"/>
              </w:rPr>
              <w:t> </w:t>
            </w:r>
          </w:p>
        </w:tc>
      </w:tr>
      <w:tr w:rsidR="002B5D06" w14:paraId="28220A2A" w14:textId="77777777">
        <w:trPr>
          <w:divId w:val="1684360448"/>
          <w:trHeight w:val="225"/>
          <w:tblCellSpacing w:w="15" w:type="dxa"/>
          <w:jc w:val="center"/>
        </w:trPr>
        <w:tc>
          <w:tcPr>
            <w:tcW w:w="0" w:type="auto"/>
            <w:shd w:val="clear" w:color="auto" w:fill="FFFFFF"/>
            <w:vAlign w:val="center"/>
            <w:hideMark/>
          </w:tcPr>
          <w:p w14:paraId="66C3907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78A8C3B"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932B390"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center"/>
            <w:hideMark/>
          </w:tcPr>
          <w:p w14:paraId="491F662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549F44B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D1B995C"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6D754CF"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center"/>
            <w:hideMark/>
          </w:tcPr>
          <w:p w14:paraId="2DDD62B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2121C8D3" w14:textId="77777777" w:rsidR="002B5D06" w:rsidRDefault="000B69DD">
            <w:pPr>
              <w:pStyle w:val="NormalWeb"/>
              <w:spacing w:before="0" w:beforeAutospacing="0" w:after="0" w:afterAutospacing="0"/>
              <w:rPr>
                <w:sz w:val="20"/>
                <w:szCs w:val="20"/>
              </w:rPr>
            </w:pPr>
            <w:r>
              <w:rPr>
                <w:sz w:val="20"/>
                <w:szCs w:val="20"/>
              </w:rPr>
              <w:t> </w:t>
            </w:r>
          </w:p>
        </w:tc>
      </w:tr>
      <w:tr w:rsidR="002B5D06" w14:paraId="72849CAF" w14:textId="77777777">
        <w:trPr>
          <w:divId w:val="1684360448"/>
          <w:trHeight w:val="225"/>
          <w:tblCellSpacing w:w="15" w:type="dxa"/>
          <w:jc w:val="center"/>
        </w:trPr>
        <w:tc>
          <w:tcPr>
            <w:tcW w:w="0" w:type="auto"/>
            <w:shd w:val="clear" w:color="auto" w:fill="CCEEFF"/>
            <w:hideMark/>
          </w:tcPr>
          <w:p w14:paraId="3CECB9FC" w14:textId="77777777" w:rsidR="002B5D06" w:rsidRDefault="000B69DD">
            <w:pPr>
              <w:pStyle w:val="NormalWeb"/>
              <w:spacing w:before="0" w:beforeAutospacing="0" w:after="0" w:afterAutospacing="0"/>
              <w:ind w:left="225"/>
              <w:rPr>
                <w:sz w:val="20"/>
                <w:szCs w:val="20"/>
              </w:rPr>
            </w:pPr>
            <w:r>
              <w:rPr>
                <w:sz w:val="20"/>
                <w:szCs w:val="20"/>
              </w:rPr>
              <w:t>Income Tax Expense</w:t>
            </w:r>
          </w:p>
        </w:tc>
        <w:tc>
          <w:tcPr>
            <w:tcW w:w="50" w:type="pct"/>
            <w:shd w:val="clear" w:color="auto" w:fill="CCEEFF"/>
            <w:noWrap/>
            <w:vAlign w:val="center"/>
            <w:hideMark/>
          </w:tcPr>
          <w:p w14:paraId="60A7D262"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213EF1A4"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double" w:sz="6" w:space="0" w:color="auto"/>
            </w:tcBorders>
            <w:shd w:val="clear" w:color="auto" w:fill="CCEEFF"/>
            <w:vAlign w:val="bottom"/>
            <w:hideMark/>
          </w:tcPr>
          <w:p w14:paraId="06C8D39C" w14:textId="77777777" w:rsidR="002B5D06" w:rsidRDefault="000B69DD">
            <w:pPr>
              <w:jc w:val="right"/>
              <w:rPr>
                <w:rFonts w:eastAsia="Times New Roman"/>
                <w:sz w:val="20"/>
                <w:szCs w:val="20"/>
              </w:rPr>
            </w:pPr>
            <w:r>
              <w:rPr>
                <w:rFonts w:eastAsia="Times New Roman"/>
                <w:sz w:val="20"/>
                <w:szCs w:val="20"/>
              </w:rPr>
              <w:t>22</w:t>
            </w:r>
          </w:p>
        </w:tc>
        <w:tc>
          <w:tcPr>
            <w:tcW w:w="50" w:type="pct"/>
            <w:shd w:val="clear" w:color="auto" w:fill="CCEEFF"/>
            <w:noWrap/>
            <w:tcMar>
              <w:top w:w="0" w:type="dxa"/>
              <w:left w:w="0" w:type="dxa"/>
              <w:bottom w:w="45" w:type="dxa"/>
              <w:right w:w="0" w:type="dxa"/>
            </w:tcMar>
            <w:vAlign w:val="bottom"/>
            <w:hideMark/>
          </w:tcPr>
          <w:p w14:paraId="616AAF88" w14:textId="77777777" w:rsidR="002B5D06" w:rsidRDefault="000B69DD">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54DCE685"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39846EA8"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double" w:sz="6" w:space="0" w:color="auto"/>
            </w:tcBorders>
            <w:shd w:val="clear" w:color="auto" w:fill="CCEEFF"/>
            <w:vAlign w:val="bottom"/>
            <w:hideMark/>
          </w:tcPr>
          <w:p w14:paraId="289603EA" w14:textId="77777777" w:rsidR="002B5D06" w:rsidRDefault="000B69DD">
            <w:pPr>
              <w:jc w:val="right"/>
              <w:rPr>
                <w:rFonts w:eastAsia="Times New Roman"/>
                <w:sz w:val="20"/>
                <w:szCs w:val="20"/>
              </w:rPr>
            </w:pPr>
            <w:r>
              <w:rPr>
                <w:rFonts w:eastAsia="Times New Roman"/>
                <w:sz w:val="20"/>
                <w:szCs w:val="20"/>
              </w:rPr>
              <w:t>22</w:t>
            </w:r>
          </w:p>
        </w:tc>
        <w:tc>
          <w:tcPr>
            <w:tcW w:w="50" w:type="pct"/>
            <w:shd w:val="clear" w:color="auto" w:fill="CCEEFF"/>
            <w:noWrap/>
            <w:tcMar>
              <w:top w:w="0" w:type="dxa"/>
              <w:left w:w="0" w:type="dxa"/>
              <w:bottom w:w="45" w:type="dxa"/>
              <w:right w:w="0" w:type="dxa"/>
            </w:tcMar>
            <w:vAlign w:val="bottom"/>
            <w:hideMark/>
          </w:tcPr>
          <w:p w14:paraId="1E20FC88" w14:textId="77777777" w:rsidR="002B5D06" w:rsidRDefault="000B69DD">
            <w:pPr>
              <w:rPr>
                <w:rFonts w:eastAsia="Times New Roman"/>
                <w:sz w:val="20"/>
                <w:szCs w:val="20"/>
              </w:rPr>
            </w:pPr>
            <w:r>
              <w:rPr>
                <w:rFonts w:eastAsia="Times New Roman"/>
                <w:sz w:val="20"/>
                <w:szCs w:val="20"/>
              </w:rPr>
              <w:t>%</w:t>
            </w:r>
          </w:p>
        </w:tc>
      </w:tr>
    </w:tbl>
    <w:p w14:paraId="647BD704"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2A0F2467" w14:textId="77777777">
        <w:trPr>
          <w:divId w:val="1684360448"/>
          <w:trHeight w:val="225"/>
          <w:tblCellSpacing w:w="15" w:type="dxa"/>
          <w:jc w:val="center"/>
        </w:trPr>
        <w:tc>
          <w:tcPr>
            <w:tcW w:w="0" w:type="auto"/>
            <w:vAlign w:val="center"/>
            <w:hideMark/>
          </w:tcPr>
          <w:p w14:paraId="7DF48E97" w14:textId="77777777" w:rsidR="002B5D06" w:rsidRDefault="000B69DD">
            <w:pPr>
              <w:rPr>
                <w:rFonts w:eastAsia="Times New Roman"/>
                <w:sz w:val="20"/>
                <w:szCs w:val="20"/>
              </w:rPr>
            </w:pPr>
            <w:r>
              <w:rPr>
                <w:rFonts w:eastAsia="Times New Roman"/>
                <w:sz w:val="20"/>
                <w:szCs w:val="20"/>
              </w:rPr>
              <w:t> </w:t>
            </w:r>
          </w:p>
        </w:tc>
      </w:tr>
      <w:tr w:rsidR="002B5D06" w14:paraId="34269B9E" w14:textId="77777777">
        <w:trPr>
          <w:divId w:val="1684360448"/>
          <w:trHeight w:val="225"/>
          <w:tblCellSpacing w:w="15" w:type="dxa"/>
          <w:jc w:val="center"/>
        </w:trPr>
        <w:tc>
          <w:tcPr>
            <w:tcW w:w="0" w:type="auto"/>
            <w:tcBorders>
              <w:bottom w:val="single" w:sz="6" w:space="0" w:color="000000"/>
            </w:tcBorders>
            <w:vAlign w:val="center"/>
            <w:hideMark/>
          </w:tcPr>
          <w:p w14:paraId="21F44C7A" w14:textId="77777777" w:rsidR="002B5D06" w:rsidRDefault="000B69DD">
            <w:pPr>
              <w:jc w:val="center"/>
              <w:rPr>
                <w:rFonts w:eastAsia="Times New Roman"/>
                <w:sz w:val="20"/>
                <w:szCs w:val="20"/>
              </w:rPr>
            </w:pPr>
            <w:r>
              <w:rPr>
                <w:rFonts w:eastAsia="Times New Roman"/>
                <w:sz w:val="20"/>
                <w:szCs w:val="20"/>
              </w:rPr>
              <w:t>F-12</w:t>
            </w:r>
          </w:p>
        </w:tc>
      </w:tr>
      <w:tr w:rsidR="002B5D06" w14:paraId="7B6E7077" w14:textId="77777777">
        <w:trPr>
          <w:divId w:val="1684360448"/>
          <w:trHeight w:val="225"/>
          <w:tblCellSpacing w:w="15" w:type="dxa"/>
          <w:jc w:val="center"/>
        </w:trPr>
        <w:tc>
          <w:tcPr>
            <w:tcW w:w="0" w:type="auto"/>
            <w:vAlign w:val="center"/>
            <w:hideMark/>
          </w:tcPr>
          <w:p w14:paraId="482CD82F" w14:textId="77777777" w:rsidR="002B5D06" w:rsidRDefault="002B5D06">
            <w:pPr>
              <w:rPr>
                <w:rFonts w:eastAsia="Times New Roman"/>
                <w:sz w:val="20"/>
                <w:szCs w:val="20"/>
              </w:rPr>
            </w:pPr>
          </w:p>
        </w:tc>
      </w:tr>
      <w:tr w:rsidR="002B5D06" w14:paraId="0C743824" w14:textId="77777777">
        <w:trPr>
          <w:divId w:val="1684360448"/>
          <w:trHeight w:val="225"/>
          <w:tblCellSpacing w:w="15" w:type="dxa"/>
          <w:jc w:val="center"/>
        </w:trPr>
        <w:tc>
          <w:tcPr>
            <w:tcW w:w="0" w:type="auto"/>
            <w:vAlign w:val="center"/>
            <w:hideMark/>
          </w:tcPr>
          <w:p w14:paraId="56DD8CED" w14:textId="77777777" w:rsidR="002B5D06" w:rsidRDefault="002B5D06">
            <w:pPr>
              <w:rPr>
                <w:rFonts w:eastAsia="Times New Roman"/>
                <w:sz w:val="20"/>
                <w:szCs w:val="20"/>
              </w:rPr>
            </w:pPr>
          </w:p>
        </w:tc>
      </w:tr>
    </w:tbl>
    <w:p w14:paraId="619A80F6"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7F524CEF" w14:textId="77777777" w:rsidR="002B5D06" w:rsidRDefault="000B69DD">
      <w:pPr>
        <w:pStyle w:val="NormalWeb"/>
        <w:spacing w:before="0" w:beforeAutospacing="0" w:after="0" w:afterAutospacing="0"/>
        <w:divId w:val="1684360448"/>
        <w:rPr>
          <w:sz w:val="20"/>
          <w:szCs w:val="20"/>
        </w:rPr>
      </w:pPr>
      <w:r>
        <w:rPr>
          <w:sz w:val="20"/>
          <w:szCs w:val="20"/>
        </w:rPr>
        <w:t> </w:t>
      </w:r>
    </w:p>
    <w:p w14:paraId="135E586D" w14:textId="77777777" w:rsidR="002B5D06" w:rsidRDefault="000B69DD">
      <w:pPr>
        <w:pStyle w:val="NormalWeb"/>
        <w:spacing w:before="0" w:beforeAutospacing="0" w:after="0" w:afterAutospacing="0"/>
        <w:jc w:val="both"/>
        <w:divId w:val="1684360448"/>
        <w:rPr>
          <w:sz w:val="20"/>
          <w:szCs w:val="20"/>
        </w:rPr>
      </w:pPr>
      <w:r>
        <w:rPr>
          <w:sz w:val="20"/>
          <w:szCs w:val="20"/>
        </w:rPr>
        <w:t>The components of income tax expense (benefit) from continuing operations for the years ended June 30, 2025 and 2024 consisted of the following:</w:t>
      </w:r>
    </w:p>
    <w:p w14:paraId="2572FAC8"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2B5D06" w14:paraId="3266125B" w14:textId="77777777">
        <w:trPr>
          <w:divId w:val="1684360448"/>
          <w:trHeight w:val="225"/>
          <w:tblCellSpacing w:w="15" w:type="dxa"/>
          <w:jc w:val="center"/>
        </w:trPr>
        <w:tc>
          <w:tcPr>
            <w:tcW w:w="0" w:type="auto"/>
            <w:tcBorders>
              <w:bottom w:val="single" w:sz="6" w:space="0" w:color="auto"/>
            </w:tcBorders>
            <w:vAlign w:val="bottom"/>
            <w:hideMark/>
          </w:tcPr>
          <w:p w14:paraId="470B9270" w14:textId="77777777" w:rsidR="002B5D06" w:rsidRDefault="000B69DD">
            <w:pPr>
              <w:pStyle w:val="NormalWeb"/>
              <w:spacing w:before="0" w:beforeAutospacing="0" w:after="0" w:afterAutospacing="0"/>
              <w:rPr>
                <w:sz w:val="20"/>
                <w:szCs w:val="20"/>
              </w:rPr>
            </w:pPr>
            <w:r>
              <w:rPr>
                <w:rStyle w:val="Strong"/>
                <w:sz w:val="20"/>
                <w:szCs w:val="20"/>
              </w:rPr>
              <w:t>Current Tax Expense</w:t>
            </w:r>
          </w:p>
        </w:tc>
        <w:tc>
          <w:tcPr>
            <w:tcW w:w="0" w:type="auto"/>
            <w:noWrap/>
            <w:vAlign w:val="center"/>
            <w:hideMark/>
          </w:tcPr>
          <w:p w14:paraId="21FDACFA"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BE1C7F1" w14:textId="77777777" w:rsidR="002B5D06" w:rsidRDefault="000B69DD">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3FC02937"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49F9F374"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4FD8621" w14:textId="77777777" w:rsidR="002B5D06" w:rsidRDefault="000B69DD">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5D0F636C" w14:textId="77777777" w:rsidR="002B5D06" w:rsidRDefault="000B69DD">
            <w:pPr>
              <w:pStyle w:val="NormalWeb"/>
              <w:spacing w:before="0" w:beforeAutospacing="0" w:after="0" w:afterAutospacing="0"/>
              <w:rPr>
                <w:sz w:val="20"/>
                <w:szCs w:val="20"/>
              </w:rPr>
            </w:pPr>
            <w:r>
              <w:rPr>
                <w:sz w:val="20"/>
                <w:szCs w:val="20"/>
              </w:rPr>
              <w:t> </w:t>
            </w:r>
          </w:p>
        </w:tc>
      </w:tr>
      <w:tr w:rsidR="002B5D06" w14:paraId="4192B3A6" w14:textId="77777777">
        <w:trPr>
          <w:divId w:val="1684360448"/>
          <w:trHeight w:val="225"/>
          <w:tblCellSpacing w:w="15" w:type="dxa"/>
          <w:jc w:val="center"/>
        </w:trPr>
        <w:tc>
          <w:tcPr>
            <w:tcW w:w="0" w:type="auto"/>
            <w:shd w:val="clear" w:color="auto" w:fill="CCEEFF"/>
            <w:hideMark/>
          </w:tcPr>
          <w:p w14:paraId="10DB0B06" w14:textId="77777777" w:rsidR="002B5D06" w:rsidRDefault="000B69DD">
            <w:pPr>
              <w:pStyle w:val="NormalWeb"/>
              <w:spacing w:before="0" w:beforeAutospacing="0" w:after="0" w:afterAutospacing="0"/>
              <w:ind w:left="225"/>
              <w:rPr>
                <w:sz w:val="20"/>
                <w:szCs w:val="20"/>
              </w:rPr>
            </w:pPr>
            <w:r>
              <w:rPr>
                <w:sz w:val="20"/>
                <w:szCs w:val="20"/>
              </w:rPr>
              <w:t>Danish Income Tax Expense (Benefit)</w:t>
            </w:r>
          </w:p>
        </w:tc>
        <w:tc>
          <w:tcPr>
            <w:tcW w:w="50" w:type="pct"/>
            <w:shd w:val="clear" w:color="auto" w:fill="CCEEFF"/>
            <w:noWrap/>
            <w:vAlign w:val="center"/>
            <w:hideMark/>
          </w:tcPr>
          <w:p w14:paraId="3E42901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A9F8573"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74CF493E" w14:textId="77777777" w:rsidR="002B5D06" w:rsidRDefault="000B69DD">
            <w:pPr>
              <w:jc w:val="right"/>
              <w:rPr>
                <w:rFonts w:eastAsia="Times New Roman"/>
                <w:sz w:val="20"/>
                <w:szCs w:val="20"/>
              </w:rPr>
            </w:pPr>
            <w:r>
              <w:rPr>
                <w:rFonts w:eastAsia="Times New Roman"/>
                <w:sz w:val="20"/>
                <w:szCs w:val="20"/>
              </w:rPr>
              <w:t>9,985</w:t>
            </w:r>
          </w:p>
        </w:tc>
        <w:tc>
          <w:tcPr>
            <w:tcW w:w="50" w:type="pct"/>
            <w:shd w:val="clear" w:color="auto" w:fill="CCEEFF"/>
            <w:noWrap/>
            <w:vAlign w:val="center"/>
            <w:hideMark/>
          </w:tcPr>
          <w:p w14:paraId="4F39BFC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57E9FE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5CA9CF2"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18F3B2FA" w14:textId="77777777" w:rsidR="002B5D06" w:rsidRDefault="000B69DD">
            <w:pPr>
              <w:jc w:val="right"/>
              <w:rPr>
                <w:rFonts w:eastAsia="Times New Roman"/>
                <w:sz w:val="20"/>
                <w:szCs w:val="20"/>
              </w:rPr>
            </w:pPr>
            <w:r>
              <w:rPr>
                <w:rFonts w:eastAsia="Times New Roman"/>
                <w:sz w:val="20"/>
                <w:szCs w:val="20"/>
              </w:rPr>
              <w:t>9,184</w:t>
            </w:r>
          </w:p>
        </w:tc>
        <w:tc>
          <w:tcPr>
            <w:tcW w:w="50" w:type="pct"/>
            <w:shd w:val="clear" w:color="auto" w:fill="CCEEFF"/>
            <w:noWrap/>
            <w:vAlign w:val="center"/>
            <w:hideMark/>
          </w:tcPr>
          <w:p w14:paraId="5825EA19" w14:textId="77777777" w:rsidR="002B5D06" w:rsidRDefault="000B69DD">
            <w:pPr>
              <w:pStyle w:val="NormalWeb"/>
              <w:spacing w:before="0" w:beforeAutospacing="0" w:after="0" w:afterAutospacing="0"/>
              <w:rPr>
                <w:sz w:val="20"/>
                <w:szCs w:val="20"/>
              </w:rPr>
            </w:pPr>
            <w:r>
              <w:rPr>
                <w:sz w:val="20"/>
                <w:szCs w:val="20"/>
              </w:rPr>
              <w:t> </w:t>
            </w:r>
          </w:p>
        </w:tc>
      </w:tr>
      <w:tr w:rsidR="002B5D06" w14:paraId="23267588" w14:textId="77777777">
        <w:trPr>
          <w:divId w:val="1684360448"/>
          <w:trHeight w:val="225"/>
          <w:tblCellSpacing w:w="15" w:type="dxa"/>
          <w:jc w:val="center"/>
        </w:trPr>
        <w:tc>
          <w:tcPr>
            <w:tcW w:w="0" w:type="auto"/>
            <w:shd w:val="clear" w:color="auto" w:fill="FFFFFF"/>
            <w:hideMark/>
          </w:tcPr>
          <w:p w14:paraId="3402B6BB" w14:textId="77777777" w:rsidR="002B5D06" w:rsidRDefault="000B69DD">
            <w:pPr>
              <w:pStyle w:val="NormalWeb"/>
              <w:spacing w:before="0" w:beforeAutospacing="0" w:after="0" w:afterAutospacing="0"/>
              <w:rPr>
                <w:sz w:val="20"/>
                <w:szCs w:val="20"/>
              </w:rPr>
            </w:pPr>
            <w:r>
              <w:rPr>
                <w:rStyle w:val="Strong"/>
                <w:sz w:val="20"/>
                <w:szCs w:val="20"/>
              </w:rPr>
              <w:t>Federal US Income Tax Expense (Benefit)</w:t>
            </w:r>
          </w:p>
        </w:tc>
        <w:tc>
          <w:tcPr>
            <w:tcW w:w="50" w:type="pct"/>
            <w:shd w:val="clear" w:color="auto" w:fill="FFFFFF"/>
            <w:noWrap/>
            <w:vAlign w:val="center"/>
            <w:hideMark/>
          </w:tcPr>
          <w:p w14:paraId="6728EC1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7F60520"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42F5D2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814F09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65F9C4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CFA9F63"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5C18C2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D29AEDE" w14:textId="77777777" w:rsidR="002B5D06" w:rsidRDefault="000B69DD">
            <w:pPr>
              <w:pStyle w:val="NormalWeb"/>
              <w:spacing w:before="0" w:beforeAutospacing="0" w:after="0" w:afterAutospacing="0"/>
              <w:rPr>
                <w:sz w:val="20"/>
                <w:szCs w:val="20"/>
              </w:rPr>
            </w:pPr>
            <w:r>
              <w:rPr>
                <w:sz w:val="20"/>
                <w:szCs w:val="20"/>
              </w:rPr>
              <w:t> </w:t>
            </w:r>
          </w:p>
        </w:tc>
      </w:tr>
      <w:tr w:rsidR="002B5D06" w14:paraId="3CD38D38" w14:textId="77777777">
        <w:trPr>
          <w:divId w:val="1684360448"/>
          <w:trHeight w:val="225"/>
          <w:tblCellSpacing w:w="15" w:type="dxa"/>
          <w:jc w:val="center"/>
        </w:trPr>
        <w:tc>
          <w:tcPr>
            <w:tcW w:w="0" w:type="auto"/>
            <w:shd w:val="clear" w:color="auto" w:fill="CCEEFF"/>
            <w:hideMark/>
          </w:tcPr>
          <w:p w14:paraId="1577B80D" w14:textId="77777777" w:rsidR="002B5D06" w:rsidRDefault="000B69DD">
            <w:pPr>
              <w:pStyle w:val="NormalWeb"/>
              <w:spacing w:before="0" w:beforeAutospacing="0" w:after="0" w:afterAutospacing="0"/>
              <w:ind w:left="225"/>
              <w:rPr>
                <w:sz w:val="20"/>
                <w:szCs w:val="20"/>
              </w:rPr>
            </w:pPr>
            <w:r>
              <w:rPr>
                <w:sz w:val="20"/>
                <w:szCs w:val="20"/>
              </w:rPr>
              <w:t>Current</w:t>
            </w:r>
          </w:p>
        </w:tc>
        <w:tc>
          <w:tcPr>
            <w:tcW w:w="50" w:type="pct"/>
            <w:shd w:val="clear" w:color="auto" w:fill="CCEEFF"/>
            <w:noWrap/>
            <w:vAlign w:val="center"/>
            <w:hideMark/>
          </w:tcPr>
          <w:p w14:paraId="2CDC95C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56BB377"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2FD0957A"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70033A7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6E6DC9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1A891E6"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5AF1FB9F"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04EDF27" w14:textId="77777777" w:rsidR="002B5D06" w:rsidRDefault="000B69DD">
            <w:pPr>
              <w:pStyle w:val="NormalWeb"/>
              <w:spacing w:before="0" w:beforeAutospacing="0" w:after="0" w:afterAutospacing="0"/>
              <w:rPr>
                <w:sz w:val="20"/>
                <w:szCs w:val="20"/>
              </w:rPr>
            </w:pPr>
            <w:r>
              <w:rPr>
                <w:sz w:val="20"/>
                <w:szCs w:val="20"/>
              </w:rPr>
              <w:t> </w:t>
            </w:r>
          </w:p>
        </w:tc>
      </w:tr>
      <w:tr w:rsidR="002B5D06" w14:paraId="4A3E3A49" w14:textId="77777777">
        <w:trPr>
          <w:divId w:val="1684360448"/>
          <w:trHeight w:val="225"/>
          <w:tblCellSpacing w:w="15" w:type="dxa"/>
          <w:jc w:val="center"/>
        </w:trPr>
        <w:tc>
          <w:tcPr>
            <w:tcW w:w="0" w:type="auto"/>
            <w:shd w:val="clear" w:color="auto" w:fill="FFFFFF"/>
            <w:hideMark/>
          </w:tcPr>
          <w:p w14:paraId="1ADD8413" w14:textId="77777777" w:rsidR="002B5D06" w:rsidRDefault="000B69DD">
            <w:pPr>
              <w:pStyle w:val="NormalWeb"/>
              <w:spacing w:before="0" w:beforeAutospacing="0" w:after="0" w:afterAutospacing="0"/>
              <w:ind w:left="225"/>
              <w:rPr>
                <w:sz w:val="20"/>
                <w:szCs w:val="20"/>
              </w:rPr>
            </w:pPr>
            <w:r>
              <w:rPr>
                <w:sz w:val="20"/>
                <w:szCs w:val="20"/>
              </w:rPr>
              <w:t>Deferred</w:t>
            </w:r>
          </w:p>
        </w:tc>
        <w:tc>
          <w:tcPr>
            <w:tcW w:w="50" w:type="pct"/>
            <w:shd w:val="clear" w:color="auto" w:fill="FFFFFF"/>
            <w:noWrap/>
            <w:vAlign w:val="center"/>
            <w:hideMark/>
          </w:tcPr>
          <w:p w14:paraId="3F208181"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D14F8F8"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08A02A66"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0387388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590C36C"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DA5F667"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72EAA41B"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2EA6A615" w14:textId="77777777" w:rsidR="002B5D06" w:rsidRDefault="000B69DD">
            <w:pPr>
              <w:pStyle w:val="NormalWeb"/>
              <w:spacing w:before="0" w:beforeAutospacing="0" w:after="0" w:afterAutospacing="0"/>
              <w:rPr>
                <w:sz w:val="20"/>
                <w:szCs w:val="20"/>
              </w:rPr>
            </w:pPr>
            <w:r>
              <w:rPr>
                <w:sz w:val="20"/>
                <w:szCs w:val="20"/>
              </w:rPr>
              <w:t> </w:t>
            </w:r>
          </w:p>
        </w:tc>
      </w:tr>
      <w:tr w:rsidR="002B5D06" w14:paraId="07A0F77D" w14:textId="77777777">
        <w:trPr>
          <w:divId w:val="1684360448"/>
          <w:trHeight w:val="225"/>
          <w:tblCellSpacing w:w="15" w:type="dxa"/>
          <w:jc w:val="center"/>
        </w:trPr>
        <w:tc>
          <w:tcPr>
            <w:tcW w:w="0" w:type="auto"/>
            <w:shd w:val="clear" w:color="auto" w:fill="CCEEFF"/>
            <w:hideMark/>
          </w:tcPr>
          <w:p w14:paraId="504EE75F" w14:textId="77777777" w:rsidR="002B5D06" w:rsidRDefault="000B69DD">
            <w:pPr>
              <w:pStyle w:val="NormalWeb"/>
              <w:spacing w:before="0" w:beforeAutospacing="0" w:after="0" w:afterAutospacing="0"/>
              <w:rPr>
                <w:sz w:val="20"/>
                <w:szCs w:val="20"/>
              </w:rPr>
            </w:pPr>
            <w:r>
              <w:rPr>
                <w:sz w:val="20"/>
                <w:szCs w:val="20"/>
              </w:rPr>
              <w:t>Total Income Tax Expense</w:t>
            </w:r>
          </w:p>
        </w:tc>
        <w:tc>
          <w:tcPr>
            <w:tcW w:w="50" w:type="pct"/>
            <w:shd w:val="clear" w:color="auto" w:fill="CCEEFF"/>
            <w:noWrap/>
            <w:vAlign w:val="center"/>
            <w:hideMark/>
          </w:tcPr>
          <w:p w14:paraId="7E0F1414"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23824B0A"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58857734" w14:textId="77777777" w:rsidR="002B5D06" w:rsidRDefault="000B69DD">
            <w:pPr>
              <w:jc w:val="right"/>
              <w:rPr>
                <w:rFonts w:eastAsia="Times New Roman"/>
                <w:sz w:val="20"/>
                <w:szCs w:val="20"/>
              </w:rPr>
            </w:pPr>
            <w:r>
              <w:rPr>
                <w:rFonts w:eastAsia="Times New Roman"/>
                <w:sz w:val="20"/>
                <w:szCs w:val="20"/>
              </w:rPr>
              <w:t>9,985</w:t>
            </w:r>
          </w:p>
        </w:tc>
        <w:tc>
          <w:tcPr>
            <w:tcW w:w="50" w:type="pct"/>
            <w:shd w:val="clear" w:color="auto" w:fill="CCEEFF"/>
            <w:noWrap/>
            <w:tcMar>
              <w:top w:w="0" w:type="dxa"/>
              <w:left w:w="0" w:type="dxa"/>
              <w:bottom w:w="45" w:type="dxa"/>
              <w:right w:w="0" w:type="dxa"/>
            </w:tcMar>
            <w:vAlign w:val="center"/>
            <w:hideMark/>
          </w:tcPr>
          <w:p w14:paraId="133AE50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571F16C"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0F47A3F0"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4A68F0A6" w14:textId="77777777" w:rsidR="002B5D06" w:rsidRDefault="000B69DD">
            <w:pPr>
              <w:jc w:val="right"/>
              <w:rPr>
                <w:rFonts w:eastAsia="Times New Roman"/>
                <w:sz w:val="20"/>
                <w:szCs w:val="20"/>
              </w:rPr>
            </w:pPr>
            <w:r>
              <w:rPr>
                <w:rFonts w:eastAsia="Times New Roman"/>
                <w:sz w:val="20"/>
                <w:szCs w:val="20"/>
              </w:rPr>
              <w:t>9,184</w:t>
            </w:r>
          </w:p>
        </w:tc>
        <w:tc>
          <w:tcPr>
            <w:tcW w:w="50" w:type="pct"/>
            <w:shd w:val="clear" w:color="auto" w:fill="CCEEFF"/>
            <w:noWrap/>
            <w:tcMar>
              <w:top w:w="0" w:type="dxa"/>
              <w:left w:w="0" w:type="dxa"/>
              <w:bottom w:w="45" w:type="dxa"/>
              <w:right w:w="0" w:type="dxa"/>
            </w:tcMar>
            <w:vAlign w:val="center"/>
            <w:hideMark/>
          </w:tcPr>
          <w:p w14:paraId="36E4EE91" w14:textId="77777777" w:rsidR="002B5D06" w:rsidRDefault="000B69DD">
            <w:pPr>
              <w:pStyle w:val="NormalWeb"/>
              <w:spacing w:before="0" w:beforeAutospacing="0" w:after="0" w:afterAutospacing="0"/>
              <w:rPr>
                <w:sz w:val="20"/>
                <w:szCs w:val="20"/>
              </w:rPr>
            </w:pPr>
            <w:r>
              <w:rPr>
                <w:sz w:val="20"/>
                <w:szCs w:val="20"/>
              </w:rPr>
              <w:t> </w:t>
            </w:r>
          </w:p>
        </w:tc>
      </w:tr>
    </w:tbl>
    <w:p w14:paraId="45431C79"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AA83249" w14:textId="77777777" w:rsidR="002B5D06" w:rsidRDefault="000B69DD">
      <w:pPr>
        <w:pStyle w:val="NormalWeb"/>
        <w:spacing w:before="0" w:beforeAutospacing="0" w:after="0" w:afterAutospacing="0"/>
        <w:jc w:val="both"/>
        <w:divId w:val="1684360448"/>
        <w:rPr>
          <w:sz w:val="20"/>
          <w:szCs w:val="20"/>
        </w:rPr>
      </w:pPr>
      <w:r>
        <w:rPr>
          <w:sz w:val="20"/>
          <w:szCs w:val="20"/>
        </w:rPr>
        <w:t>Deferred income tax expense/ (benefit) results primarily from the reversal of temporary timing differences between tax and financial statement income.</w:t>
      </w:r>
    </w:p>
    <w:p w14:paraId="619DFCAD"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04F350BE" w14:textId="77777777" w:rsidR="002B5D06" w:rsidRDefault="000B69DD">
      <w:pPr>
        <w:pStyle w:val="NormalWeb"/>
        <w:spacing w:before="0" w:beforeAutospacing="0" w:after="0" w:afterAutospacing="0"/>
        <w:jc w:val="both"/>
        <w:divId w:val="1684360448"/>
        <w:rPr>
          <w:sz w:val="20"/>
          <w:szCs w:val="20"/>
        </w:rPr>
      </w:pPr>
      <w:r>
        <w:rPr>
          <w:sz w:val="20"/>
          <w:szCs w:val="20"/>
        </w:rPr>
        <w:t>The Company had deferred tax income tax assets as of June 30, 2025 and 2024 as follows:</w:t>
      </w:r>
    </w:p>
    <w:p w14:paraId="056D3EFA"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06"/>
        <w:gridCol w:w="96"/>
        <w:gridCol w:w="130"/>
        <w:gridCol w:w="897"/>
        <w:gridCol w:w="97"/>
        <w:gridCol w:w="95"/>
        <w:gridCol w:w="130"/>
        <w:gridCol w:w="897"/>
        <w:gridCol w:w="112"/>
      </w:tblGrid>
      <w:tr w:rsidR="002B5D06" w14:paraId="2F437041" w14:textId="77777777">
        <w:trPr>
          <w:divId w:val="1684360448"/>
          <w:trHeight w:val="225"/>
          <w:tblCellSpacing w:w="15" w:type="dxa"/>
          <w:jc w:val="center"/>
        </w:trPr>
        <w:tc>
          <w:tcPr>
            <w:tcW w:w="0" w:type="auto"/>
            <w:vAlign w:val="center"/>
            <w:hideMark/>
          </w:tcPr>
          <w:p w14:paraId="4B15A7E7"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18D733C5"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2E9C0CB" w14:textId="77777777" w:rsidR="002B5D06" w:rsidRDefault="000B69DD">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2C95F660"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1019976C"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40D2B5D8" w14:textId="77777777" w:rsidR="002B5D06" w:rsidRDefault="000B69DD">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6E96EE5E" w14:textId="77777777" w:rsidR="002B5D06" w:rsidRDefault="000B69DD">
            <w:pPr>
              <w:pStyle w:val="NormalWeb"/>
              <w:spacing w:before="0" w:beforeAutospacing="0" w:after="0" w:afterAutospacing="0"/>
              <w:rPr>
                <w:sz w:val="20"/>
                <w:szCs w:val="20"/>
              </w:rPr>
            </w:pPr>
            <w:r>
              <w:rPr>
                <w:sz w:val="20"/>
                <w:szCs w:val="20"/>
              </w:rPr>
              <w:t> </w:t>
            </w:r>
          </w:p>
        </w:tc>
      </w:tr>
      <w:tr w:rsidR="002B5D06" w14:paraId="26D50127" w14:textId="77777777">
        <w:trPr>
          <w:divId w:val="1684360448"/>
          <w:trHeight w:val="225"/>
          <w:tblCellSpacing w:w="15" w:type="dxa"/>
          <w:jc w:val="center"/>
        </w:trPr>
        <w:tc>
          <w:tcPr>
            <w:tcW w:w="0" w:type="auto"/>
            <w:shd w:val="clear" w:color="auto" w:fill="CCEEFF"/>
            <w:hideMark/>
          </w:tcPr>
          <w:p w14:paraId="49363ADD" w14:textId="77777777" w:rsidR="002B5D06" w:rsidRDefault="000B69DD">
            <w:pPr>
              <w:pStyle w:val="NormalWeb"/>
              <w:spacing w:before="0" w:beforeAutospacing="0" w:after="0" w:afterAutospacing="0"/>
              <w:ind w:left="225"/>
              <w:rPr>
                <w:sz w:val="20"/>
                <w:szCs w:val="20"/>
              </w:rPr>
            </w:pPr>
            <w:r>
              <w:rPr>
                <w:sz w:val="20"/>
                <w:szCs w:val="20"/>
              </w:rPr>
              <w:t>Net operating loss carryforwards</w:t>
            </w:r>
          </w:p>
        </w:tc>
        <w:tc>
          <w:tcPr>
            <w:tcW w:w="50" w:type="pct"/>
            <w:shd w:val="clear" w:color="auto" w:fill="CCEEFF"/>
            <w:noWrap/>
            <w:vAlign w:val="center"/>
            <w:hideMark/>
          </w:tcPr>
          <w:p w14:paraId="407D148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989CD53"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56969ECD" w14:textId="77777777" w:rsidR="002B5D06" w:rsidRDefault="000B69DD">
            <w:pPr>
              <w:jc w:val="right"/>
              <w:rPr>
                <w:rFonts w:eastAsia="Times New Roman"/>
                <w:sz w:val="20"/>
                <w:szCs w:val="20"/>
              </w:rPr>
            </w:pPr>
            <w:r>
              <w:rPr>
                <w:rFonts w:eastAsia="Times New Roman"/>
                <w:sz w:val="20"/>
                <w:szCs w:val="20"/>
              </w:rPr>
              <w:t>4,357,467</w:t>
            </w:r>
          </w:p>
        </w:tc>
        <w:tc>
          <w:tcPr>
            <w:tcW w:w="50" w:type="pct"/>
            <w:shd w:val="clear" w:color="auto" w:fill="CCEEFF"/>
            <w:noWrap/>
            <w:vAlign w:val="center"/>
            <w:hideMark/>
          </w:tcPr>
          <w:p w14:paraId="6B56FA6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2D1631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5D428C7"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272D1A96" w14:textId="77777777" w:rsidR="002B5D06" w:rsidRDefault="000B69DD">
            <w:pPr>
              <w:jc w:val="right"/>
              <w:rPr>
                <w:rFonts w:eastAsia="Times New Roman"/>
                <w:sz w:val="20"/>
                <w:szCs w:val="20"/>
              </w:rPr>
            </w:pPr>
            <w:r>
              <w:rPr>
                <w:rFonts w:eastAsia="Times New Roman"/>
                <w:sz w:val="20"/>
                <w:szCs w:val="20"/>
              </w:rPr>
              <w:t>4,365,302</w:t>
            </w:r>
          </w:p>
        </w:tc>
        <w:tc>
          <w:tcPr>
            <w:tcW w:w="50" w:type="pct"/>
            <w:shd w:val="clear" w:color="auto" w:fill="CCEEFF"/>
            <w:noWrap/>
            <w:vAlign w:val="center"/>
            <w:hideMark/>
          </w:tcPr>
          <w:p w14:paraId="0861B121" w14:textId="77777777" w:rsidR="002B5D06" w:rsidRDefault="000B69DD">
            <w:pPr>
              <w:pStyle w:val="NormalWeb"/>
              <w:spacing w:before="0" w:beforeAutospacing="0" w:after="0" w:afterAutospacing="0"/>
              <w:rPr>
                <w:sz w:val="20"/>
                <w:szCs w:val="20"/>
              </w:rPr>
            </w:pPr>
            <w:r>
              <w:rPr>
                <w:sz w:val="20"/>
                <w:szCs w:val="20"/>
              </w:rPr>
              <w:t> </w:t>
            </w:r>
          </w:p>
        </w:tc>
      </w:tr>
      <w:tr w:rsidR="002B5D06" w14:paraId="7719EED9" w14:textId="77777777">
        <w:trPr>
          <w:divId w:val="1684360448"/>
          <w:trHeight w:val="225"/>
          <w:tblCellSpacing w:w="15" w:type="dxa"/>
          <w:jc w:val="center"/>
        </w:trPr>
        <w:tc>
          <w:tcPr>
            <w:tcW w:w="0" w:type="auto"/>
            <w:shd w:val="clear" w:color="auto" w:fill="FFFFFF"/>
            <w:vAlign w:val="center"/>
            <w:hideMark/>
          </w:tcPr>
          <w:p w14:paraId="5499F78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1BAD9E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84557AA"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741072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4BD0AD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355842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2BB2F1A"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20A99A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BB4EDF7" w14:textId="77777777" w:rsidR="002B5D06" w:rsidRDefault="000B69DD">
            <w:pPr>
              <w:pStyle w:val="NormalWeb"/>
              <w:spacing w:before="0" w:beforeAutospacing="0" w:after="0" w:afterAutospacing="0"/>
              <w:rPr>
                <w:sz w:val="20"/>
                <w:szCs w:val="20"/>
              </w:rPr>
            </w:pPr>
            <w:r>
              <w:rPr>
                <w:sz w:val="20"/>
                <w:szCs w:val="20"/>
              </w:rPr>
              <w:t> </w:t>
            </w:r>
          </w:p>
        </w:tc>
      </w:tr>
      <w:tr w:rsidR="002B5D06" w14:paraId="68E39931" w14:textId="77777777">
        <w:trPr>
          <w:divId w:val="1684360448"/>
          <w:trHeight w:val="225"/>
          <w:tblCellSpacing w:w="15" w:type="dxa"/>
          <w:jc w:val="center"/>
        </w:trPr>
        <w:tc>
          <w:tcPr>
            <w:tcW w:w="0" w:type="auto"/>
            <w:shd w:val="clear" w:color="auto" w:fill="CCEEFF"/>
            <w:hideMark/>
          </w:tcPr>
          <w:p w14:paraId="38ECFE08" w14:textId="77777777" w:rsidR="002B5D06" w:rsidRDefault="000B69DD">
            <w:pPr>
              <w:pStyle w:val="NormalWeb"/>
              <w:spacing w:before="0" w:beforeAutospacing="0" w:after="0" w:afterAutospacing="0"/>
              <w:ind w:left="225"/>
              <w:rPr>
                <w:sz w:val="20"/>
                <w:szCs w:val="20"/>
              </w:rPr>
            </w:pPr>
            <w:r>
              <w:rPr>
                <w:sz w:val="20"/>
                <w:szCs w:val="20"/>
              </w:rPr>
              <w:t>Valuation allowance</w:t>
            </w:r>
          </w:p>
        </w:tc>
        <w:tc>
          <w:tcPr>
            <w:tcW w:w="50" w:type="pct"/>
            <w:shd w:val="clear" w:color="auto" w:fill="CCEEFF"/>
            <w:noWrap/>
            <w:vAlign w:val="center"/>
            <w:hideMark/>
          </w:tcPr>
          <w:p w14:paraId="76DA54D7"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30F5B770"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5D8B1CED" w14:textId="77777777" w:rsidR="002B5D06" w:rsidRDefault="000B69DD">
            <w:pPr>
              <w:jc w:val="right"/>
              <w:rPr>
                <w:rFonts w:eastAsia="Times New Roman"/>
                <w:sz w:val="20"/>
                <w:szCs w:val="20"/>
              </w:rPr>
            </w:pPr>
            <w:r>
              <w:rPr>
                <w:rFonts w:eastAsia="Times New Roman"/>
                <w:sz w:val="20"/>
                <w:szCs w:val="20"/>
              </w:rPr>
              <w:t xml:space="preserve">(4,357,467 </w:t>
            </w:r>
          </w:p>
        </w:tc>
        <w:tc>
          <w:tcPr>
            <w:tcW w:w="50" w:type="pct"/>
            <w:shd w:val="clear" w:color="auto" w:fill="CCEEFF"/>
            <w:noWrap/>
            <w:tcMar>
              <w:top w:w="0" w:type="dxa"/>
              <w:left w:w="0" w:type="dxa"/>
              <w:bottom w:w="15" w:type="dxa"/>
              <w:right w:w="0" w:type="dxa"/>
            </w:tcMar>
            <w:vAlign w:val="bottom"/>
            <w:hideMark/>
          </w:tcPr>
          <w:p w14:paraId="3CE196C0" w14:textId="77777777" w:rsidR="002B5D06" w:rsidRDefault="000B69DD">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356117BF"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68D8C59D"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5F21FFF6" w14:textId="77777777" w:rsidR="002B5D06" w:rsidRDefault="000B69DD">
            <w:pPr>
              <w:jc w:val="right"/>
              <w:rPr>
                <w:rFonts w:eastAsia="Times New Roman"/>
                <w:sz w:val="20"/>
                <w:szCs w:val="20"/>
              </w:rPr>
            </w:pPr>
            <w:r>
              <w:rPr>
                <w:rFonts w:eastAsia="Times New Roman"/>
                <w:sz w:val="20"/>
                <w:szCs w:val="20"/>
              </w:rPr>
              <w:t xml:space="preserve">(4,365,302 </w:t>
            </w:r>
          </w:p>
        </w:tc>
        <w:tc>
          <w:tcPr>
            <w:tcW w:w="50" w:type="pct"/>
            <w:shd w:val="clear" w:color="auto" w:fill="CCEEFF"/>
            <w:noWrap/>
            <w:tcMar>
              <w:top w:w="0" w:type="dxa"/>
              <w:left w:w="0" w:type="dxa"/>
              <w:bottom w:w="15" w:type="dxa"/>
              <w:right w:w="0" w:type="dxa"/>
            </w:tcMar>
            <w:vAlign w:val="bottom"/>
            <w:hideMark/>
          </w:tcPr>
          <w:p w14:paraId="366557BC" w14:textId="77777777" w:rsidR="002B5D06" w:rsidRDefault="000B69DD">
            <w:pPr>
              <w:rPr>
                <w:rFonts w:eastAsia="Times New Roman"/>
                <w:sz w:val="20"/>
                <w:szCs w:val="20"/>
              </w:rPr>
            </w:pPr>
            <w:r>
              <w:rPr>
                <w:rFonts w:eastAsia="Times New Roman"/>
                <w:sz w:val="20"/>
                <w:szCs w:val="20"/>
              </w:rPr>
              <w:t>)</w:t>
            </w:r>
          </w:p>
        </w:tc>
      </w:tr>
      <w:tr w:rsidR="002B5D06" w14:paraId="2230E7B7" w14:textId="77777777">
        <w:trPr>
          <w:divId w:val="1684360448"/>
          <w:trHeight w:val="225"/>
          <w:tblCellSpacing w:w="15" w:type="dxa"/>
          <w:jc w:val="center"/>
        </w:trPr>
        <w:tc>
          <w:tcPr>
            <w:tcW w:w="0" w:type="auto"/>
            <w:shd w:val="clear" w:color="auto" w:fill="FFFFFF"/>
            <w:hideMark/>
          </w:tcPr>
          <w:p w14:paraId="7E78DB17" w14:textId="77777777" w:rsidR="002B5D06" w:rsidRDefault="000B69DD">
            <w:pPr>
              <w:pStyle w:val="NormalWeb"/>
              <w:spacing w:before="0" w:beforeAutospacing="0" w:after="0" w:afterAutospacing="0"/>
              <w:rPr>
                <w:sz w:val="20"/>
                <w:szCs w:val="20"/>
              </w:rPr>
            </w:pPr>
            <w:r>
              <w:rPr>
                <w:sz w:val="20"/>
                <w:szCs w:val="20"/>
              </w:rPr>
              <w:t>Total net deferred tax assets</w:t>
            </w:r>
          </w:p>
        </w:tc>
        <w:tc>
          <w:tcPr>
            <w:tcW w:w="50" w:type="pct"/>
            <w:shd w:val="clear" w:color="auto" w:fill="FFFFFF"/>
            <w:noWrap/>
            <w:vAlign w:val="center"/>
            <w:hideMark/>
          </w:tcPr>
          <w:p w14:paraId="7D7A0FF1"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4EC283DD"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1749A41B"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45" w:type="dxa"/>
              <w:right w:w="0" w:type="dxa"/>
            </w:tcMar>
            <w:vAlign w:val="center"/>
            <w:hideMark/>
          </w:tcPr>
          <w:p w14:paraId="7F296C1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3245E62"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5545C013"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6FE67716"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45" w:type="dxa"/>
              <w:right w:w="0" w:type="dxa"/>
            </w:tcMar>
            <w:vAlign w:val="center"/>
            <w:hideMark/>
          </w:tcPr>
          <w:p w14:paraId="77736D31" w14:textId="77777777" w:rsidR="002B5D06" w:rsidRDefault="000B69DD">
            <w:pPr>
              <w:pStyle w:val="NormalWeb"/>
              <w:spacing w:before="0" w:beforeAutospacing="0" w:after="0" w:afterAutospacing="0"/>
              <w:rPr>
                <w:sz w:val="20"/>
                <w:szCs w:val="20"/>
              </w:rPr>
            </w:pPr>
            <w:r>
              <w:rPr>
                <w:sz w:val="20"/>
                <w:szCs w:val="20"/>
              </w:rPr>
              <w:t> </w:t>
            </w:r>
          </w:p>
        </w:tc>
      </w:tr>
    </w:tbl>
    <w:p w14:paraId="49361525"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AD61917" w14:textId="77777777" w:rsidR="002B5D06" w:rsidRDefault="000B69DD">
      <w:pPr>
        <w:pStyle w:val="NormalWeb"/>
        <w:spacing w:before="0" w:beforeAutospacing="0" w:after="0" w:afterAutospacing="0"/>
        <w:jc w:val="both"/>
        <w:divId w:val="1684360448"/>
        <w:rPr>
          <w:sz w:val="20"/>
          <w:szCs w:val="20"/>
        </w:rPr>
      </w:pPr>
      <w:r>
        <w:rPr>
          <w:sz w:val="20"/>
          <w:szCs w:val="20"/>
        </w:rPr>
        <w:t>The Company has maintained a full valuation allowance against the total deferred tax assets for all period due to the uncertainty of future utilization.</w:t>
      </w:r>
    </w:p>
    <w:p w14:paraId="428D495E"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14475F6"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NOTE 8 – STOCKHOLDERS’ EQUITY:</w:t>
      </w:r>
    </w:p>
    <w:p w14:paraId="7A6E3DE6"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2499118" w14:textId="77777777" w:rsidR="002B5D06" w:rsidRDefault="000B69DD">
      <w:pPr>
        <w:pStyle w:val="NormalWeb"/>
        <w:spacing w:before="0" w:beforeAutospacing="0" w:after="0" w:afterAutospacing="0"/>
        <w:jc w:val="both"/>
        <w:divId w:val="1684360448"/>
        <w:rPr>
          <w:sz w:val="20"/>
          <w:szCs w:val="20"/>
        </w:rPr>
      </w:pPr>
      <w:r>
        <w:rPr>
          <w:sz w:val="20"/>
          <w:szCs w:val="20"/>
        </w:rPr>
        <w:t>Common Stock:</w:t>
      </w:r>
    </w:p>
    <w:p w14:paraId="0B503F55"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09A4BDD" w14:textId="77777777" w:rsidR="002B5D06" w:rsidRDefault="000B69DD">
      <w:pPr>
        <w:pStyle w:val="NormalWeb"/>
        <w:spacing w:before="0" w:beforeAutospacing="0" w:after="0" w:afterAutospacing="0"/>
        <w:jc w:val="both"/>
        <w:divId w:val="1684360448"/>
        <w:rPr>
          <w:sz w:val="20"/>
          <w:szCs w:val="20"/>
        </w:rPr>
      </w:pPr>
      <w:r>
        <w:rPr>
          <w:sz w:val="20"/>
          <w:szCs w:val="20"/>
        </w:rPr>
        <w:t>The Company is authorized to issue 60,000,000 shares of Common stock, par value $0.01; At June 30, 2025 and June 30, 2024 there were 3,292,945 and 3,292,945 shares issued and outstanding, respectively. </w:t>
      </w:r>
    </w:p>
    <w:p w14:paraId="5A5D28A9"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2EDD142" w14:textId="77777777" w:rsidR="002B5D06" w:rsidRDefault="000B69DD">
      <w:pPr>
        <w:pStyle w:val="NormalWeb"/>
        <w:spacing w:before="0" w:beforeAutospacing="0" w:after="0" w:afterAutospacing="0"/>
        <w:jc w:val="both"/>
        <w:divId w:val="1684360448"/>
        <w:rPr>
          <w:sz w:val="20"/>
          <w:szCs w:val="20"/>
        </w:rPr>
      </w:pPr>
      <w:r>
        <w:rPr>
          <w:sz w:val="20"/>
          <w:szCs w:val="20"/>
        </w:rPr>
        <w:t>Preferred Stock:</w:t>
      </w:r>
    </w:p>
    <w:p w14:paraId="3881A01A"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FE7D817" w14:textId="77777777" w:rsidR="002B5D06" w:rsidRDefault="000B69DD">
      <w:pPr>
        <w:pStyle w:val="NormalWeb"/>
        <w:spacing w:before="0" w:beforeAutospacing="0" w:after="0" w:afterAutospacing="0"/>
        <w:jc w:val="both"/>
        <w:divId w:val="1684360448"/>
        <w:rPr>
          <w:sz w:val="20"/>
          <w:szCs w:val="20"/>
        </w:rPr>
      </w:pPr>
      <w:r>
        <w:rPr>
          <w:sz w:val="20"/>
          <w:szCs w:val="20"/>
        </w:rPr>
        <w:t>Series 2 Convertible Preferred Stock:</w:t>
      </w:r>
    </w:p>
    <w:p w14:paraId="5C59D19B"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CCB0CAF" w14:textId="77777777" w:rsidR="002B5D06" w:rsidRDefault="000B69DD">
      <w:pPr>
        <w:pStyle w:val="NormalWeb"/>
        <w:spacing w:before="0" w:beforeAutospacing="0" w:after="0" w:afterAutospacing="0"/>
        <w:jc w:val="both"/>
        <w:divId w:val="1684360448"/>
        <w:rPr>
          <w:sz w:val="20"/>
          <w:szCs w:val="20"/>
        </w:rPr>
      </w:pPr>
      <w:r>
        <w:rPr>
          <w:sz w:val="20"/>
          <w:szCs w:val="20"/>
        </w:rPr>
        <w:t>The Company is authorized to issue 10,000,000 shares of $0.01 par value of series 2 convertible preferred stock. Each Series 2 preferred share also includes one warrant to purchase two common shares for $5.00. The warrants are exercisable over a three-year period. In the event of the liquidation of the Company, holders of Series 2 preferred stock would be entitled to receive $5.00 per share, plus any unpaid dividends declared on the Series 2 preferred stock from the funds remaining after the Company’s creditors, including directors, have been paid. There have been no dividends declared. As of June 30, 2025, and June 30, 2024 there are 5,000 shares issued, which are convertible into 10,000 common shares. There are no warrants outstanding that have been issued in connection with these preferred shares.</w:t>
      </w:r>
    </w:p>
    <w:p w14:paraId="14B28C90"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20C734E0" w14:textId="77777777" w:rsidR="002B5D06" w:rsidRDefault="000B69DD">
      <w:pPr>
        <w:pStyle w:val="NormalWeb"/>
        <w:spacing w:before="0" w:beforeAutospacing="0" w:after="0" w:afterAutospacing="0"/>
        <w:jc w:val="both"/>
        <w:divId w:val="1684360448"/>
        <w:rPr>
          <w:sz w:val="20"/>
          <w:szCs w:val="20"/>
        </w:rPr>
      </w:pPr>
      <w:r>
        <w:rPr>
          <w:sz w:val="20"/>
          <w:szCs w:val="20"/>
        </w:rPr>
        <w:t>Series 3 Convertible Preferred Stock:</w:t>
      </w:r>
    </w:p>
    <w:p w14:paraId="15443092"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7408178B" w14:textId="77777777" w:rsidR="002B5D06" w:rsidRDefault="000B69DD">
      <w:pPr>
        <w:pStyle w:val="NormalWeb"/>
        <w:spacing w:before="0" w:beforeAutospacing="0" w:after="0" w:afterAutospacing="0"/>
        <w:jc w:val="both"/>
        <w:divId w:val="1684360448"/>
        <w:rPr>
          <w:sz w:val="20"/>
          <w:szCs w:val="20"/>
        </w:rPr>
      </w:pPr>
      <w:r>
        <w:rPr>
          <w:sz w:val="20"/>
          <w:szCs w:val="20"/>
        </w:rPr>
        <w:t>The Company has authorized 1,670,000 shares of series 3 convertible preferred stock with a par value $0.01.  There are zero shares issued and outstanding at June 30, 2025 and 2024.</w:t>
      </w:r>
    </w:p>
    <w:p w14:paraId="757C2CC6"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37CE9CBE" w14:textId="77777777" w:rsidR="002B5D06" w:rsidRDefault="000B69DD">
      <w:pPr>
        <w:pStyle w:val="NormalWeb"/>
        <w:spacing w:before="0" w:beforeAutospacing="0" w:after="0" w:afterAutospacing="0"/>
        <w:jc w:val="both"/>
        <w:divId w:val="1684360448"/>
        <w:rPr>
          <w:sz w:val="20"/>
          <w:szCs w:val="20"/>
        </w:rPr>
      </w:pPr>
      <w:r>
        <w:rPr>
          <w:sz w:val="20"/>
          <w:szCs w:val="20"/>
        </w:rPr>
        <w:t>Series 5 Convertible Preferred Stock:</w:t>
      </w:r>
    </w:p>
    <w:p w14:paraId="0C6005C2"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5AC9AA0F" w14:textId="77777777" w:rsidR="002B5D06" w:rsidRDefault="000B69DD">
      <w:pPr>
        <w:pStyle w:val="NormalWeb"/>
        <w:spacing w:before="0" w:beforeAutospacing="0" w:after="0" w:afterAutospacing="0"/>
        <w:jc w:val="both"/>
        <w:divId w:val="1684360448"/>
        <w:rPr>
          <w:sz w:val="20"/>
          <w:szCs w:val="20"/>
        </w:rPr>
      </w:pPr>
      <w:r>
        <w:rPr>
          <w:sz w:val="20"/>
          <w:szCs w:val="20"/>
        </w:rPr>
        <w:t>The Company has authorized 1 share of series 5 convertible preferred stock, no par value. There is 1 Series 5 Convertible Preferred shares designated. There were zero shares of Series 5 Convertible Preferred Stock converted to common stock.  There are zero shares issued and outstanding at June 30, 2025 and 2024.</w:t>
      </w:r>
    </w:p>
    <w:p w14:paraId="058DDF57"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3E2BB212" w14:textId="77777777">
        <w:trPr>
          <w:divId w:val="1684360448"/>
          <w:trHeight w:val="225"/>
          <w:tblCellSpacing w:w="15" w:type="dxa"/>
          <w:jc w:val="center"/>
        </w:trPr>
        <w:tc>
          <w:tcPr>
            <w:tcW w:w="0" w:type="auto"/>
            <w:vAlign w:val="center"/>
            <w:hideMark/>
          </w:tcPr>
          <w:p w14:paraId="2EBDB093" w14:textId="77777777" w:rsidR="002B5D06" w:rsidRDefault="000B69DD">
            <w:pPr>
              <w:rPr>
                <w:rFonts w:eastAsia="Times New Roman"/>
                <w:sz w:val="20"/>
                <w:szCs w:val="20"/>
              </w:rPr>
            </w:pPr>
            <w:r>
              <w:rPr>
                <w:rFonts w:eastAsia="Times New Roman"/>
                <w:sz w:val="20"/>
                <w:szCs w:val="20"/>
              </w:rPr>
              <w:t> </w:t>
            </w:r>
          </w:p>
        </w:tc>
      </w:tr>
      <w:tr w:rsidR="002B5D06" w14:paraId="208C8A0A" w14:textId="77777777">
        <w:trPr>
          <w:divId w:val="1684360448"/>
          <w:trHeight w:val="225"/>
          <w:tblCellSpacing w:w="15" w:type="dxa"/>
          <w:jc w:val="center"/>
        </w:trPr>
        <w:tc>
          <w:tcPr>
            <w:tcW w:w="0" w:type="auto"/>
            <w:tcBorders>
              <w:bottom w:val="single" w:sz="6" w:space="0" w:color="000000"/>
            </w:tcBorders>
            <w:vAlign w:val="center"/>
            <w:hideMark/>
          </w:tcPr>
          <w:p w14:paraId="2D5B3EFF" w14:textId="77777777" w:rsidR="002B5D06" w:rsidRDefault="000B69DD">
            <w:pPr>
              <w:jc w:val="center"/>
              <w:rPr>
                <w:rFonts w:eastAsia="Times New Roman"/>
                <w:sz w:val="20"/>
                <w:szCs w:val="20"/>
              </w:rPr>
            </w:pPr>
            <w:r>
              <w:rPr>
                <w:rFonts w:eastAsia="Times New Roman"/>
                <w:sz w:val="20"/>
                <w:szCs w:val="20"/>
              </w:rPr>
              <w:t>F-13</w:t>
            </w:r>
          </w:p>
        </w:tc>
      </w:tr>
      <w:tr w:rsidR="002B5D06" w14:paraId="54AC1AD0" w14:textId="77777777">
        <w:trPr>
          <w:divId w:val="1684360448"/>
          <w:trHeight w:val="225"/>
          <w:tblCellSpacing w:w="15" w:type="dxa"/>
          <w:jc w:val="center"/>
        </w:trPr>
        <w:tc>
          <w:tcPr>
            <w:tcW w:w="0" w:type="auto"/>
            <w:vAlign w:val="center"/>
            <w:hideMark/>
          </w:tcPr>
          <w:p w14:paraId="4A986D76" w14:textId="77777777" w:rsidR="002B5D06" w:rsidRDefault="002B5D06">
            <w:pPr>
              <w:rPr>
                <w:rFonts w:eastAsia="Times New Roman"/>
                <w:sz w:val="20"/>
                <w:szCs w:val="20"/>
              </w:rPr>
            </w:pPr>
          </w:p>
        </w:tc>
      </w:tr>
      <w:tr w:rsidR="002B5D06" w14:paraId="739A970B" w14:textId="77777777">
        <w:trPr>
          <w:divId w:val="1684360448"/>
          <w:trHeight w:val="225"/>
          <w:tblCellSpacing w:w="15" w:type="dxa"/>
          <w:jc w:val="center"/>
        </w:trPr>
        <w:tc>
          <w:tcPr>
            <w:tcW w:w="0" w:type="auto"/>
            <w:vAlign w:val="center"/>
            <w:hideMark/>
          </w:tcPr>
          <w:p w14:paraId="698D7A52" w14:textId="77777777" w:rsidR="002B5D06" w:rsidRDefault="002B5D06">
            <w:pPr>
              <w:rPr>
                <w:rFonts w:eastAsia="Times New Roman"/>
                <w:sz w:val="20"/>
                <w:szCs w:val="20"/>
              </w:rPr>
            </w:pPr>
          </w:p>
        </w:tc>
      </w:tr>
    </w:tbl>
    <w:p w14:paraId="0CA1797C"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29BE4085" w14:textId="77777777" w:rsidR="002B5D06" w:rsidRDefault="000B69DD">
      <w:pPr>
        <w:pStyle w:val="NormalWeb"/>
        <w:spacing w:before="0" w:beforeAutospacing="0" w:after="0" w:afterAutospacing="0"/>
        <w:divId w:val="1684360448"/>
        <w:rPr>
          <w:sz w:val="20"/>
          <w:szCs w:val="20"/>
        </w:rPr>
      </w:pPr>
      <w:r>
        <w:rPr>
          <w:sz w:val="20"/>
          <w:szCs w:val="20"/>
        </w:rPr>
        <w:t> </w:t>
      </w:r>
    </w:p>
    <w:p w14:paraId="02BE0A2F"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NOTE 9 – SEGMENT AND GEOGRAPHIC INFORMATION</w:t>
      </w:r>
    </w:p>
    <w:p w14:paraId="4F9954B6"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853A755" w14:textId="77777777" w:rsidR="002B5D06" w:rsidRDefault="000B69DD">
      <w:pPr>
        <w:pStyle w:val="NormalWeb"/>
        <w:spacing w:before="0" w:beforeAutospacing="0" w:after="0" w:afterAutospacing="0"/>
        <w:jc w:val="both"/>
        <w:divId w:val="1684360448"/>
        <w:rPr>
          <w:sz w:val="20"/>
          <w:szCs w:val="20"/>
        </w:rPr>
      </w:pPr>
      <w:r>
        <w:rPr>
          <w:rStyle w:val="Strong"/>
          <w:i/>
          <w:iCs/>
          <w:sz w:val="20"/>
          <w:szCs w:val="20"/>
        </w:rPr>
        <w:t>Segment Performance</w:t>
      </w:r>
    </w:p>
    <w:p w14:paraId="4C4730DC"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22A3E9D" w14:textId="77777777" w:rsidR="002B5D06" w:rsidRDefault="000B69DD">
      <w:pPr>
        <w:pStyle w:val="NormalWeb"/>
        <w:spacing w:before="0" w:beforeAutospacing="0" w:after="0" w:afterAutospacing="0"/>
        <w:jc w:val="both"/>
        <w:divId w:val="1684360448"/>
        <w:rPr>
          <w:sz w:val="20"/>
          <w:szCs w:val="20"/>
        </w:rPr>
      </w:pPr>
      <w:r>
        <w:rPr>
          <w:sz w:val="20"/>
          <w:szCs w:val="20"/>
        </w:rPr>
        <w:t>We have three reporting segments:</w:t>
      </w:r>
    </w:p>
    <w:p w14:paraId="09B0ECF2"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2B5D06" w14:paraId="1B891077" w14:textId="77777777">
        <w:trPr>
          <w:divId w:val="1684360448"/>
          <w:trHeight w:val="225"/>
          <w:tblCellSpacing w:w="15" w:type="dxa"/>
          <w:jc w:val="center"/>
        </w:trPr>
        <w:tc>
          <w:tcPr>
            <w:tcW w:w="200" w:type="pct"/>
            <w:vAlign w:val="center"/>
            <w:hideMark/>
          </w:tcPr>
          <w:p w14:paraId="637EC692" w14:textId="77777777" w:rsidR="002B5D06" w:rsidRDefault="000B69DD">
            <w:pPr>
              <w:pStyle w:val="NormalWeb"/>
              <w:spacing w:before="0" w:beforeAutospacing="0" w:after="0" w:afterAutospacing="0"/>
              <w:rPr>
                <w:sz w:val="20"/>
                <w:szCs w:val="20"/>
              </w:rPr>
            </w:pPr>
            <w:r>
              <w:rPr>
                <w:sz w:val="20"/>
                <w:szCs w:val="20"/>
              </w:rPr>
              <w:t> </w:t>
            </w:r>
          </w:p>
        </w:tc>
        <w:tc>
          <w:tcPr>
            <w:tcW w:w="200" w:type="pct"/>
            <w:vAlign w:val="center"/>
            <w:hideMark/>
          </w:tcPr>
          <w:p w14:paraId="1194B3E5" w14:textId="77777777" w:rsidR="002B5D06" w:rsidRDefault="000B69DD">
            <w:pPr>
              <w:pStyle w:val="NormalWeb"/>
              <w:spacing w:before="0" w:beforeAutospacing="0" w:after="0" w:afterAutospacing="0"/>
              <w:rPr>
                <w:sz w:val="20"/>
                <w:szCs w:val="20"/>
              </w:rPr>
            </w:pPr>
            <w:r>
              <w:rPr>
                <w:sz w:val="20"/>
                <w:szCs w:val="20"/>
              </w:rPr>
              <w:t xml:space="preserve">1. </w:t>
            </w:r>
          </w:p>
        </w:tc>
        <w:tc>
          <w:tcPr>
            <w:tcW w:w="0" w:type="auto"/>
            <w:hideMark/>
          </w:tcPr>
          <w:p w14:paraId="10C61E67" w14:textId="77777777" w:rsidR="002B5D06" w:rsidRDefault="000B69DD">
            <w:pPr>
              <w:pStyle w:val="NormalWeb"/>
              <w:spacing w:before="0" w:beforeAutospacing="0" w:after="0" w:afterAutospacing="0"/>
              <w:rPr>
                <w:sz w:val="20"/>
                <w:szCs w:val="20"/>
              </w:rPr>
            </w:pPr>
            <w:r>
              <w:rPr>
                <w:sz w:val="20"/>
                <w:szCs w:val="20"/>
              </w:rPr>
              <w:t>The ANV lease segment which leases land in Denmark by long term leases.</w:t>
            </w:r>
          </w:p>
        </w:tc>
      </w:tr>
      <w:tr w:rsidR="002B5D06" w14:paraId="62636CAA" w14:textId="77777777">
        <w:trPr>
          <w:divId w:val="1684360448"/>
          <w:trHeight w:val="225"/>
          <w:tblCellSpacing w:w="15" w:type="dxa"/>
          <w:jc w:val="center"/>
        </w:trPr>
        <w:tc>
          <w:tcPr>
            <w:tcW w:w="0" w:type="auto"/>
            <w:vAlign w:val="center"/>
            <w:hideMark/>
          </w:tcPr>
          <w:p w14:paraId="74495DCC"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3DA060A2" w14:textId="77777777" w:rsidR="002B5D06" w:rsidRDefault="000B69DD">
            <w:pPr>
              <w:pStyle w:val="NormalWeb"/>
              <w:spacing w:before="0" w:beforeAutospacing="0" w:after="0" w:afterAutospacing="0"/>
              <w:rPr>
                <w:sz w:val="20"/>
                <w:szCs w:val="20"/>
              </w:rPr>
            </w:pPr>
            <w:r>
              <w:rPr>
                <w:sz w:val="20"/>
                <w:szCs w:val="20"/>
              </w:rPr>
              <w:t xml:space="preserve">2. </w:t>
            </w:r>
          </w:p>
        </w:tc>
        <w:tc>
          <w:tcPr>
            <w:tcW w:w="0" w:type="auto"/>
            <w:hideMark/>
          </w:tcPr>
          <w:p w14:paraId="4CA7F4B4" w14:textId="77777777" w:rsidR="002B5D06" w:rsidRDefault="000B69DD">
            <w:pPr>
              <w:pStyle w:val="NormalWeb"/>
              <w:spacing w:before="0" w:beforeAutospacing="0" w:after="0" w:afterAutospacing="0"/>
              <w:rPr>
                <w:sz w:val="20"/>
                <w:szCs w:val="20"/>
              </w:rPr>
            </w:pPr>
            <w:r>
              <w:rPr>
                <w:sz w:val="20"/>
                <w:szCs w:val="20"/>
              </w:rPr>
              <w:t>The Sharx’s segment which generate commissions for the sale cargo security products.</w:t>
            </w:r>
          </w:p>
        </w:tc>
      </w:tr>
      <w:tr w:rsidR="002B5D06" w14:paraId="5ECAC3D6" w14:textId="77777777">
        <w:trPr>
          <w:divId w:val="1684360448"/>
          <w:trHeight w:val="225"/>
          <w:tblCellSpacing w:w="15" w:type="dxa"/>
          <w:jc w:val="center"/>
        </w:trPr>
        <w:tc>
          <w:tcPr>
            <w:tcW w:w="0" w:type="auto"/>
            <w:vAlign w:val="center"/>
            <w:hideMark/>
          </w:tcPr>
          <w:p w14:paraId="1B4C9658"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6430669D" w14:textId="77777777" w:rsidR="002B5D06" w:rsidRDefault="000B69DD">
            <w:pPr>
              <w:pStyle w:val="NormalWeb"/>
              <w:spacing w:before="0" w:beforeAutospacing="0" w:after="0" w:afterAutospacing="0"/>
              <w:rPr>
                <w:sz w:val="20"/>
                <w:szCs w:val="20"/>
              </w:rPr>
            </w:pPr>
            <w:r>
              <w:rPr>
                <w:sz w:val="20"/>
                <w:szCs w:val="20"/>
              </w:rPr>
              <w:t xml:space="preserve">3. </w:t>
            </w:r>
          </w:p>
        </w:tc>
        <w:tc>
          <w:tcPr>
            <w:tcW w:w="0" w:type="auto"/>
            <w:hideMark/>
          </w:tcPr>
          <w:p w14:paraId="2FDD7B2A" w14:textId="77777777" w:rsidR="002B5D06" w:rsidRDefault="000B69DD">
            <w:pPr>
              <w:pStyle w:val="NormalWeb"/>
              <w:spacing w:before="0" w:beforeAutospacing="0" w:after="0" w:afterAutospacing="0"/>
              <w:rPr>
                <w:sz w:val="20"/>
                <w:szCs w:val="20"/>
              </w:rPr>
            </w:pPr>
            <w:r>
              <w:rPr>
                <w:sz w:val="20"/>
                <w:szCs w:val="20"/>
              </w:rPr>
              <w:t>The Corporate segment, Advanced Oxygen Technologies, Inc. which does not generate revenues, but has administrative expenses.</w:t>
            </w:r>
          </w:p>
        </w:tc>
      </w:tr>
    </w:tbl>
    <w:p w14:paraId="23C7D0D2"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43A2C73B" w14:textId="77777777" w:rsidR="002B5D06" w:rsidRDefault="000B69DD">
      <w:pPr>
        <w:pStyle w:val="NormalWeb"/>
        <w:spacing w:before="0" w:beforeAutospacing="0" w:after="0" w:afterAutospacing="0"/>
        <w:jc w:val="both"/>
        <w:divId w:val="1684360448"/>
        <w:rPr>
          <w:sz w:val="20"/>
          <w:szCs w:val="20"/>
        </w:rPr>
      </w:pPr>
      <w:r>
        <w:rPr>
          <w:sz w:val="20"/>
          <w:szCs w:val="20"/>
        </w:rPr>
        <w:t>The following table summarizes financial information regarding each reportable segment’s results of operations for the periods presented:</w:t>
      </w:r>
    </w:p>
    <w:p w14:paraId="56C1EC16"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2B5D06" w14:paraId="4B817605" w14:textId="77777777">
        <w:trPr>
          <w:divId w:val="1684360448"/>
          <w:trHeight w:val="225"/>
          <w:tblCellSpacing w:w="15" w:type="dxa"/>
          <w:jc w:val="center"/>
        </w:trPr>
        <w:tc>
          <w:tcPr>
            <w:tcW w:w="0" w:type="auto"/>
            <w:vAlign w:val="center"/>
            <w:hideMark/>
          </w:tcPr>
          <w:p w14:paraId="688AF709"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3633F574"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025C2D2D" w14:textId="77777777" w:rsidR="002B5D06" w:rsidRDefault="000B69DD">
            <w:pPr>
              <w:pStyle w:val="NormalWeb"/>
              <w:spacing w:before="0" w:beforeAutospacing="0" w:after="0" w:afterAutospacing="0"/>
              <w:jc w:val="center"/>
              <w:rPr>
                <w:sz w:val="20"/>
                <w:szCs w:val="20"/>
              </w:rPr>
            </w:pPr>
            <w:r>
              <w:rPr>
                <w:rStyle w:val="Strong"/>
                <w:sz w:val="20"/>
                <w:szCs w:val="20"/>
              </w:rPr>
              <w:t>Year Ended June 30,</w:t>
            </w:r>
          </w:p>
        </w:tc>
        <w:tc>
          <w:tcPr>
            <w:tcW w:w="0" w:type="auto"/>
            <w:noWrap/>
            <w:vAlign w:val="center"/>
            <w:hideMark/>
          </w:tcPr>
          <w:p w14:paraId="253DB625" w14:textId="77777777" w:rsidR="002B5D06" w:rsidRDefault="000B69DD">
            <w:pPr>
              <w:pStyle w:val="NormalWeb"/>
              <w:spacing w:before="0" w:beforeAutospacing="0" w:after="0" w:afterAutospacing="0"/>
              <w:rPr>
                <w:sz w:val="20"/>
                <w:szCs w:val="20"/>
              </w:rPr>
            </w:pPr>
            <w:r>
              <w:rPr>
                <w:sz w:val="20"/>
                <w:szCs w:val="20"/>
              </w:rPr>
              <w:t> </w:t>
            </w:r>
          </w:p>
        </w:tc>
      </w:tr>
      <w:tr w:rsidR="002B5D06" w14:paraId="38DC91E2" w14:textId="77777777">
        <w:trPr>
          <w:divId w:val="1684360448"/>
          <w:trHeight w:val="225"/>
          <w:tblCellSpacing w:w="15" w:type="dxa"/>
          <w:jc w:val="center"/>
        </w:trPr>
        <w:tc>
          <w:tcPr>
            <w:tcW w:w="0" w:type="auto"/>
            <w:vAlign w:val="center"/>
            <w:hideMark/>
          </w:tcPr>
          <w:p w14:paraId="409980B9"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5BEC0A0E"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094A948E" w14:textId="77777777" w:rsidR="002B5D06" w:rsidRDefault="000B69DD">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0D31BA6B"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47C96281"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3D4BB38" w14:textId="77777777" w:rsidR="002B5D06" w:rsidRDefault="000B69DD">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631F0A57" w14:textId="77777777" w:rsidR="002B5D06" w:rsidRDefault="000B69DD">
            <w:pPr>
              <w:pStyle w:val="NormalWeb"/>
              <w:spacing w:before="0" w:beforeAutospacing="0" w:after="0" w:afterAutospacing="0"/>
              <w:rPr>
                <w:sz w:val="20"/>
                <w:szCs w:val="20"/>
              </w:rPr>
            </w:pPr>
            <w:r>
              <w:rPr>
                <w:sz w:val="20"/>
                <w:szCs w:val="20"/>
              </w:rPr>
              <w:t> </w:t>
            </w:r>
          </w:p>
        </w:tc>
      </w:tr>
      <w:tr w:rsidR="002B5D06" w14:paraId="39A306B4" w14:textId="77777777">
        <w:trPr>
          <w:divId w:val="1684360448"/>
          <w:trHeight w:val="225"/>
          <w:tblCellSpacing w:w="15" w:type="dxa"/>
          <w:jc w:val="center"/>
        </w:trPr>
        <w:tc>
          <w:tcPr>
            <w:tcW w:w="0" w:type="auto"/>
            <w:vAlign w:val="center"/>
            <w:hideMark/>
          </w:tcPr>
          <w:p w14:paraId="00D5629F"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1535273C"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vAlign w:val="center"/>
            <w:hideMark/>
          </w:tcPr>
          <w:p w14:paraId="332EE87D"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2999D186"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0D07D62A"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vAlign w:val="center"/>
            <w:hideMark/>
          </w:tcPr>
          <w:p w14:paraId="00AFC83D"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72A1861D" w14:textId="77777777" w:rsidR="002B5D06" w:rsidRDefault="000B69DD">
            <w:pPr>
              <w:pStyle w:val="NormalWeb"/>
              <w:spacing w:before="0" w:beforeAutospacing="0" w:after="0" w:afterAutospacing="0"/>
              <w:rPr>
                <w:sz w:val="20"/>
                <w:szCs w:val="20"/>
              </w:rPr>
            </w:pPr>
            <w:r>
              <w:rPr>
                <w:sz w:val="20"/>
                <w:szCs w:val="20"/>
              </w:rPr>
              <w:t> </w:t>
            </w:r>
          </w:p>
        </w:tc>
      </w:tr>
      <w:tr w:rsidR="002B5D06" w14:paraId="0EDBE163" w14:textId="77777777">
        <w:trPr>
          <w:divId w:val="1684360448"/>
          <w:trHeight w:val="225"/>
          <w:tblCellSpacing w:w="15" w:type="dxa"/>
          <w:jc w:val="center"/>
        </w:trPr>
        <w:tc>
          <w:tcPr>
            <w:tcW w:w="0" w:type="auto"/>
            <w:hideMark/>
          </w:tcPr>
          <w:p w14:paraId="3E44EDE6" w14:textId="77777777" w:rsidR="002B5D06" w:rsidRDefault="000B69DD">
            <w:pPr>
              <w:pStyle w:val="NormalWeb"/>
              <w:spacing w:before="0" w:beforeAutospacing="0" w:after="0" w:afterAutospacing="0"/>
              <w:rPr>
                <w:sz w:val="20"/>
                <w:szCs w:val="20"/>
              </w:rPr>
            </w:pPr>
            <w:r>
              <w:rPr>
                <w:rStyle w:val="Strong"/>
                <w:sz w:val="20"/>
                <w:szCs w:val="20"/>
              </w:rPr>
              <w:t>Revenue by segment</w:t>
            </w:r>
          </w:p>
        </w:tc>
        <w:tc>
          <w:tcPr>
            <w:tcW w:w="50" w:type="pct"/>
            <w:noWrap/>
            <w:vAlign w:val="center"/>
            <w:hideMark/>
          </w:tcPr>
          <w:p w14:paraId="75676778"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vAlign w:val="center"/>
            <w:hideMark/>
          </w:tcPr>
          <w:p w14:paraId="1AF95B69"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6B348583"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58F2DF89"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vAlign w:val="center"/>
            <w:hideMark/>
          </w:tcPr>
          <w:p w14:paraId="787668CD"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719F7F19" w14:textId="77777777" w:rsidR="002B5D06" w:rsidRDefault="000B69DD">
            <w:pPr>
              <w:pStyle w:val="NormalWeb"/>
              <w:spacing w:before="0" w:beforeAutospacing="0" w:after="0" w:afterAutospacing="0"/>
              <w:rPr>
                <w:sz w:val="20"/>
                <w:szCs w:val="20"/>
              </w:rPr>
            </w:pPr>
            <w:r>
              <w:rPr>
                <w:sz w:val="20"/>
                <w:szCs w:val="20"/>
              </w:rPr>
              <w:t> </w:t>
            </w:r>
          </w:p>
        </w:tc>
      </w:tr>
      <w:tr w:rsidR="002B5D06" w14:paraId="5C0B9A44" w14:textId="77777777">
        <w:trPr>
          <w:divId w:val="1684360448"/>
          <w:trHeight w:val="225"/>
          <w:tblCellSpacing w:w="15" w:type="dxa"/>
          <w:jc w:val="center"/>
        </w:trPr>
        <w:tc>
          <w:tcPr>
            <w:tcW w:w="0" w:type="auto"/>
            <w:shd w:val="clear" w:color="auto" w:fill="CCEEFF"/>
            <w:hideMark/>
          </w:tcPr>
          <w:p w14:paraId="24625DD2" w14:textId="77777777" w:rsidR="002B5D06" w:rsidRDefault="000B69DD">
            <w:pPr>
              <w:pStyle w:val="NormalWeb"/>
              <w:spacing w:before="0" w:beforeAutospacing="0" w:after="0" w:afterAutospacing="0"/>
              <w:ind w:left="225"/>
              <w:rPr>
                <w:sz w:val="20"/>
                <w:szCs w:val="20"/>
              </w:rPr>
            </w:pPr>
            <w:r>
              <w:rPr>
                <w:sz w:val="20"/>
                <w:szCs w:val="20"/>
              </w:rPr>
              <w:t>Lease revenues</w:t>
            </w:r>
          </w:p>
        </w:tc>
        <w:tc>
          <w:tcPr>
            <w:tcW w:w="50" w:type="pct"/>
            <w:shd w:val="clear" w:color="auto" w:fill="CCEEFF"/>
            <w:noWrap/>
            <w:vAlign w:val="center"/>
            <w:hideMark/>
          </w:tcPr>
          <w:p w14:paraId="6CB6065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E1F567C"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3345A325" w14:textId="77777777" w:rsidR="002B5D06" w:rsidRDefault="000B69DD">
            <w:pPr>
              <w:jc w:val="right"/>
              <w:rPr>
                <w:rFonts w:eastAsia="Times New Roman"/>
                <w:sz w:val="20"/>
                <w:szCs w:val="20"/>
              </w:rPr>
            </w:pPr>
            <w:r>
              <w:rPr>
                <w:rFonts w:eastAsia="Times New Roman"/>
                <w:sz w:val="20"/>
                <w:szCs w:val="20"/>
              </w:rPr>
              <w:t>43,445</w:t>
            </w:r>
          </w:p>
        </w:tc>
        <w:tc>
          <w:tcPr>
            <w:tcW w:w="50" w:type="pct"/>
            <w:shd w:val="clear" w:color="auto" w:fill="CCEEFF"/>
            <w:noWrap/>
            <w:vAlign w:val="center"/>
            <w:hideMark/>
          </w:tcPr>
          <w:p w14:paraId="1190A2F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4C81C5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BF339AD"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7CF86B33" w14:textId="77777777" w:rsidR="002B5D06" w:rsidRDefault="000B69DD">
            <w:pPr>
              <w:jc w:val="right"/>
              <w:rPr>
                <w:rFonts w:eastAsia="Times New Roman"/>
                <w:sz w:val="20"/>
                <w:szCs w:val="20"/>
              </w:rPr>
            </w:pPr>
            <w:r>
              <w:rPr>
                <w:rFonts w:eastAsia="Times New Roman"/>
                <w:sz w:val="20"/>
                <w:szCs w:val="20"/>
              </w:rPr>
              <w:t>42,577</w:t>
            </w:r>
          </w:p>
        </w:tc>
        <w:tc>
          <w:tcPr>
            <w:tcW w:w="50" w:type="pct"/>
            <w:shd w:val="clear" w:color="auto" w:fill="CCEEFF"/>
            <w:noWrap/>
            <w:vAlign w:val="center"/>
            <w:hideMark/>
          </w:tcPr>
          <w:p w14:paraId="61357D0F" w14:textId="77777777" w:rsidR="002B5D06" w:rsidRDefault="000B69DD">
            <w:pPr>
              <w:pStyle w:val="NormalWeb"/>
              <w:spacing w:before="0" w:beforeAutospacing="0" w:after="0" w:afterAutospacing="0"/>
              <w:rPr>
                <w:sz w:val="20"/>
                <w:szCs w:val="20"/>
              </w:rPr>
            </w:pPr>
            <w:r>
              <w:rPr>
                <w:sz w:val="20"/>
                <w:szCs w:val="20"/>
              </w:rPr>
              <w:t> </w:t>
            </w:r>
          </w:p>
        </w:tc>
      </w:tr>
      <w:tr w:rsidR="002B5D06" w14:paraId="4C273B27" w14:textId="77777777">
        <w:trPr>
          <w:divId w:val="1684360448"/>
          <w:trHeight w:val="225"/>
          <w:tblCellSpacing w:w="15" w:type="dxa"/>
          <w:jc w:val="center"/>
        </w:trPr>
        <w:tc>
          <w:tcPr>
            <w:tcW w:w="0" w:type="auto"/>
            <w:shd w:val="clear" w:color="auto" w:fill="FFFFFF"/>
            <w:hideMark/>
          </w:tcPr>
          <w:p w14:paraId="4429F92C" w14:textId="77777777" w:rsidR="002B5D06" w:rsidRDefault="000B69DD">
            <w:pPr>
              <w:pStyle w:val="NormalWeb"/>
              <w:spacing w:before="0" w:beforeAutospacing="0" w:after="0" w:afterAutospacing="0"/>
              <w:ind w:left="225"/>
              <w:rPr>
                <w:sz w:val="20"/>
                <w:szCs w:val="20"/>
              </w:rPr>
            </w:pPr>
            <w:r>
              <w:rPr>
                <w:sz w:val="20"/>
                <w:szCs w:val="20"/>
              </w:rPr>
              <w:t>Commission revenues from security product sales</w:t>
            </w:r>
          </w:p>
        </w:tc>
        <w:tc>
          <w:tcPr>
            <w:tcW w:w="50" w:type="pct"/>
            <w:shd w:val="clear" w:color="auto" w:fill="FFFFFF"/>
            <w:noWrap/>
            <w:vAlign w:val="center"/>
            <w:hideMark/>
          </w:tcPr>
          <w:p w14:paraId="1948D7F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A92D7EF"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0E72A932"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5FD18D9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53112E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6AEDADE"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3D0F6445"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12867AF1" w14:textId="77777777" w:rsidR="002B5D06" w:rsidRDefault="000B69DD">
            <w:pPr>
              <w:pStyle w:val="NormalWeb"/>
              <w:spacing w:before="0" w:beforeAutospacing="0" w:after="0" w:afterAutospacing="0"/>
              <w:rPr>
                <w:sz w:val="20"/>
                <w:szCs w:val="20"/>
              </w:rPr>
            </w:pPr>
            <w:r>
              <w:rPr>
                <w:sz w:val="20"/>
                <w:szCs w:val="20"/>
              </w:rPr>
              <w:t> </w:t>
            </w:r>
          </w:p>
        </w:tc>
      </w:tr>
      <w:tr w:rsidR="002B5D06" w14:paraId="5E1970BB" w14:textId="77777777">
        <w:trPr>
          <w:divId w:val="1684360448"/>
          <w:trHeight w:val="225"/>
          <w:tblCellSpacing w:w="15" w:type="dxa"/>
          <w:jc w:val="center"/>
        </w:trPr>
        <w:tc>
          <w:tcPr>
            <w:tcW w:w="0" w:type="auto"/>
            <w:shd w:val="clear" w:color="auto" w:fill="CCEEFF"/>
            <w:hideMark/>
          </w:tcPr>
          <w:p w14:paraId="18152B93" w14:textId="77777777" w:rsidR="002B5D06" w:rsidRDefault="000B69DD">
            <w:pPr>
              <w:pStyle w:val="NormalWeb"/>
              <w:spacing w:before="0" w:beforeAutospacing="0" w:after="0" w:afterAutospacing="0"/>
              <w:rPr>
                <w:sz w:val="20"/>
                <w:szCs w:val="20"/>
              </w:rPr>
            </w:pPr>
            <w:r>
              <w:rPr>
                <w:sz w:val="20"/>
                <w:szCs w:val="20"/>
              </w:rPr>
              <w:t>Corporate revenues</w:t>
            </w:r>
          </w:p>
        </w:tc>
        <w:tc>
          <w:tcPr>
            <w:tcW w:w="50" w:type="pct"/>
            <w:shd w:val="clear" w:color="auto" w:fill="CCEEFF"/>
            <w:noWrap/>
            <w:vAlign w:val="center"/>
            <w:hideMark/>
          </w:tcPr>
          <w:p w14:paraId="7F356929"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3F104407"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6E0E9D60"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41B86E1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B64A998"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3FCB175E"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6D4C413F"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216FEE66" w14:textId="77777777" w:rsidR="002B5D06" w:rsidRDefault="000B69DD">
            <w:pPr>
              <w:pStyle w:val="NormalWeb"/>
              <w:spacing w:before="0" w:beforeAutospacing="0" w:after="0" w:afterAutospacing="0"/>
              <w:rPr>
                <w:sz w:val="20"/>
                <w:szCs w:val="20"/>
              </w:rPr>
            </w:pPr>
            <w:r>
              <w:rPr>
                <w:sz w:val="20"/>
                <w:szCs w:val="20"/>
              </w:rPr>
              <w:t> </w:t>
            </w:r>
          </w:p>
        </w:tc>
      </w:tr>
      <w:tr w:rsidR="002B5D06" w14:paraId="28BCE458" w14:textId="77777777">
        <w:trPr>
          <w:divId w:val="1684360448"/>
          <w:trHeight w:val="225"/>
          <w:tblCellSpacing w:w="15" w:type="dxa"/>
          <w:jc w:val="center"/>
        </w:trPr>
        <w:tc>
          <w:tcPr>
            <w:tcW w:w="0" w:type="auto"/>
            <w:shd w:val="clear" w:color="auto" w:fill="FFFFFF"/>
            <w:hideMark/>
          </w:tcPr>
          <w:p w14:paraId="1106A02F" w14:textId="77777777" w:rsidR="002B5D06" w:rsidRDefault="000B69DD">
            <w:pPr>
              <w:pStyle w:val="NormalWeb"/>
              <w:spacing w:before="0" w:beforeAutospacing="0" w:after="0" w:afterAutospacing="0"/>
              <w:rPr>
                <w:sz w:val="20"/>
                <w:szCs w:val="20"/>
              </w:rPr>
            </w:pPr>
            <w:r>
              <w:rPr>
                <w:sz w:val="20"/>
                <w:szCs w:val="20"/>
              </w:rPr>
              <w:t>Total revenue</w:t>
            </w:r>
          </w:p>
        </w:tc>
        <w:tc>
          <w:tcPr>
            <w:tcW w:w="50" w:type="pct"/>
            <w:shd w:val="clear" w:color="auto" w:fill="FFFFFF"/>
            <w:noWrap/>
            <w:vAlign w:val="center"/>
            <w:hideMark/>
          </w:tcPr>
          <w:p w14:paraId="463BF447"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05173365"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661B56DF" w14:textId="77777777" w:rsidR="002B5D06" w:rsidRDefault="000B69DD">
            <w:pPr>
              <w:jc w:val="right"/>
              <w:rPr>
                <w:rFonts w:eastAsia="Times New Roman"/>
                <w:sz w:val="20"/>
                <w:szCs w:val="20"/>
              </w:rPr>
            </w:pPr>
            <w:r>
              <w:rPr>
                <w:rFonts w:eastAsia="Times New Roman"/>
                <w:sz w:val="20"/>
                <w:szCs w:val="20"/>
              </w:rPr>
              <w:t>43,445</w:t>
            </w:r>
          </w:p>
        </w:tc>
        <w:tc>
          <w:tcPr>
            <w:tcW w:w="50" w:type="pct"/>
            <w:shd w:val="clear" w:color="auto" w:fill="FFFFFF"/>
            <w:noWrap/>
            <w:tcMar>
              <w:top w:w="0" w:type="dxa"/>
              <w:left w:w="0" w:type="dxa"/>
              <w:bottom w:w="45" w:type="dxa"/>
              <w:right w:w="0" w:type="dxa"/>
            </w:tcMar>
            <w:vAlign w:val="center"/>
            <w:hideMark/>
          </w:tcPr>
          <w:p w14:paraId="41E0972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013B3D1"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6EE65468"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154100D0" w14:textId="77777777" w:rsidR="002B5D06" w:rsidRDefault="000B69DD">
            <w:pPr>
              <w:jc w:val="right"/>
              <w:rPr>
                <w:rFonts w:eastAsia="Times New Roman"/>
                <w:sz w:val="20"/>
                <w:szCs w:val="20"/>
              </w:rPr>
            </w:pPr>
            <w:r>
              <w:rPr>
                <w:rFonts w:eastAsia="Times New Roman"/>
                <w:sz w:val="20"/>
                <w:szCs w:val="20"/>
              </w:rPr>
              <w:t>42,577</w:t>
            </w:r>
          </w:p>
        </w:tc>
        <w:tc>
          <w:tcPr>
            <w:tcW w:w="50" w:type="pct"/>
            <w:shd w:val="clear" w:color="auto" w:fill="FFFFFF"/>
            <w:noWrap/>
            <w:tcMar>
              <w:top w:w="0" w:type="dxa"/>
              <w:left w:w="0" w:type="dxa"/>
              <w:bottom w:w="45" w:type="dxa"/>
              <w:right w:w="0" w:type="dxa"/>
            </w:tcMar>
            <w:vAlign w:val="center"/>
            <w:hideMark/>
          </w:tcPr>
          <w:p w14:paraId="79C8D5BE" w14:textId="77777777" w:rsidR="002B5D06" w:rsidRDefault="000B69DD">
            <w:pPr>
              <w:pStyle w:val="NormalWeb"/>
              <w:spacing w:before="0" w:beforeAutospacing="0" w:after="0" w:afterAutospacing="0"/>
              <w:rPr>
                <w:sz w:val="20"/>
                <w:szCs w:val="20"/>
              </w:rPr>
            </w:pPr>
            <w:r>
              <w:rPr>
                <w:sz w:val="20"/>
                <w:szCs w:val="20"/>
              </w:rPr>
              <w:t> </w:t>
            </w:r>
          </w:p>
        </w:tc>
      </w:tr>
      <w:tr w:rsidR="002B5D06" w14:paraId="679E7CFE" w14:textId="77777777">
        <w:trPr>
          <w:divId w:val="1684360448"/>
          <w:trHeight w:val="225"/>
          <w:tblCellSpacing w:w="15" w:type="dxa"/>
          <w:jc w:val="center"/>
        </w:trPr>
        <w:tc>
          <w:tcPr>
            <w:tcW w:w="0" w:type="auto"/>
            <w:shd w:val="clear" w:color="auto" w:fill="CCEEFF"/>
            <w:vAlign w:val="center"/>
            <w:hideMark/>
          </w:tcPr>
          <w:p w14:paraId="7190C36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9A64D6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BF3EE09"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37FFC10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99C5F9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F0BF2F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87559D4"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4904014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9B1733B" w14:textId="77777777" w:rsidR="002B5D06" w:rsidRDefault="000B69DD">
            <w:pPr>
              <w:pStyle w:val="NormalWeb"/>
              <w:spacing w:before="0" w:beforeAutospacing="0" w:after="0" w:afterAutospacing="0"/>
              <w:rPr>
                <w:sz w:val="20"/>
                <w:szCs w:val="20"/>
              </w:rPr>
            </w:pPr>
            <w:r>
              <w:rPr>
                <w:sz w:val="20"/>
                <w:szCs w:val="20"/>
              </w:rPr>
              <w:t> </w:t>
            </w:r>
          </w:p>
        </w:tc>
      </w:tr>
      <w:tr w:rsidR="002B5D06" w14:paraId="0DBD4446" w14:textId="77777777">
        <w:trPr>
          <w:divId w:val="1684360448"/>
          <w:trHeight w:val="225"/>
          <w:tblCellSpacing w:w="15" w:type="dxa"/>
          <w:jc w:val="center"/>
        </w:trPr>
        <w:tc>
          <w:tcPr>
            <w:tcW w:w="0" w:type="auto"/>
            <w:shd w:val="clear" w:color="auto" w:fill="FFFFFF"/>
            <w:hideMark/>
          </w:tcPr>
          <w:p w14:paraId="462DFEF4" w14:textId="77777777" w:rsidR="002B5D06" w:rsidRDefault="000B69DD">
            <w:pPr>
              <w:pStyle w:val="NormalWeb"/>
              <w:spacing w:before="0" w:beforeAutospacing="0" w:after="0" w:afterAutospacing="0"/>
              <w:rPr>
                <w:sz w:val="20"/>
                <w:szCs w:val="20"/>
              </w:rPr>
            </w:pPr>
            <w:r>
              <w:rPr>
                <w:rStyle w:val="Strong"/>
                <w:sz w:val="20"/>
                <w:szCs w:val="20"/>
              </w:rPr>
              <w:t>Segment profitability</w:t>
            </w:r>
          </w:p>
        </w:tc>
        <w:tc>
          <w:tcPr>
            <w:tcW w:w="50" w:type="pct"/>
            <w:shd w:val="clear" w:color="auto" w:fill="FFFFFF"/>
            <w:noWrap/>
            <w:vAlign w:val="center"/>
            <w:hideMark/>
          </w:tcPr>
          <w:p w14:paraId="6D9AB8F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3B601BD"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586DAA2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2260CC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8C55AB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6358383"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E02F41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25A5008" w14:textId="77777777" w:rsidR="002B5D06" w:rsidRDefault="000B69DD">
            <w:pPr>
              <w:pStyle w:val="NormalWeb"/>
              <w:spacing w:before="0" w:beforeAutospacing="0" w:after="0" w:afterAutospacing="0"/>
              <w:rPr>
                <w:sz w:val="20"/>
                <w:szCs w:val="20"/>
              </w:rPr>
            </w:pPr>
            <w:r>
              <w:rPr>
                <w:sz w:val="20"/>
                <w:szCs w:val="20"/>
              </w:rPr>
              <w:t> </w:t>
            </w:r>
          </w:p>
        </w:tc>
      </w:tr>
      <w:tr w:rsidR="002B5D06" w14:paraId="5802BB5F" w14:textId="77777777">
        <w:trPr>
          <w:divId w:val="1684360448"/>
          <w:trHeight w:val="225"/>
          <w:tblCellSpacing w:w="15" w:type="dxa"/>
          <w:jc w:val="center"/>
        </w:trPr>
        <w:tc>
          <w:tcPr>
            <w:tcW w:w="0" w:type="auto"/>
            <w:shd w:val="clear" w:color="auto" w:fill="CCEEFF"/>
            <w:hideMark/>
          </w:tcPr>
          <w:p w14:paraId="30F0E8F4" w14:textId="77777777" w:rsidR="002B5D06" w:rsidRDefault="000B69DD">
            <w:pPr>
              <w:pStyle w:val="NormalWeb"/>
              <w:spacing w:before="0" w:beforeAutospacing="0" w:after="0" w:afterAutospacing="0"/>
              <w:ind w:left="225"/>
              <w:rPr>
                <w:sz w:val="20"/>
                <w:szCs w:val="20"/>
              </w:rPr>
            </w:pPr>
            <w:r>
              <w:rPr>
                <w:sz w:val="20"/>
                <w:szCs w:val="20"/>
              </w:rPr>
              <w:t>Lease income (loss)</w:t>
            </w:r>
          </w:p>
        </w:tc>
        <w:tc>
          <w:tcPr>
            <w:tcW w:w="50" w:type="pct"/>
            <w:shd w:val="clear" w:color="auto" w:fill="CCEEFF"/>
            <w:noWrap/>
            <w:vAlign w:val="center"/>
            <w:hideMark/>
          </w:tcPr>
          <w:p w14:paraId="2525A2F9"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FE9E521"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3B07DF15" w14:textId="77777777" w:rsidR="002B5D06" w:rsidRDefault="000B69DD">
            <w:pPr>
              <w:jc w:val="right"/>
              <w:rPr>
                <w:rFonts w:eastAsia="Times New Roman"/>
                <w:sz w:val="20"/>
                <w:szCs w:val="20"/>
              </w:rPr>
            </w:pPr>
            <w:r>
              <w:rPr>
                <w:rFonts w:eastAsia="Times New Roman"/>
                <w:sz w:val="20"/>
                <w:szCs w:val="20"/>
              </w:rPr>
              <w:t>32,707</w:t>
            </w:r>
          </w:p>
        </w:tc>
        <w:tc>
          <w:tcPr>
            <w:tcW w:w="50" w:type="pct"/>
            <w:shd w:val="clear" w:color="auto" w:fill="CCEEFF"/>
            <w:noWrap/>
            <w:vAlign w:val="center"/>
            <w:hideMark/>
          </w:tcPr>
          <w:p w14:paraId="3805F60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7BC5CB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03E6B3D"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25A50649" w14:textId="77777777" w:rsidR="002B5D06" w:rsidRDefault="000B69DD">
            <w:pPr>
              <w:jc w:val="right"/>
              <w:rPr>
                <w:rFonts w:eastAsia="Times New Roman"/>
                <w:sz w:val="20"/>
                <w:szCs w:val="20"/>
              </w:rPr>
            </w:pPr>
            <w:r>
              <w:rPr>
                <w:rFonts w:eastAsia="Times New Roman"/>
                <w:sz w:val="20"/>
                <w:szCs w:val="20"/>
              </w:rPr>
              <w:t>32,564</w:t>
            </w:r>
          </w:p>
        </w:tc>
        <w:tc>
          <w:tcPr>
            <w:tcW w:w="50" w:type="pct"/>
            <w:shd w:val="clear" w:color="auto" w:fill="CCEEFF"/>
            <w:noWrap/>
            <w:vAlign w:val="center"/>
            <w:hideMark/>
          </w:tcPr>
          <w:p w14:paraId="46EEF390" w14:textId="77777777" w:rsidR="002B5D06" w:rsidRDefault="000B69DD">
            <w:pPr>
              <w:pStyle w:val="NormalWeb"/>
              <w:spacing w:before="0" w:beforeAutospacing="0" w:after="0" w:afterAutospacing="0"/>
              <w:rPr>
                <w:sz w:val="20"/>
                <w:szCs w:val="20"/>
              </w:rPr>
            </w:pPr>
            <w:r>
              <w:rPr>
                <w:sz w:val="20"/>
                <w:szCs w:val="20"/>
              </w:rPr>
              <w:t> </w:t>
            </w:r>
          </w:p>
        </w:tc>
      </w:tr>
      <w:tr w:rsidR="002B5D06" w14:paraId="2D817858" w14:textId="77777777">
        <w:trPr>
          <w:divId w:val="1684360448"/>
          <w:trHeight w:val="225"/>
          <w:tblCellSpacing w:w="15" w:type="dxa"/>
          <w:jc w:val="center"/>
        </w:trPr>
        <w:tc>
          <w:tcPr>
            <w:tcW w:w="0" w:type="auto"/>
            <w:shd w:val="clear" w:color="auto" w:fill="FFFFFF"/>
            <w:hideMark/>
          </w:tcPr>
          <w:p w14:paraId="7BDB001A" w14:textId="77777777" w:rsidR="002B5D06" w:rsidRDefault="000B69DD">
            <w:pPr>
              <w:pStyle w:val="NormalWeb"/>
              <w:spacing w:before="0" w:beforeAutospacing="0" w:after="0" w:afterAutospacing="0"/>
              <w:ind w:left="225"/>
              <w:rPr>
                <w:sz w:val="20"/>
                <w:szCs w:val="20"/>
              </w:rPr>
            </w:pPr>
            <w:r>
              <w:rPr>
                <w:sz w:val="20"/>
                <w:szCs w:val="20"/>
              </w:rPr>
              <w:t>Commission income (loss) from security product sales</w:t>
            </w:r>
          </w:p>
        </w:tc>
        <w:tc>
          <w:tcPr>
            <w:tcW w:w="50" w:type="pct"/>
            <w:shd w:val="clear" w:color="auto" w:fill="FFFFFF"/>
            <w:noWrap/>
            <w:vAlign w:val="center"/>
            <w:hideMark/>
          </w:tcPr>
          <w:p w14:paraId="1B9FE86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0A43E31"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17F2B82B"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558FFF5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043B5E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0A5233A"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A451B2C"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38303C2E" w14:textId="77777777" w:rsidR="002B5D06" w:rsidRDefault="000B69DD">
            <w:pPr>
              <w:pStyle w:val="NormalWeb"/>
              <w:spacing w:before="0" w:beforeAutospacing="0" w:after="0" w:afterAutospacing="0"/>
              <w:rPr>
                <w:sz w:val="20"/>
                <w:szCs w:val="20"/>
              </w:rPr>
            </w:pPr>
            <w:r>
              <w:rPr>
                <w:sz w:val="20"/>
                <w:szCs w:val="20"/>
              </w:rPr>
              <w:t> </w:t>
            </w:r>
          </w:p>
        </w:tc>
      </w:tr>
      <w:tr w:rsidR="002B5D06" w14:paraId="5CE4508B" w14:textId="77777777">
        <w:trPr>
          <w:divId w:val="1684360448"/>
          <w:trHeight w:val="225"/>
          <w:tblCellSpacing w:w="15" w:type="dxa"/>
          <w:jc w:val="center"/>
        </w:trPr>
        <w:tc>
          <w:tcPr>
            <w:tcW w:w="0" w:type="auto"/>
            <w:shd w:val="clear" w:color="auto" w:fill="CCEEFF"/>
            <w:hideMark/>
          </w:tcPr>
          <w:p w14:paraId="5AF29452" w14:textId="77777777" w:rsidR="002B5D06" w:rsidRDefault="000B69DD">
            <w:pPr>
              <w:pStyle w:val="NormalWeb"/>
              <w:spacing w:before="0" w:beforeAutospacing="0" w:after="0" w:afterAutospacing="0"/>
              <w:ind w:left="225"/>
              <w:rPr>
                <w:sz w:val="20"/>
                <w:szCs w:val="20"/>
              </w:rPr>
            </w:pPr>
            <w:r>
              <w:rPr>
                <w:sz w:val="20"/>
                <w:szCs w:val="20"/>
              </w:rPr>
              <w:t>Corporate income (loss)</w:t>
            </w:r>
          </w:p>
        </w:tc>
        <w:tc>
          <w:tcPr>
            <w:tcW w:w="50" w:type="pct"/>
            <w:shd w:val="clear" w:color="auto" w:fill="CCEEFF"/>
            <w:noWrap/>
            <w:vAlign w:val="center"/>
            <w:hideMark/>
          </w:tcPr>
          <w:p w14:paraId="2730EB27"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1AB9F716"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6B48B825" w14:textId="77777777" w:rsidR="002B5D06" w:rsidRDefault="000B69DD">
            <w:pPr>
              <w:jc w:val="right"/>
              <w:rPr>
                <w:rFonts w:eastAsia="Times New Roman"/>
                <w:sz w:val="20"/>
                <w:szCs w:val="20"/>
              </w:rPr>
            </w:pPr>
            <w:r>
              <w:rPr>
                <w:rFonts w:eastAsia="Times New Roman"/>
                <w:sz w:val="20"/>
                <w:szCs w:val="20"/>
              </w:rPr>
              <w:t xml:space="preserve">(28,569 </w:t>
            </w:r>
          </w:p>
        </w:tc>
        <w:tc>
          <w:tcPr>
            <w:tcW w:w="50" w:type="pct"/>
            <w:shd w:val="clear" w:color="auto" w:fill="CCEEFF"/>
            <w:noWrap/>
            <w:tcMar>
              <w:top w:w="0" w:type="dxa"/>
              <w:left w:w="0" w:type="dxa"/>
              <w:bottom w:w="15" w:type="dxa"/>
              <w:right w:w="0" w:type="dxa"/>
            </w:tcMar>
            <w:vAlign w:val="bottom"/>
            <w:hideMark/>
          </w:tcPr>
          <w:p w14:paraId="5FCD4346" w14:textId="77777777" w:rsidR="002B5D06" w:rsidRDefault="000B69DD">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609ABA8E"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2AF3C988"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6587281E" w14:textId="77777777" w:rsidR="002B5D06" w:rsidRDefault="000B69DD">
            <w:pPr>
              <w:jc w:val="right"/>
              <w:rPr>
                <w:rFonts w:eastAsia="Times New Roman"/>
                <w:sz w:val="20"/>
                <w:szCs w:val="20"/>
              </w:rPr>
            </w:pPr>
            <w:r>
              <w:rPr>
                <w:rFonts w:eastAsia="Times New Roman"/>
                <w:sz w:val="20"/>
                <w:szCs w:val="20"/>
              </w:rPr>
              <w:t xml:space="preserve">(27,000 </w:t>
            </w:r>
          </w:p>
        </w:tc>
        <w:tc>
          <w:tcPr>
            <w:tcW w:w="50" w:type="pct"/>
            <w:shd w:val="clear" w:color="auto" w:fill="CCEEFF"/>
            <w:noWrap/>
            <w:tcMar>
              <w:top w:w="0" w:type="dxa"/>
              <w:left w:w="0" w:type="dxa"/>
              <w:bottom w:w="15" w:type="dxa"/>
              <w:right w:w="0" w:type="dxa"/>
            </w:tcMar>
            <w:vAlign w:val="bottom"/>
            <w:hideMark/>
          </w:tcPr>
          <w:p w14:paraId="0D1AEC34" w14:textId="77777777" w:rsidR="002B5D06" w:rsidRDefault="000B69DD">
            <w:pPr>
              <w:rPr>
                <w:rFonts w:eastAsia="Times New Roman"/>
                <w:sz w:val="20"/>
                <w:szCs w:val="20"/>
              </w:rPr>
            </w:pPr>
            <w:r>
              <w:rPr>
                <w:rFonts w:eastAsia="Times New Roman"/>
                <w:sz w:val="20"/>
                <w:szCs w:val="20"/>
              </w:rPr>
              <w:t>)</w:t>
            </w:r>
          </w:p>
        </w:tc>
      </w:tr>
      <w:tr w:rsidR="002B5D06" w14:paraId="46D83F14" w14:textId="77777777">
        <w:trPr>
          <w:divId w:val="1684360448"/>
          <w:trHeight w:val="225"/>
          <w:tblCellSpacing w:w="15" w:type="dxa"/>
          <w:jc w:val="center"/>
        </w:trPr>
        <w:tc>
          <w:tcPr>
            <w:tcW w:w="0" w:type="auto"/>
            <w:shd w:val="clear" w:color="auto" w:fill="FFFFFF"/>
            <w:hideMark/>
          </w:tcPr>
          <w:p w14:paraId="3DF2D38A" w14:textId="77777777" w:rsidR="002B5D06" w:rsidRDefault="000B69DD">
            <w:pPr>
              <w:pStyle w:val="NormalWeb"/>
              <w:spacing w:before="0" w:beforeAutospacing="0" w:after="0" w:afterAutospacing="0"/>
              <w:rPr>
                <w:sz w:val="20"/>
                <w:szCs w:val="20"/>
              </w:rPr>
            </w:pPr>
            <w:r>
              <w:rPr>
                <w:sz w:val="20"/>
                <w:szCs w:val="20"/>
              </w:rPr>
              <w:t>Total segment profitability</w:t>
            </w:r>
          </w:p>
        </w:tc>
        <w:tc>
          <w:tcPr>
            <w:tcW w:w="50" w:type="pct"/>
            <w:shd w:val="clear" w:color="auto" w:fill="FFFFFF"/>
            <w:noWrap/>
            <w:vAlign w:val="center"/>
            <w:hideMark/>
          </w:tcPr>
          <w:p w14:paraId="27AA3651"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47F28B74"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3EDCCCAA" w14:textId="77777777" w:rsidR="002B5D06" w:rsidRDefault="000B69DD">
            <w:pPr>
              <w:jc w:val="right"/>
              <w:rPr>
                <w:rFonts w:eastAsia="Times New Roman"/>
                <w:sz w:val="20"/>
                <w:szCs w:val="20"/>
              </w:rPr>
            </w:pPr>
            <w:r>
              <w:rPr>
                <w:rFonts w:eastAsia="Times New Roman"/>
                <w:sz w:val="20"/>
                <w:szCs w:val="20"/>
              </w:rPr>
              <w:t>4,138</w:t>
            </w:r>
          </w:p>
        </w:tc>
        <w:tc>
          <w:tcPr>
            <w:tcW w:w="50" w:type="pct"/>
            <w:shd w:val="clear" w:color="auto" w:fill="FFFFFF"/>
            <w:noWrap/>
            <w:tcMar>
              <w:top w:w="0" w:type="dxa"/>
              <w:left w:w="0" w:type="dxa"/>
              <w:bottom w:w="45" w:type="dxa"/>
              <w:right w:w="0" w:type="dxa"/>
            </w:tcMar>
            <w:vAlign w:val="center"/>
            <w:hideMark/>
          </w:tcPr>
          <w:p w14:paraId="37A4625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85D4925"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6DCBEA5A"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42EA7DB3" w14:textId="77777777" w:rsidR="002B5D06" w:rsidRDefault="000B69DD">
            <w:pPr>
              <w:jc w:val="right"/>
              <w:rPr>
                <w:rFonts w:eastAsia="Times New Roman"/>
                <w:sz w:val="20"/>
                <w:szCs w:val="20"/>
              </w:rPr>
            </w:pPr>
            <w:r>
              <w:rPr>
                <w:rFonts w:eastAsia="Times New Roman"/>
                <w:sz w:val="20"/>
                <w:szCs w:val="20"/>
              </w:rPr>
              <w:t>5,564</w:t>
            </w:r>
          </w:p>
        </w:tc>
        <w:tc>
          <w:tcPr>
            <w:tcW w:w="50" w:type="pct"/>
            <w:shd w:val="clear" w:color="auto" w:fill="FFFFFF"/>
            <w:noWrap/>
            <w:tcMar>
              <w:top w:w="0" w:type="dxa"/>
              <w:left w:w="0" w:type="dxa"/>
              <w:bottom w:w="45" w:type="dxa"/>
              <w:right w:w="0" w:type="dxa"/>
            </w:tcMar>
            <w:vAlign w:val="center"/>
            <w:hideMark/>
          </w:tcPr>
          <w:p w14:paraId="38E5115F" w14:textId="77777777" w:rsidR="002B5D06" w:rsidRDefault="000B69DD">
            <w:pPr>
              <w:pStyle w:val="NormalWeb"/>
              <w:spacing w:before="0" w:beforeAutospacing="0" w:after="0" w:afterAutospacing="0"/>
              <w:rPr>
                <w:sz w:val="20"/>
                <w:szCs w:val="20"/>
              </w:rPr>
            </w:pPr>
            <w:r>
              <w:rPr>
                <w:sz w:val="20"/>
                <w:szCs w:val="20"/>
              </w:rPr>
              <w:t> </w:t>
            </w:r>
          </w:p>
        </w:tc>
      </w:tr>
    </w:tbl>
    <w:p w14:paraId="70F8CCBC"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2B5D06" w14:paraId="2C3500CD" w14:textId="77777777">
        <w:trPr>
          <w:divId w:val="1684360448"/>
          <w:trHeight w:val="225"/>
          <w:tblCellSpacing w:w="15" w:type="dxa"/>
          <w:jc w:val="center"/>
        </w:trPr>
        <w:tc>
          <w:tcPr>
            <w:tcW w:w="0" w:type="auto"/>
            <w:vAlign w:val="center"/>
            <w:hideMark/>
          </w:tcPr>
          <w:p w14:paraId="13D34CC6" w14:textId="77777777" w:rsidR="002B5D06" w:rsidRDefault="000B69DD">
            <w:pPr>
              <w:rPr>
                <w:rFonts w:eastAsia="Times New Roman"/>
                <w:sz w:val="20"/>
                <w:szCs w:val="20"/>
              </w:rPr>
            </w:pPr>
            <w:r>
              <w:rPr>
                <w:rFonts w:eastAsia="Times New Roman"/>
                <w:sz w:val="20"/>
                <w:szCs w:val="20"/>
              </w:rPr>
              <w:t> </w:t>
            </w:r>
          </w:p>
        </w:tc>
      </w:tr>
      <w:tr w:rsidR="002B5D06" w14:paraId="476F81A8" w14:textId="77777777">
        <w:trPr>
          <w:divId w:val="1684360448"/>
          <w:trHeight w:val="225"/>
          <w:tblCellSpacing w:w="15" w:type="dxa"/>
          <w:jc w:val="center"/>
        </w:trPr>
        <w:tc>
          <w:tcPr>
            <w:tcW w:w="0" w:type="auto"/>
            <w:tcBorders>
              <w:bottom w:val="single" w:sz="6" w:space="0" w:color="000000"/>
            </w:tcBorders>
            <w:vAlign w:val="center"/>
            <w:hideMark/>
          </w:tcPr>
          <w:p w14:paraId="086C8D25" w14:textId="77777777" w:rsidR="002B5D06" w:rsidRDefault="000B69DD">
            <w:pPr>
              <w:jc w:val="center"/>
              <w:rPr>
                <w:rFonts w:eastAsia="Times New Roman"/>
                <w:sz w:val="20"/>
                <w:szCs w:val="20"/>
              </w:rPr>
            </w:pPr>
            <w:r>
              <w:rPr>
                <w:rFonts w:eastAsia="Times New Roman"/>
                <w:sz w:val="20"/>
                <w:szCs w:val="20"/>
              </w:rPr>
              <w:t>F-14</w:t>
            </w:r>
          </w:p>
        </w:tc>
      </w:tr>
      <w:tr w:rsidR="002B5D06" w14:paraId="46F8F92C" w14:textId="77777777">
        <w:trPr>
          <w:divId w:val="1684360448"/>
          <w:trHeight w:val="225"/>
          <w:tblCellSpacing w:w="15" w:type="dxa"/>
          <w:jc w:val="center"/>
        </w:trPr>
        <w:tc>
          <w:tcPr>
            <w:tcW w:w="0" w:type="auto"/>
            <w:vAlign w:val="center"/>
            <w:hideMark/>
          </w:tcPr>
          <w:p w14:paraId="1BCDF33C" w14:textId="77777777" w:rsidR="002B5D06" w:rsidRDefault="002B5D06">
            <w:pPr>
              <w:rPr>
                <w:rFonts w:eastAsia="Times New Roman"/>
                <w:sz w:val="20"/>
                <w:szCs w:val="20"/>
              </w:rPr>
            </w:pPr>
          </w:p>
        </w:tc>
      </w:tr>
      <w:tr w:rsidR="002B5D06" w14:paraId="24222086" w14:textId="77777777">
        <w:trPr>
          <w:divId w:val="1684360448"/>
          <w:trHeight w:val="225"/>
          <w:tblCellSpacing w:w="15" w:type="dxa"/>
          <w:jc w:val="center"/>
        </w:trPr>
        <w:tc>
          <w:tcPr>
            <w:tcW w:w="0" w:type="auto"/>
            <w:vAlign w:val="center"/>
            <w:hideMark/>
          </w:tcPr>
          <w:p w14:paraId="587BE58C" w14:textId="77777777" w:rsidR="002B5D06" w:rsidRDefault="002B5D06">
            <w:pPr>
              <w:rPr>
                <w:rFonts w:eastAsia="Times New Roman"/>
                <w:sz w:val="20"/>
                <w:szCs w:val="20"/>
              </w:rPr>
            </w:pPr>
          </w:p>
        </w:tc>
      </w:tr>
    </w:tbl>
    <w:p w14:paraId="4C468766" w14:textId="77777777" w:rsidR="002B5D06" w:rsidRDefault="000B69DD">
      <w:pPr>
        <w:divId w:val="1684360448"/>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48C54246" w14:textId="77777777" w:rsidR="002B5D06" w:rsidRDefault="000B69DD">
      <w:pPr>
        <w:pStyle w:val="NormalWeb"/>
        <w:spacing w:before="0" w:beforeAutospacing="0" w:after="0" w:afterAutospacing="0"/>
        <w:divId w:val="1684360448"/>
        <w:rPr>
          <w:sz w:val="20"/>
          <w:szCs w:val="20"/>
        </w:rPr>
      </w:pPr>
      <w:r>
        <w:rPr>
          <w:sz w:val="20"/>
          <w:szCs w:val="20"/>
        </w:rPr>
        <w:t>  </w:t>
      </w:r>
    </w:p>
    <w:p w14:paraId="528C58B0"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D3328EF" w14:textId="77777777" w:rsidR="002B5D06" w:rsidRDefault="000B69DD">
      <w:pPr>
        <w:pStyle w:val="NormalWeb"/>
        <w:spacing w:before="0" w:beforeAutospacing="0" w:after="0" w:afterAutospacing="0"/>
        <w:jc w:val="both"/>
        <w:divId w:val="1684360448"/>
        <w:rPr>
          <w:sz w:val="20"/>
          <w:szCs w:val="20"/>
        </w:rPr>
      </w:pPr>
      <w:r>
        <w:rPr>
          <w:sz w:val="20"/>
          <w:szCs w:val="20"/>
        </w:rPr>
        <w:t>The following table presents net sales, based on the location in which the sale originated, and long-lived assets, representing property, plant and equipment, net of related depreciation, by geographic region. All of the assets are land that are held by the Company’s subsidiary, ANV.</w:t>
      </w:r>
    </w:p>
    <w:p w14:paraId="5EB64039"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2B5D06" w14:paraId="26288ABF" w14:textId="77777777">
        <w:trPr>
          <w:divId w:val="1684360448"/>
          <w:trHeight w:val="225"/>
          <w:tblCellSpacing w:w="15" w:type="dxa"/>
          <w:jc w:val="center"/>
        </w:trPr>
        <w:tc>
          <w:tcPr>
            <w:tcW w:w="0" w:type="auto"/>
            <w:tcBorders>
              <w:bottom w:val="single" w:sz="6" w:space="0" w:color="auto"/>
            </w:tcBorders>
            <w:vAlign w:val="bottom"/>
            <w:hideMark/>
          </w:tcPr>
          <w:p w14:paraId="10CABE06" w14:textId="77777777" w:rsidR="002B5D06" w:rsidRDefault="000B69DD">
            <w:pPr>
              <w:pStyle w:val="NormalWeb"/>
              <w:spacing w:before="0" w:beforeAutospacing="0" w:after="0" w:afterAutospacing="0"/>
              <w:rPr>
                <w:sz w:val="20"/>
                <w:szCs w:val="20"/>
              </w:rPr>
            </w:pPr>
            <w:r>
              <w:rPr>
                <w:rStyle w:val="Emphasis"/>
                <w:sz w:val="20"/>
                <w:szCs w:val="20"/>
              </w:rPr>
              <w:t>Year Ending June 30:</w:t>
            </w:r>
          </w:p>
        </w:tc>
        <w:tc>
          <w:tcPr>
            <w:tcW w:w="0" w:type="auto"/>
            <w:noWrap/>
            <w:vAlign w:val="center"/>
            <w:hideMark/>
          </w:tcPr>
          <w:p w14:paraId="4CE8B48F"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663BDA0" w14:textId="77777777" w:rsidR="002B5D06" w:rsidRDefault="000B69DD">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0B6E5747"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23170275"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44C5F6CE" w14:textId="77777777" w:rsidR="002B5D06" w:rsidRDefault="000B69DD">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799A0E6E" w14:textId="77777777" w:rsidR="002B5D06" w:rsidRDefault="000B69DD">
            <w:pPr>
              <w:pStyle w:val="NormalWeb"/>
              <w:spacing w:before="0" w:beforeAutospacing="0" w:after="0" w:afterAutospacing="0"/>
              <w:rPr>
                <w:sz w:val="20"/>
                <w:szCs w:val="20"/>
              </w:rPr>
            </w:pPr>
            <w:r>
              <w:rPr>
                <w:sz w:val="20"/>
                <w:szCs w:val="20"/>
              </w:rPr>
              <w:t> </w:t>
            </w:r>
          </w:p>
        </w:tc>
      </w:tr>
      <w:tr w:rsidR="002B5D06" w14:paraId="3E48F03D" w14:textId="77777777">
        <w:trPr>
          <w:divId w:val="1684360448"/>
          <w:trHeight w:val="225"/>
          <w:tblCellSpacing w:w="15" w:type="dxa"/>
          <w:jc w:val="center"/>
        </w:trPr>
        <w:tc>
          <w:tcPr>
            <w:tcW w:w="0" w:type="auto"/>
            <w:hideMark/>
          </w:tcPr>
          <w:p w14:paraId="7C5F93BB" w14:textId="77777777" w:rsidR="002B5D06" w:rsidRDefault="000B69DD">
            <w:pPr>
              <w:pStyle w:val="NormalWeb"/>
              <w:spacing w:before="0" w:beforeAutospacing="0" w:after="0" w:afterAutospacing="0"/>
              <w:rPr>
                <w:sz w:val="20"/>
                <w:szCs w:val="20"/>
              </w:rPr>
            </w:pPr>
            <w:r>
              <w:rPr>
                <w:rStyle w:val="Strong"/>
                <w:sz w:val="20"/>
                <w:szCs w:val="20"/>
              </w:rPr>
              <w:t>Net Sales</w:t>
            </w:r>
          </w:p>
        </w:tc>
        <w:tc>
          <w:tcPr>
            <w:tcW w:w="50" w:type="pct"/>
            <w:noWrap/>
            <w:vAlign w:val="center"/>
            <w:hideMark/>
          </w:tcPr>
          <w:p w14:paraId="79B35EAC"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vAlign w:val="center"/>
            <w:hideMark/>
          </w:tcPr>
          <w:p w14:paraId="7143E27E"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5454FF46"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5BD1F1E0"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vAlign w:val="center"/>
            <w:hideMark/>
          </w:tcPr>
          <w:p w14:paraId="2039093A" w14:textId="77777777" w:rsidR="002B5D06" w:rsidRDefault="000B69DD">
            <w:pPr>
              <w:pStyle w:val="NormalWeb"/>
              <w:spacing w:before="0" w:beforeAutospacing="0" w:after="0" w:afterAutospacing="0"/>
              <w:rPr>
                <w:sz w:val="20"/>
                <w:szCs w:val="20"/>
              </w:rPr>
            </w:pPr>
            <w:r>
              <w:rPr>
                <w:sz w:val="20"/>
                <w:szCs w:val="20"/>
              </w:rPr>
              <w:t> </w:t>
            </w:r>
          </w:p>
        </w:tc>
        <w:tc>
          <w:tcPr>
            <w:tcW w:w="50" w:type="pct"/>
            <w:noWrap/>
            <w:vAlign w:val="center"/>
            <w:hideMark/>
          </w:tcPr>
          <w:p w14:paraId="4723AA4C" w14:textId="77777777" w:rsidR="002B5D06" w:rsidRDefault="000B69DD">
            <w:pPr>
              <w:pStyle w:val="NormalWeb"/>
              <w:spacing w:before="0" w:beforeAutospacing="0" w:after="0" w:afterAutospacing="0"/>
              <w:rPr>
                <w:sz w:val="20"/>
                <w:szCs w:val="20"/>
              </w:rPr>
            </w:pPr>
            <w:r>
              <w:rPr>
                <w:sz w:val="20"/>
                <w:szCs w:val="20"/>
              </w:rPr>
              <w:t> </w:t>
            </w:r>
          </w:p>
        </w:tc>
      </w:tr>
      <w:tr w:rsidR="002B5D06" w14:paraId="7E9EA5C1" w14:textId="77777777">
        <w:trPr>
          <w:divId w:val="1684360448"/>
          <w:trHeight w:val="225"/>
          <w:tblCellSpacing w:w="15" w:type="dxa"/>
          <w:jc w:val="center"/>
        </w:trPr>
        <w:tc>
          <w:tcPr>
            <w:tcW w:w="0" w:type="auto"/>
            <w:shd w:val="clear" w:color="auto" w:fill="CCEEFF"/>
            <w:hideMark/>
          </w:tcPr>
          <w:p w14:paraId="0F352AB5" w14:textId="77777777" w:rsidR="002B5D06" w:rsidRDefault="000B69DD">
            <w:pPr>
              <w:pStyle w:val="NormalWeb"/>
              <w:spacing w:before="0" w:beforeAutospacing="0" w:after="0" w:afterAutospacing="0"/>
              <w:rPr>
                <w:sz w:val="20"/>
                <w:szCs w:val="20"/>
              </w:rPr>
            </w:pPr>
            <w:r>
              <w:rPr>
                <w:sz w:val="20"/>
                <w:szCs w:val="20"/>
              </w:rPr>
              <w:t>United States</w:t>
            </w:r>
          </w:p>
        </w:tc>
        <w:tc>
          <w:tcPr>
            <w:tcW w:w="50" w:type="pct"/>
            <w:shd w:val="clear" w:color="auto" w:fill="CCEEFF"/>
            <w:noWrap/>
            <w:vAlign w:val="center"/>
            <w:hideMark/>
          </w:tcPr>
          <w:p w14:paraId="05B40D5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77177AF"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070958AF"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C9BD87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1CC0B1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BD37F74"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1BCD3ACB"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B553352" w14:textId="77777777" w:rsidR="002B5D06" w:rsidRDefault="000B69DD">
            <w:pPr>
              <w:pStyle w:val="NormalWeb"/>
              <w:spacing w:before="0" w:beforeAutospacing="0" w:after="0" w:afterAutospacing="0"/>
              <w:rPr>
                <w:sz w:val="20"/>
                <w:szCs w:val="20"/>
              </w:rPr>
            </w:pPr>
            <w:r>
              <w:rPr>
                <w:sz w:val="20"/>
                <w:szCs w:val="20"/>
              </w:rPr>
              <w:t> </w:t>
            </w:r>
          </w:p>
        </w:tc>
      </w:tr>
      <w:tr w:rsidR="002B5D06" w14:paraId="72996644" w14:textId="77777777">
        <w:trPr>
          <w:divId w:val="1684360448"/>
          <w:trHeight w:val="225"/>
          <w:tblCellSpacing w:w="15" w:type="dxa"/>
          <w:jc w:val="center"/>
        </w:trPr>
        <w:tc>
          <w:tcPr>
            <w:tcW w:w="0" w:type="auto"/>
            <w:shd w:val="clear" w:color="auto" w:fill="FFFFFF"/>
            <w:hideMark/>
          </w:tcPr>
          <w:p w14:paraId="2749DC91" w14:textId="77777777" w:rsidR="002B5D06" w:rsidRDefault="000B69DD">
            <w:pPr>
              <w:pStyle w:val="NormalWeb"/>
              <w:spacing w:before="0" w:beforeAutospacing="0" w:after="0" w:afterAutospacing="0"/>
              <w:rPr>
                <w:sz w:val="20"/>
                <w:szCs w:val="20"/>
              </w:rPr>
            </w:pPr>
            <w:r>
              <w:rPr>
                <w:sz w:val="20"/>
                <w:szCs w:val="20"/>
              </w:rPr>
              <w:t>Denmark</w:t>
            </w:r>
          </w:p>
        </w:tc>
        <w:tc>
          <w:tcPr>
            <w:tcW w:w="50" w:type="pct"/>
            <w:shd w:val="clear" w:color="auto" w:fill="FFFFFF"/>
            <w:noWrap/>
            <w:vAlign w:val="center"/>
            <w:hideMark/>
          </w:tcPr>
          <w:p w14:paraId="579F7F77"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CE9DB70"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52941E0B" w14:textId="77777777" w:rsidR="002B5D06" w:rsidRDefault="000B69DD">
            <w:pPr>
              <w:jc w:val="right"/>
              <w:rPr>
                <w:rFonts w:eastAsia="Times New Roman"/>
                <w:sz w:val="20"/>
                <w:szCs w:val="20"/>
              </w:rPr>
            </w:pPr>
            <w:r>
              <w:rPr>
                <w:rFonts w:eastAsia="Times New Roman"/>
                <w:sz w:val="20"/>
                <w:szCs w:val="20"/>
              </w:rPr>
              <w:t>43,445</w:t>
            </w:r>
          </w:p>
        </w:tc>
        <w:tc>
          <w:tcPr>
            <w:tcW w:w="50" w:type="pct"/>
            <w:shd w:val="clear" w:color="auto" w:fill="FFFFFF"/>
            <w:noWrap/>
            <w:tcMar>
              <w:top w:w="0" w:type="dxa"/>
              <w:left w:w="0" w:type="dxa"/>
              <w:bottom w:w="15" w:type="dxa"/>
              <w:right w:w="0" w:type="dxa"/>
            </w:tcMar>
            <w:vAlign w:val="center"/>
            <w:hideMark/>
          </w:tcPr>
          <w:p w14:paraId="17517B5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BF58F4D"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6873685"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0C4352FA" w14:textId="77777777" w:rsidR="002B5D06" w:rsidRDefault="000B69DD">
            <w:pPr>
              <w:jc w:val="right"/>
              <w:rPr>
                <w:rFonts w:eastAsia="Times New Roman"/>
                <w:sz w:val="20"/>
                <w:szCs w:val="20"/>
              </w:rPr>
            </w:pPr>
            <w:r>
              <w:rPr>
                <w:rFonts w:eastAsia="Times New Roman"/>
                <w:sz w:val="20"/>
                <w:szCs w:val="20"/>
              </w:rPr>
              <w:t>42,577</w:t>
            </w:r>
          </w:p>
        </w:tc>
        <w:tc>
          <w:tcPr>
            <w:tcW w:w="50" w:type="pct"/>
            <w:shd w:val="clear" w:color="auto" w:fill="FFFFFF"/>
            <w:noWrap/>
            <w:tcMar>
              <w:top w:w="0" w:type="dxa"/>
              <w:left w:w="0" w:type="dxa"/>
              <w:bottom w:w="15" w:type="dxa"/>
              <w:right w:w="0" w:type="dxa"/>
            </w:tcMar>
            <w:vAlign w:val="center"/>
            <w:hideMark/>
          </w:tcPr>
          <w:p w14:paraId="0DD2FF50" w14:textId="77777777" w:rsidR="002B5D06" w:rsidRDefault="000B69DD">
            <w:pPr>
              <w:pStyle w:val="NormalWeb"/>
              <w:spacing w:before="0" w:beforeAutospacing="0" w:after="0" w:afterAutospacing="0"/>
              <w:rPr>
                <w:sz w:val="20"/>
                <w:szCs w:val="20"/>
              </w:rPr>
            </w:pPr>
            <w:r>
              <w:rPr>
                <w:sz w:val="20"/>
                <w:szCs w:val="20"/>
              </w:rPr>
              <w:t> </w:t>
            </w:r>
          </w:p>
        </w:tc>
      </w:tr>
      <w:tr w:rsidR="002B5D06" w14:paraId="106ABEC4" w14:textId="77777777">
        <w:trPr>
          <w:divId w:val="1684360448"/>
          <w:trHeight w:val="225"/>
          <w:tblCellSpacing w:w="15" w:type="dxa"/>
          <w:jc w:val="center"/>
        </w:trPr>
        <w:tc>
          <w:tcPr>
            <w:tcW w:w="0" w:type="auto"/>
            <w:shd w:val="clear" w:color="auto" w:fill="CCEEFF"/>
            <w:hideMark/>
          </w:tcPr>
          <w:p w14:paraId="01F5467A" w14:textId="77777777" w:rsidR="002B5D06" w:rsidRDefault="000B69DD">
            <w:pPr>
              <w:pStyle w:val="NormalWeb"/>
              <w:spacing w:before="0" w:beforeAutospacing="0" w:after="0" w:afterAutospacing="0"/>
              <w:ind w:left="225"/>
              <w:rPr>
                <w:sz w:val="20"/>
                <w:szCs w:val="20"/>
              </w:rPr>
            </w:pPr>
            <w:r>
              <w:rPr>
                <w:sz w:val="20"/>
                <w:szCs w:val="20"/>
              </w:rPr>
              <w:t>Total</w:t>
            </w:r>
          </w:p>
        </w:tc>
        <w:tc>
          <w:tcPr>
            <w:tcW w:w="50" w:type="pct"/>
            <w:shd w:val="clear" w:color="auto" w:fill="CCEEFF"/>
            <w:noWrap/>
            <w:vAlign w:val="center"/>
            <w:hideMark/>
          </w:tcPr>
          <w:p w14:paraId="399D6EE4"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67B3FFFD"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7F70719C" w14:textId="77777777" w:rsidR="002B5D06" w:rsidRDefault="000B69DD">
            <w:pPr>
              <w:jc w:val="right"/>
              <w:rPr>
                <w:rFonts w:eastAsia="Times New Roman"/>
                <w:sz w:val="20"/>
                <w:szCs w:val="20"/>
              </w:rPr>
            </w:pPr>
            <w:r>
              <w:rPr>
                <w:rFonts w:eastAsia="Times New Roman"/>
                <w:sz w:val="20"/>
                <w:szCs w:val="20"/>
              </w:rPr>
              <w:t>43,445</w:t>
            </w:r>
          </w:p>
        </w:tc>
        <w:tc>
          <w:tcPr>
            <w:tcW w:w="50" w:type="pct"/>
            <w:shd w:val="clear" w:color="auto" w:fill="CCEEFF"/>
            <w:noWrap/>
            <w:tcMar>
              <w:top w:w="0" w:type="dxa"/>
              <w:left w:w="0" w:type="dxa"/>
              <w:bottom w:w="45" w:type="dxa"/>
              <w:right w:w="0" w:type="dxa"/>
            </w:tcMar>
            <w:vAlign w:val="center"/>
            <w:hideMark/>
          </w:tcPr>
          <w:p w14:paraId="17C372A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012F3D8"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32218AA0"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4BCFD7D8" w14:textId="77777777" w:rsidR="002B5D06" w:rsidRDefault="000B69DD">
            <w:pPr>
              <w:jc w:val="right"/>
              <w:rPr>
                <w:rFonts w:eastAsia="Times New Roman"/>
                <w:sz w:val="20"/>
                <w:szCs w:val="20"/>
              </w:rPr>
            </w:pPr>
            <w:r>
              <w:rPr>
                <w:rFonts w:eastAsia="Times New Roman"/>
                <w:sz w:val="20"/>
                <w:szCs w:val="20"/>
              </w:rPr>
              <w:t>42,577</w:t>
            </w:r>
          </w:p>
        </w:tc>
        <w:tc>
          <w:tcPr>
            <w:tcW w:w="50" w:type="pct"/>
            <w:shd w:val="clear" w:color="auto" w:fill="CCEEFF"/>
            <w:noWrap/>
            <w:tcMar>
              <w:top w:w="0" w:type="dxa"/>
              <w:left w:w="0" w:type="dxa"/>
              <w:bottom w:w="45" w:type="dxa"/>
              <w:right w:w="0" w:type="dxa"/>
            </w:tcMar>
            <w:vAlign w:val="center"/>
            <w:hideMark/>
          </w:tcPr>
          <w:p w14:paraId="7F984A63" w14:textId="77777777" w:rsidR="002B5D06" w:rsidRDefault="000B69DD">
            <w:pPr>
              <w:pStyle w:val="NormalWeb"/>
              <w:spacing w:before="0" w:beforeAutospacing="0" w:after="0" w:afterAutospacing="0"/>
              <w:rPr>
                <w:sz w:val="20"/>
                <w:szCs w:val="20"/>
              </w:rPr>
            </w:pPr>
            <w:r>
              <w:rPr>
                <w:sz w:val="20"/>
                <w:szCs w:val="20"/>
              </w:rPr>
              <w:t> </w:t>
            </w:r>
          </w:p>
        </w:tc>
      </w:tr>
      <w:tr w:rsidR="002B5D06" w14:paraId="1FDCAAE6" w14:textId="77777777">
        <w:trPr>
          <w:divId w:val="1684360448"/>
          <w:trHeight w:val="225"/>
          <w:tblCellSpacing w:w="15" w:type="dxa"/>
          <w:jc w:val="center"/>
        </w:trPr>
        <w:tc>
          <w:tcPr>
            <w:tcW w:w="0" w:type="auto"/>
            <w:shd w:val="clear" w:color="auto" w:fill="FFFFFF"/>
            <w:vAlign w:val="center"/>
            <w:hideMark/>
          </w:tcPr>
          <w:p w14:paraId="6A250FF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AE32BE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817682C"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5044F7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169DFF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5C144F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27EBF78"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3844A5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524CD16" w14:textId="77777777" w:rsidR="002B5D06" w:rsidRDefault="000B69DD">
            <w:pPr>
              <w:pStyle w:val="NormalWeb"/>
              <w:spacing w:before="0" w:beforeAutospacing="0" w:after="0" w:afterAutospacing="0"/>
              <w:rPr>
                <w:sz w:val="20"/>
                <w:szCs w:val="20"/>
              </w:rPr>
            </w:pPr>
            <w:r>
              <w:rPr>
                <w:sz w:val="20"/>
                <w:szCs w:val="20"/>
              </w:rPr>
              <w:t> </w:t>
            </w:r>
          </w:p>
        </w:tc>
      </w:tr>
      <w:tr w:rsidR="002B5D06" w14:paraId="27C6F309" w14:textId="77777777">
        <w:trPr>
          <w:divId w:val="1684360448"/>
          <w:trHeight w:val="225"/>
          <w:tblCellSpacing w:w="15" w:type="dxa"/>
          <w:jc w:val="center"/>
        </w:trPr>
        <w:tc>
          <w:tcPr>
            <w:tcW w:w="0" w:type="auto"/>
            <w:shd w:val="clear" w:color="auto" w:fill="CCEEFF"/>
            <w:hideMark/>
          </w:tcPr>
          <w:p w14:paraId="6F94EE3A" w14:textId="77777777" w:rsidR="002B5D06" w:rsidRDefault="000B69DD">
            <w:pPr>
              <w:pStyle w:val="NormalWeb"/>
              <w:spacing w:before="0" w:beforeAutospacing="0" w:after="0" w:afterAutospacing="0"/>
              <w:rPr>
                <w:sz w:val="20"/>
                <w:szCs w:val="20"/>
              </w:rPr>
            </w:pPr>
            <w:r>
              <w:rPr>
                <w:rStyle w:val="Strong"/>
                <w:sz w:val="20"/>
                <w:szCs w:val="20"/>
              </w:rPr>
              <w:t>Long-Lived Assets</w:t>
            </w:r>
          </w:p>
        </w:tc>
        <w:tc>
          <w:tcPr>
            <w:tcW w:w="50" w:type="pct"/>
            <w:shd w:val="clear" w:color="auto" w:fill="CCEEFF"/>
            <w:noWrap/>
            <w:vAlign w:val="center"/>
            <w:hideMark/>
          </w:tcPr>
          <w:p w14:paraId="3F841B8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A202E8E"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4FA6DFB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FE253E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8BA145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5AA5F3C"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04146BA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E727388" w14:textId="77777777" w:rsidR="002B5D06" w:rsidRDefault="000B69DD">
            <w:pPr>
              <w:pStyle w:val="NormalWeb"/>
              <w:spacing w:before="0" w:beforeAutospacing="0" w:after="0" w:afterAutospacing="0"/>
              <w:rPr>
                <w:sz w:val="20"/>
                <w:szCs w:val="20"/>
              </w:rPr>
            </w:pPr>
            <w:r>
              <w:rPr>
                <w:sz w:val="20"/>
                <w:szCs w:val="20"/>
              </w:rPr>
              <w:t> </w:t>
            </w:r>
          </w:p>
        </w:tc>
      </w:tr>
      <w:tr w:rsidR="002B5D06" w14:paraId="49BCE9D4" w14:textId="77777777">
        <w:trPr>
          <w:divId w:val="1684360448"/>
          <w:trHeight w:val="225"/>
          <w:tblCellSpacing w:w="15" w:type="dxa"/>
          <w:jc w:val="center"/>
        </w:trPr>
        <w:tc>
          <w:tcPr>
            <w:tcW w:w="0" w:type="auto"/>
            <w:shd w:val="clear" w:color="auto" w:fill="FFFFFF"/>
            <w:hideMark/>
          </w:tcPr>
          <w:p w14:paraId="166676D1" w14:textId="77777777" w:rsidR="002B5D06" w:rsidRDefault="000B69DD">
            <w:pPr>
              <w:pStyle w:val="NormalWeb"/>
              <w:spacing w:before="0" w:beforeAutospacing="0" w:after="0" w:afterAutospacing="0"/>
              <w:rPr>
                <w:sz w:val="20"/>
                <w:szCs w:val="20"/>
              </w:rPr>
            </w:pPr>
            <w:r>
              <w:rPr>
                <w:sz w:val="20"/>
                <w:szCs w:val="20"/>
              </w:rPr>
              <w:t>United States</w:t>
            </w:r>
          </w:p>
        </w:tc>
        <w:tc>
          <w:tcPr>
            <w:tcW w:w="50" w:type="pct"/>
            <w:shd w:val="clear" w:color="auto" w:fill="FFFFFF"/>
            <w:noWrap/>
            <w:vAlign w:val="center"/>
            <w:hideMark/>
          </w:tcPr>
          <w:p w14:paraId="73E8DB88"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473AE5AB" w14:textId="77777777" w:rsidR="002B5D06" w:rsidRDefault="000B69DD">
            <w:pPr>
              <w:rPr>
                <w:rFonts w:eastAsia="Times New Roman"/>
                <w:sz w:val="20"/>
                <w:szCs w:val="20"/>
              </w:rPr>
            </w:pPr>
            <w:r>
              <w:rPr>
                <w:rFonts w:eastAsia="Times New Roman"/>
                <w:sz w:val="20"/>
                <w:szCs w:val="20"/>
              </w:rPr>
              <w:t>$</w:t>
            </w:r>
          </w:p>
        </w:tc>
        <w:tc>
          <w:tcPr>
            <w:tcW w:w="450" w:type="pct"/>
            <w:shd w:val="clear" w:color="auto" w:fill="FFFFFF"/>
            <w:vAlign w:val="bottom"/>
            <w:hideMark/>
          </w:tcPr>
          <w:p w14:paraId="3989B54D"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2FD1F3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3A27AE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3B52FE76" w14:textId="77777777" w:rsidR="002B5D06" w:rsidRDefault="000B69DD">
            <w:pPr>
              <w:rPr>
                <w:rFonts w:eastAsia="Times New Roman"/>
                <w:sz w:val="20"/>
                <w:szCs w:val="20"/>
              </w:rPr>
            </w:pPr>
            <w:r>
              <w:rPr>
                <w:rFonts w:eastAsia="Times New Roman"/>
                <w:sz w:val="20"/>
                <w:szCs w:val="20"/>
              </w:rPr>
              <w:t>$</w:t>
            </w:r>
          </w:p>
        </w:tc>
        <w:tc>
          <w:tcPr>
            <w:tcW w:w="450" w:type="pct"/>
            <w:shd w:val="clear" w:color="auto" w:fill="FFFFFF"/>
            <w:vAlign w:val="bottom"/>
            <w:hideMark/>
          </w:tcPr>
          <w:p w14:paraId="79F8D466"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59F93D99" w14:textId="77777777" w:rsidR="002B5D06" w:rsidRDefault="000B69DD">
            <w:pPr>
              <w:pStyle w:val="NormalWeb"/>
              <w:spacing w:before="0" w:beforeAutospacing="0" w:after="0" w:afterAutospacing="0"/>
              <w:rPr>
                <w:sz w:val="20"/>
                <w:szCs w:val="20"/>
              </w:rPr>
            </w:pPr>
            <w:r>
              <w:rPr>
                <w:sz w:val="20"/>
                <w:szCs w:val="20"/>
              </w:rPr>
              <w:t> </w:t>
            </w:r>
          </w:p>
        </w:tc>
      </w:tr>
      <w:tr w:rsidR="002B5D06" w14:paraId="3F8536C2" w14:textId="77777777">
        <w:trPr>
          <w:divId w:val="1684360448"/>
          <w:trHeight w:val="225"/>
          <w:tblCellSpacing w:w="15" w:type="dxa"/>
          <w:jc w:val="center"/>
        </w:trPr>
        <w:tc>
          <w:tcPr>
            <w:tcW w:w="0" w:type="auto"/>
            <w:shd w:val="clear" w:color="auto" w:fill="CCEEFF"/>
            <w:hideMark/>
          </w:tcPr>
          <w:p w14:paraId="6F633C49" w14:textId="77777777" w:rsidR="002B5D06" w:rsidRDefault="000B69DD">
            <w:pPr>
              <w:pStyle w:val="NormalWeb"/>
              <w:spacing w:before="0" w:beforeAutospacing="0" w:after="0" w:afterAutospacing="0"/>
              <w:rPr>
                <w:sz w:val="20"/>
                <w:szCs w:val="20"/>
              </w:rPr>
            </w:pPr>
            <w:r>
              <w:rPr>
                <w:sz w:val="20"/>
                <w:szCs w:val="20"/>
              </w:rPr>
              <w:t>Denmark</w:t>
            </w:r>
          </w:p>
        </w:tc>
        <w:tc>
          <w:tcPr>
            <w:tcW w:w="50" w:type="pct"/>
            <w:shd w:val="clear" w:color="auto" w:fill="CCEEFF"/>
            <w:noWrap/>
            <w:vAlign w:val="center"/>
            <w:hideMark/>
          </w:tcPr>
          <w:p w14:paraId="4D0CA74B"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797ABBF0"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7488E244" w14:textId="77777777" w:rsidR="002B5D06" w:rsidRDefault="000B69DD">
            <w:pPr>
              <w:jc w:val="right"/>
              <w:rPr>
                <w:rFonts w:eastAsia="Times New Roman"/>
                <w:sz w:val="20"/>
                <w:szCs w:val="20"/>
              </w:rPr>
            </w:pPr>
            <w:r>
              <w:rPr>
                <w:rFonts w:eastAsia="Times New Roman"/>
                <w:sz w:val="20"/>
                <w:szCs w:val="20"/>
              </w:rPr>
              <w:t>634,601</w:t>
            </w:r>
          </w:p>
        </w:tc>
        <w:tc>
          <w:tcPr>
            <w:tcW w:w="50" w:type="pct"/>
            <w:shd w:val="clear" w:color="auto" w:fill="CCEEFF"/>
            <w:noWrap/>
            <w:tcMar>
              <w:top w:w="0" w:type="dxa"/>
              <w:left w:w="0" w:type="dxa"/>
              <w:bottom w:w="15" w:type="dxa"/>
              <w:right w:w="0" w:type="dxa"/>
            </w:tcMar>
            <w:vAlign w:val="center"/>
            <w:hideMark/>
          </w:tcPr>
          <w:p w14:paraId="425D431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EE4857B"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6FE18045" w14:textId="77777777" w:rsidR="002B5D06" w:rsidRDefault="000B69DD">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3902C6EF" w14:textId="77777777" w:rsidR="002B5D06" w:rsidRDefault="000B69DD">
            <w:pPr>
              <w:jc w:val="right"/>
              <w:rPr>
                <w:rFonts w:eastAsia="Times New Roman"/>
                <w:sz w:val="20"/>
                <w:szCs w:val="20"/>
              </w:rPr>
            </w:pPr>
            <w:r>
              <w:rPr>
                <w:rFonts w:eastAsia="Times New Roman"/>
                <w:sz w:val="20"/>
                <w:szCs w:val="20"/>
              </w:rPr>
              <w:t>579,588</w:t>
            </w:r>
          </w:p>
        </w:tc>
        <w:tc>
          <w:tcPr>
            <w:tcW w:w="50" w:type="pct"/>
            <w:shd w:val="clear" w:color="auto" w:fill="CCEEFF"/>
            <w:noWrap/>
            <w:tcMar>
              <w:top w:w="0" w:type="dxa"/>
              <w:left w:w="0" w:type="dxa"/>
              <w:bottom w:w="15" w:type="dxa"/>
              <w:right w:w="0" w:type="dxa"/>
            </w:tcMar>
            <w:vAlign w:val="center"/>
            <w:hideMark/>
          </w:tcPr>
          <w:p w14:paraId="3A96A002" w14:textId="77777777" w:rsidR="002B5D06" w:rsidRDefault="000B69DD">
            <w:pPr>
              <w:pStyle w:val="NormalWeb"/>
              <w:spacing w:before="0" w:beforeAutospacing="0" w:after="0" w:afterAutospacing="0"/>
              <w:rPr>
                <w:sz w:val="20"/>
                <w:szCs w:val="20"/>
              </w:rPr>
            </w:pPr>
            <w:r>
              <w:rPr>
                <w:sz w:val="20"/>
                <w:szCs w:val="20"/>
              </w:rPr>
              <w:t> </w:t>
            </w:r>
          </w:p>
        </w:tc>
      </w:tr>
      <w:tr w:rsidR="002B5D06" w14:paraId="3F40CC90" w14:textId="77777777">
        <w:trPr>
          <w:divId w:val="1684360448"/>
          <w:trHeight w:val="225"/>
          <w:tblCellSpacing w:w="15" w:type="dxa"/>
          <w:jc w:val="center"/>
        </w:trPr>
        <w:tc>
          <w:tcPr>
            <w:tcW w:w="0" w:type="auto"/>
            <w:shd w:val="clear" w:color="auto" w:fill="FFFFFF"/>
            <w:hideMark/>
          </w:tcPr>
          <w:p w14:paraId="749275A2" w14:textId="77777777" w:rsidR="002B5D06" w:rsidRDefault="000B69DD">
            <w:pPr>
              <w:pStyle w:val="NormalWeb"/>
              <w:spacing w:before="0" w:beforeAutospacing="0" w:after="0" w:afterAutospacing="0"/>
              <w:ind w:left="225"/>
              <w:rPr>
                <w:sz w:val="20"/>
                <w:szCs w:val="20"/>
              </w:rPr>
            </w:pPr>
            <w:r>
              <w:rPr>
                <w:sz w:val="20"/>
                <w:szCs w:val="20"/>
              </w:rPr>
              <w:t> Total</w:t>
            </w:r>
          </w:p>
        </w:tc>
        <w:tc>
          <w:tcPr>
            <w:tcW w:w="50" w:type="pct"/>
            <w:shd w:val="clear" w:color="auto" w:fill="FFFFFF"/>
            <w:noWrap/>
            <w:vAlign w:val="center"/>
            <w:hideMark/>
          </w:tcPr>
          <w:p w14:paraId="31B7BACB"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7085C9CC"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579B7EF5" w14:textId="77777777" w:rsidR="002B5D06" w:rsidRDefault="000B69DD">
            <w:pPr>
              <w:jc w:val="right"/>
              <w:rPr>
                <w:rFonts w:eastAsia="Times New Roman"/>
                <w:sz w:val="20"/>
                <w:szCs w:val="20"/>
              </w:rPr>
            </w:pPr>
            <w:r>
              <w:rPr>
                <w:rFonts w:eastAsia="Times New Roman"/>
                <w:sz w:val="20"/>
                <w:szCs w:val="20"/>
              </w:rPr>
              <w:t>634,601</w:t>
            </w:r>
          </w:p>
        </w:tc>
        <w:tc>
          <w:tcPr>
            <w:tcW w:w="50" w:type="pct"/>
            <w:shd w:val="clear" w:color="auto" w:fill="FFFFFF"/>
            <w:noWrap/>
            <w:tcMar>
              <w:top w:w="0" w:type="dxa"/>
              <w:left w:w="0" w:type="dxa"/>
              <w:bottom w:w="45" w:type="dxa"/>
              <w:right w:w="0" w:type="dxa"/>
            </w:tcMar>
            <w:vAlign w:val="center"/>
            <w:hideMark/>
          </w:tcPr>
          <w:p w14:paraId="036273E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305BBF6" w14:textId="77777777" w:rsidR="002B5D06" w:rsidRDefault="000B69DD">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3E08B20C" w14:textId="77777777" w:rsidR="002B5D06" w:rsidRDefault="000B69DD">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6EA33C91" w14:textId="77777777" w:rsidR="002B5D06" w:rsidRDefault="000B69DD">
            <w:pPr>
              <w:jc w:val="right"/>
              <w:rPr>
                <w:rFonts w:eastAsia="Times New Roman"/>
                <w:sz w:val="20"/>
                <w:szCs w:val="20"/>
              </w:rPr>
            </w:pPr>
            <w:r>
              <w:rPr>
                <w:rFonts w:eastAsia="Times New Roman"/>
                <w:sz w:val="20"/>
                <w:szCs w:val="20"/>
              </w:rPr>
              <w:t>579,588</w:t>
            </w:r>
          </w:p>
        </w:tc>
        <w:tc>
          <w:tcPr>
            <w:tcW w:w="50" w:type="pct"/>
            <w:shd w:val="clear" w:color="auto" w:fill="FFFFFF"/>
            <w:noWrap/>
            <w:tcMar>
              <w:top w:w="0" w:type="dxa"/>
              <w:left w:w="0" w:type="dxa"/>
              <w:bottom w:w="45" w:type="dxa"/>
              <w:right w:w="0" w:type="dxa"/>
            </w:tcMar>
            <w:vAlign w:val="center"/>
            <w:hideMark/>
          </w:tcPr>
          <w:p w14:paraId="07576816" w14:textId="77777777" w:rsidR="002B5D06" w:rsidRDefault="000B69DD">
            <w:pPr>
              <w:pStyle w:val="NormalWeb"/>
              <w:spacing w:before="0" w:beforeAutospacing="0" w:after="0" w:afterAutospacing="0"/>
              <w:rPr>
                <w:sz w:val="20"/>
                <w:szCs w:val="20"/>
              </w:rPr>
            </w:pPr>
            <w:r>
              <w:rPr>
                <w:sz w:val="20"/>
                <w:szCs w:val="20"/>
              </w:rPr>
              <w:t> </w:t>
            </w:r>
          </w:p>
        </w:tc>
      </w:tr>
    </w:tbl>
    <w:p w14:paraId="33F48F79"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27"/>
        <w:gridCol w:w="114"/>
        <w:gridCol w:w="130"/>
        <w:gridCol w:w="820"/>
        <w:gridCol w:w="114"/>
        <w:gridCol w:w="114"/>
        <w:gridCol w:w="131"/>
        <w:gridCol w:w="820"/>
        <w:gridCol w:w="114"/>
        <w:gridCol w:w="114"/>
        <w:gridCol w:w="131"/>
        <w:gridCol w:w="820"/>
        <w:gridCol w:w="115"/>
        <w:gridCol w:w="115"/>
        <w:gridCol w:w="130"/>
        <w:gridCol w:w="821"/>
        <w:gridCol w:w="130"/>
      </w:tblGrid>
      <w:tr w:rsidR="002B5D06" w14:paraId="16742EBC" w14:textId="77777777">
        <w:trPr>
          <w:divId w:val="1684360448"/>
          <w:trHeight w:val="225"/>
          <w:tblCellSpacing w:w="15" w:type="dxa"/>
          <w:jc w:val="center"/>
        </w:trPr>
        <w:tc>
          <w:tcPr>
            <w:tcW w:w="0" w:type="auto"/>
            <w:gridSpan w:val="17"/>
            <w:tcBorders>
              <w:bottom w:val="single" w:sz="6" w:space="0" w:color="auto"/>
            </w:tcBorders>
            <w:hideMark/>
          </w:tcPr>
          <w:p w14:paraId="4830E2A8" w14:textId="77777777" w:rsidR="002B5D06" w:rsidRDefault="000B69DD">
            <w:pPr>
              <w:pStyle w:val="NormalWeb"/>
              <w:spacing w:before="0" w:beforeAutospacing="0" w:after="0" w:afterAutospacing="0"/>
              <w:jc w:val="center"/>
              <w:rPr>
                <w:sz w:val="20"/>
                <w:szCs w:val="20"/>
              </w:rPr>
            </w:pPr>
            <w:r>
              <w:rPr>
                <w:rStyle w:val="Strong"/>
                <w:sz w:val="20"/>
                <w:szCs w:val="20"/>
              </w:rPr>
              <w:t>Year Ended June 30, 2025</w:t>
            </w:r>
          </w:p>
        </w:tc>
      </w:tr>
      <w:tr w:rsidR="002B5D06" w14:paraId="32231A5B" w14:textId="77777777">
        <w:trPr>
          <w:divId w:val="1684360448"/>
          <w:trHeight w:val="225"/>
          <w:tblCellSpacing w:w="15" w:type="dxa"/>
          <w:jc w:val="center"/>
        </w:trPr>
        <w:tc>
          <w:tcPr>
            <w:tcW w:w="0" w:type="auto"/>
            <w:vAlign w:val="center"/>
            <w:hideMark/>
          </w:tcPr>
          <w:p w14:paraId="0231A4C3"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458A84BD"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E130D78" w14:textId="77777777" w:rsidR="002B5D06" w:rsidRDefault="000B69DD">
            <w:pPr>
              <w:pStyle w:val="NormalWeb"/>
              <w:spacing w:before="0" w:beforeAutospacing="0" w:after="0" w:afterAutospacing="0"/>
              <w:jc w:val="center"/>
              <w:rPr>
                <w:sz w:val="20"/>
                <w:szCs w:val="20"/>
              </w:rPr>
            </w:pPr>
            <w:r>
              <w:rPr>
                <w:rStyle w:val="Strong"/>
                <w:sz w:val="20"/>
                <w:szCs w:val="20"/>
              </w:rPr>
              <w:t>ANV</w:t>
            </w:r>
          </w:p>
        </w:tc>
        <w:tc>
          <w:tcPr>
            <w:tcW w:w="0" w:type="auto"/>
            <w:noWrap/>
            <w:tcMar>
              <w:top w:w="0" w:type="dxa"/>
              <w:left w:w="0" w:type="dxa"/>
              <w:bottom w:w="15" w:type="dxa"/>
              <w:right w:w="0" w:type="dxa"/>
            </w:tcMar>
            <w:vAlign w:val="center"/>
            <w:hideMark/>
          </w:tcPr>
          <w:p w14:paraId="6BF89805"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3AECF985"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302D26FA" w14:textId="77777777" w:rsidR="002B5D06" w:rsidRDefault="000B69DD">
            <w:pPr>
              <w:pStyle w:val="NormalWeb"/>
              <w:spacing w:before="0" w:beforeAutospacing="0" w:after="0" w:afterAutospacing="0"/>
              <w:jc w:val="center"/>
              <w:rPr>
                <w:sz w:val="20"/>
                <w:szCs w:val="20"/>
              </w:rPr>
            </w:pPr>
            <w:r>
              <w:rPr>
                <w:rStyle w:val="Strong"/>
                <w:sz w:val="20"/>
                <w:szCs w:val="20"/>
              </w:rPr>
              <w:t>Sharx</w:t>
            </w:r>
          </w:p>
        </w:tc>
        <w:tc>
          <w:tcPr>
            <w:tcW w:w="0" w:type="auto"/>
            <w:noWrap/>
            <w:tcMar>
              <w:top w:w="0" w:type="dxa"/>
              <w:left w:w="0" w:type="dxa"/>
              <w:bottom w:w="15" w:type="dxa"/>
              <w:right w:w="0" w:type="dxa"/>
            </w:tcMar>
            <w:vAlign w:val="center"/>
            <w:hideMark/>
          </w:tcPr>
          <w:p w14:paraId="4F3D1F7C"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76EDA9A4"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691F15E" w14:textId="77777777" w:rsidR="002B5D06" w:rsidRDefault="000B69DD">
            <w:pPr>
              <w:pStyle w:val="NormalWeb"/>
              <w:spacing w:before="0" w:beforeAutospacing="0" w:after="0" w:afterAutospacing="0"/>
              <w:jc w:val="center"/>
              <w:rPr>
                <w:sz w:val="20"/>
                <w:szCs w:val="20"/>
              </w:rPr>
            </w:pPr>
            <w:r>
              <w:rPr>
                <w:rStyle w:val="Strong"/>
                <w:sz w:val="20"/>
                <w:szCs w:val="20"/>
              </w:rPr>
              <w:t>Corporate</w:t>
            </w:r>
          </w:p>
        </w:tc>
        <w:tc>
          <w:tcPr>
            <w:tcW w:w="0" w:type="auto"/>
            <w:noWrap/>
            <w:tcMar>
              <w:top w:w="0" w:type="dxa"/>
              <w:left w:w="0" w:type="dxa"/>
              <w:bottom w:w="15" w:type="dxa"/>
              <w:right w:w="0" w:type="dxa"/>
            </w:tcMar>
            <w:vAlign w:val="center"/>
            <w:hideMark/>
          </w:tcPr>
          <w:p w14:paraId="77E54F21"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331996BB"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77B85394" w14:textId="77777777" w:rsidR="002B5D06" w:rsidRDefault="000B69DD">
            <w:pPr>
              <w:pStyle w:val="NormalWeb"/>
              <w:spacing w:before="0" w:beforeAutospacing="0" w:after="0" w:afterAutospacing="0"/>
              <w:jc w:val="center"/>
              <w:rPr>
                <w:sz w:val="20"/>
                <w:szCs w:val="20"/>
              </w:rPr>
            </w:pPr>
            <w:r>
              <w:rPr>
                <w:rStyle w:val="Strong"/>
                <w:sz w:val="20"/>
                <w:szCs w:val="20"/>
              </w:rPr>
              <w:t>Total</w:t>
            </w:r>
          </w:p>
        </w:tc>
        <w:tc>
          <w:tcPr>
            <w:tcW w:w="0" w:type="auto"/>
            <w:noWrap/>
            <w:tcMar>
              <w:top w:w="0" w:type="dxa"/>
              <w:left w:w="0" w:type="dxa"/>
              <w:bottom w:w="15" w:type="dxa"/>
              <w:right w:w="0" w:type="dxa"/>
            </w:tcMar>
            <w:vAlign w:val="center"/>
            <w:hideMark/>
          </w:tcPr>
          <w:p w14:paraId="756B5830" w14:textId="77777777" w:rsidR="002B5D06" w:rsidRDefault="000B69DD">
            <w:pPr>
              <w:pStyle w:val="NormalWeb"/>
              <w:spacing w:before="0" w:beforeAutospacing="0" w:after="0" w:afterAutospacing="0"/>
              <w:rPr>
                <w:sz w:val="20"/>
                <w:szCs w:val="20"/>
              </w:rPr>
            </w:pPr>
            <w:r>
              <w:rPr>
                <w:sz w:val="20"/>
                <w:szCs w:val="20"/>
              </w:rPr>
              <w:t> </w:t>
            </w:r>
          </w:p>
        </w:tc>
      </w:tr>
      <w:tr w:rsidR="002B5D06" w14:paraId="190EF8DC" w14:textId="77777777">
        <w:trPr>
          <w:divId w:val="1684360448"/>
          <w:trHeight w:val="225"/>
          <w:tblCellSpacing w:w="15" w:type="dxa"/>
          <w:jc w:val="center"/>
        </w:trPr>
        <w:tc>
          <w:tcPr>
            <w:tcW w:w="0" w:type="auto"/>
            <w:shd w:val="clear" w:color="auto" w:fill="CCEEFF"/>
            <w:hideMark/>
          </w:tcPr>
          <w:p w14:paraId="07B6E4B6" w14:textId="77777777" w:rsidR="002B5D06" w:rsidRDefault="000B69DD">
            <w:pPr>
              <w:pStyle w:val="NormalWeb"/>
              <w:spacing w:before="0" w:beforeAutospacing="0" w:after="0" w:afterAutospacing="0"/>
              <w:rPr>
                <w:sz w:val="20"/>
                <w:szCs w:val="20"/>
              </w:rPr>
            </w:pPr>
            <w:r>
              <w:rPr>
                <w:sz w:val="20"/>
                <w:szCs w:val="20"/>
              </w:rPr>
              <w:t>Net sales</w:t>
            </w:r>
          </w:p>
        </w:tc>
        <w:tc>
          <w:tcPr>
            <w:tcW w:w="50" w:type="pct"/>
            <w:shd w:val="clear" w:color="auto" w:fill="CCEEFF"/>
            <w:noWrap/>
            <w:vAlign w:val="center"/>
            <w:hideMark/>
          </w:tcPr>
          <w:p w14:paraId="0E70D0D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907AC55"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566AFA84" w14:textId="77777777" w:rsidR="002B5D06" w:rsidRDefault="000B69DD">
            <w:pPr>
              <w:jc w:val="right"/>
              <w:rPr>
                <w:rFonts w:eastAsia="Times New Roman"/>
                <w:sz w:val="20"/>
                <w:szCs w:val="20"/>
              </w:rPr>
            </w:pPr>
            <w:r>
              <w:rPr>
                <w:rFonts w:eastAsia="Times New Roman"/>
                <w:sz w:val="20"/>
                <w:szCs w:val="20"/>
              </w:rPr>
              <w:t>43,445</w:t>
            </w:r>
          </w:p>
        </w:tc>
        <w:tc>
          <w:tcPr>
            <w:tcW w:w="50" w:type="pct"/>
            <w:shd w:val="clear" w:color="auto" w:fill="CCEEFF"/>
            <w:noWrap/>
            <w:vAlign w:val="center"/>
            <w:hideMark/>
          </w:tcPr>
          <w:p w14:paraId="61197849"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9287CA9"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14327B4"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5856E2BB"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844FE9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9E6EA5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AB85057"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2BEED972"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518BAF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0C9535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68E5677"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7D97FFB9" w14:textId="77777777" w:rsidR="002B5D06" w:rsidRDefault="000B69DD">
            <w:pPr>
              <w:jc w:val="right"/>
              <w:rPr>
                <w:rFonts w:eastAsia="Times New Roman"/>
                <w:sz w:val="20"/>
                <w:szCs w:val="20"/>
              </w:rPr>
            </w:pPr>
            <w:r>
              <w:rPr>
                <w:rFonts w:eastAsia="Times New Roman"/>
                <w:sz w:val="20"/>
                <w:szCs w:val="20"/>
              </w:rPr>
              <w:t>43,445</w:t>
            </w:r>
          </w:p>
        </w:tc>
        <w:tc>
          <w:tcPr>
            <w:tcW w:w="50" w:type="pct"/>
            <w:shd w:val="clear" w:color="auto" w:fill="CCEEFF"/>
            <w:noWrap/>
            <w:vAlign w:val="center"/>
            <w:hideMark/>
          </w:tcPr>
          <w:p w14:paraId="4B3A5D02" w14:textId="77777777" w:rsidR="002B5D06" w:rsidRDefault="000B69DD">
            <w:pPr>
              <w:pStyle w:val="NormalWeb"/>
              <w:spacing w:before="0" w:beforeAutospacing="0" w:after="0" w:afterAutospacing="0"/>
              <w:rPr>
                <w:sz w:val="20"/>
                <w:szCs w:val="20"/>
              </w:rPr>
            </w:pPr>
            <w:r>
              <w:rPr>
                <w:sz w:val="20"/>
                <w:szCs w:val="20"/>
              </w:rPr>
              <w:t> </w:t>
            </w:r>
          </w:p>
        </w:tc>
      </w:tr>
      <w:tr w:rsidR="002B5D06" w14:paraId="252EEF2D" w14:textId="77777777">
        <w:trPr>
          <w:divId w:val="1684360448"/>
          <w:trHeight w:val="225"/>
          <w:tblCellSpacing w:w="15" w:type="dxa"/>
          <w:jc w:val="center"/>
        </w:trPr>
        <w:tc>
          <w:tcPr>
            <w:tcW w:w="0" w:type="auto"/>
            <w:shd w:val="clear" w:color="auto" w:fill="FFFFFF"/>
            <w:hideMark/>
          </w:tcPr>
          <w:p w14:paraId="6E6DCF4F" w14:textId="77777777" w:rsidR="002B5D06" w:rsidRDefault="000B69DD">
            <w:pPr>
              <w:pStyle w:val="NormalWeb"/>
              <w:spacing w:before="0" w:beforeAutospacing="0" w:after="0" w:afterAutospacing="0"/>
              <w:rPr>
                <w:sz w:val="20"/>
                <w:szCs w:val="20"/>
              </w:rPr>
            </w:pPr>
            <w:r>
              <w:rPr>
                <w:sz w:val="20"/>
                <w:szCs w:val="20"/>
              </w:rPr>
              <w:t>Operating income (loss)</w:t>
            </w:r>
          </w:p>
        </w:tc>
        <w:tc>
          <w:tcPr>
            <w:tcW w:w="50" w:type="pct"/>
            <w:shd w:val="clear" w:color="auto" w:fill="FFFFFF"/>
            <w:noWrap/>
            <w:vAlign w:val="center"/>
            <w:hideMark/>
          </w:tcPr>
          <w:p w14:paraId="05B6FD2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81B0AA6"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0746CB5" w14:textId="77777777" w:rsidR="002B5D06" w:rsidRDefault="000B69DD">
            <w:pPr>
              <w:jc w:val="right"/>
              <w:rPr>
                <w:rFonts w:eastAsia="Times New Roman"/>
                <w:sz w:val="20"/>
                <w:szCs w:val="20"/>
              </w:rPr>
            </w:pPr>
            <w:r>
              <w:rPr>
                <w:rFonts w:eastAsia="Times New Roman"/>
                <w:sz w:val="20"/>
                <w:szCs w:val="20"/>
              </w:rPr>
              <w:t>42,339</w:t>
            </w:r>
          </w:p>
        </w:tc>
        <w:tc>
          <w:tcPr>
            <w:tcW w:w="50" w:type="pct"/>
            <w:shd w:val="clear" w:color="auto" w:fill="FFFFFF"/>
            <w:noWrap/>
            <w:vAlign w:val="center"/>
            <w:hideMark/>
          </w:tcPr>
          <w:p w14:paraId="2D7B0C89"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49CA0C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7D02D22"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38605874"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632E319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E30F9F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7F36F73"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11075118" w14:textId="77777777" w:rsidR="002B5D06" w:rsidRDefault="000B69DD">
            <w:pPr>
              <w:jc w:val="right"/>
              <w:rPr>
                <w:rFonts w:eastAsia="Times New Roman"/>
                <w:sz w:val="20"/>
                <w:szCs w:val="20"/>
              </w:rPr>
            </w:pPr>
            <w:r>
              <w:rPr>
                <w:rFonts w:eastAsia="Times New Roman"/>
                <w:sz w:val="20"/>
                <w:szCs w:val="20"/>
              </w:rPr>
              <w:t xml:space="preserve">(28,569 </w:t>
            </w:r>
          </w:p>
        </w:tc>
        <w:tc>
          <w:tcPr>
            <w:tcW w:w="50" w:type="pct"/>
            <w:shd w:val="clear" w:color="auto" w:fill="FFFFFF"/>
            <w:noWrap/>
            <w:vAlign w:val="bottom"/>
            <w:hideMark/>
          </w:tcPr>
          <w:p w14:paraId="60BEAFAD" w14:textId="77777777" w:rsidR="002B5D06" w:rsidRDefault="000B69DD">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0E66754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BAD5705"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13F01FD4" w14:textId="77777777" w:rsidR="002B5D06" w:rsidRDefault="000B69DD">
            <w:pPr>
              <w:jc w:val="right"/>
              <w:rPr>
                <w:rFonts w:eastAsia="Times New Roman"/>
                <w:sz w:val="20"/>
                <w:szCs w:val="20"/>
              </w:rPr>
            </w:pPr>
            <w:r>
              <w:rPr>
                <w:rFonts w:eastAsia="Times New Roman"/>
                <w:sz w:val="20"/>
                <w:szCs w:val="20"/>
              </w:rPr>
              <w:t>13,770</w:t>
            </w:r>
          </w:p>
        </w:tc>
        <w:tc>
          <w:tcPr>
            <w:tcW w:w="50" w:type="pct"/>
            <w:shd w:val="clear" w:color="auto" w:fill="FFFFFF"/>
            <w:noWrap/>
            <w:vAlign w:val="center"/>
            <w:hideMark/>
          </w:tcPr>
          <w:p w14:paraId="7E01C6A7" w14:textId="77777777" w:rsidR="002B5D06" w:rsidRDefault="000B69DD">
            <w:pPr>
              <w:pStyle w:val="NormalWeb"/>
              <w:spacing w:before="0" w:beforeAutospacing="0" w:after="0" w:afterAutospacing="0"/>
              <w:rPr>
                <w:sz w:val="20"/>
                <w:szCs w:val="20"/>
              </w:rPr>
            </w:pPr>
            <w:r>
              <w:rPr>
                <w:sz w:val="20"/>
                <w:szCs w:val="20"/>
              </w:rPr>
              <w:t> </w:t>
            </w:r>
          </w:p>
        </w:tc>
      </w:tr>
      <w:tr w:rsidR="002B5D06" w14:paraId="2C74D40E" w14:textId="77777777">
        <w:trPr>
          <w:divId w:val="1684360448"/>
          <w:trHeight w:val="225"/>
          <w:tblCellSpacing w:w="15" w:type="dxa"/>
          <w:jc w:val="center"/>
        </w:trPr>
        <w:tc>
          <w:tcPr>
            <w:tcW w:w="0" w:type="auto"/>
            <w:shd w:val="clear" w:color="auto" w:fill="CCEEFF"/>
            <w:hideMark/>
          </w:tcPr>
          <w:p w14:paraId="149A6A97" w14:textId="77777777" w:rsidR="002B5D06" w:rsidRDefault="000B69DD">
            <w:pPr>
              <w:pStyle w:val="NormalWeb"/>
              <w:spacing w:before="0" w:beforeAutospacing="0" w:after="0" w:afterAutospacing="0"/>
              <w:rPr>
                <w:sz w:val="20"/>
                <w:szCs w:val="20"/>
              </w:rPr>
            </w:pPr>
            <w:r>
              <w:rPr>
                <w:sz w:val="20"/>
                <w:szCs w:val="20"/>
              </w:rPr>
              <w:t>Interest income</w:t>
            </w:r>
          </w:p>
        </w:tc>
        <w:tc>
          <w:tcPr>
            <w:tcW w:w="50" w:type="pct"/>
            <w:shd w:val="clear" w:color="auto" w:fill="CCEEFF"/>
            <w:noWrap/>
            <w:vAlign w:val="center"/>
            <w:hideMark/>
          </w:tcPr>
          <w:p w14:paraId="02F7E32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AD1D66F"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5F1C51EB" w14:textId="77777777" w:rsidR="002B5D06" w:rsidRDefault="000B69DD">
            <w:pPr>
              <w:jc w:val="right"/>
              <w:rPr>
                <w:rFonts w:eastAsia="Times New Roman"/>
                <w:sz w:val="20"/>
                <w:szCs w:val="20"/>
              </w:rPr>
            </w:pPr>
            <w:r>
              <w:rPr>
                <w:rFonts w:eastAsia="Times New Roman"/>
                <w:sz w:val="20"/>
                <w:szCs w:val="20"/>
              </w:rPr>
              <w:t>353</w:t>
            </w:r>
          </w:p>
        </w:tc>
        <w:tc>
          <w:tcPr>
            <w:tcW w:w="50" w:type="pct"/>
            <w:shd w:val="clear" w:color="auto" w:fill="CCEEFF"/>
            <w:noWrap/>
            <w:vAlign w:val="center"/>
            <w:hideMark/>
          </w:tcPr>
          <w:p w14:paraId="5C7F7D0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1EBB15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9FFE505"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901DF6A"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77E49CE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863467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3943933"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586322CE"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6E3B2B6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EFCDDD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5D76F9F"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64E223F7" w14:textId="77777777" w:rsidR="002B5D06" w:rsidRDefault="000B69DD">
            <w:pPr>
              <w:jc w:val="right"/>
              <w:rPr>
                <w:rFonts w:eastAsia="Times New Roman"/>
                <w:sz w:val="20"/>
                <w:szCs w:val="20"/>
              </w:rPr>
            </w:pPr>
            <w:r>
              <w:rPr>
                <w:rFonts w:eastAsia="Times New Roman"/>
                <w:sz w:val="20"/>
                <w:szCs w:val="20"/>
              </w:rPr>
              <w:t>353</w:t>
            </w:r>
          </w:p>
        </w:tc>
        <w:tc>
          <w:tcPr>
            <w:tcW w:w="50" w:type="pct"/>
            <w:shd w:val="clear" w:color="auto" w:fill="CCEEFF"/>
            <w:noWrap/>
            <w:vAlign w:val="center"/>
            <w:hideMark/>
          </w:tcPr>
          <w:p w14:paraId="528AA8A6" w14:textId="77777777" w:rsidR="002B5D06" w:rsidRDefault="000B69DD">
            <w:pPr>
              <w:pStyle w:val="NormalWeb"/>
              <w:spacing w:before="0" w:beforeAutospacing="0" w:after="0" w:afterAutospacing="0"/>
              <w:rPr>
                <w:sz w:val="20"/>
                <w:szCs w:val="20"/>
              </w:rPr>
            </w:pPr>
            <w:r>
              <w:rPr>
                <w:sz w:val="20"/>
                <w:szCs w:val="20"/>
              </w:rPr>
              <w:t> </w:t>
            </w:r>
          </w:p>
        </w:tc>
      </w:tr>
      <w:tr w:rsidR="002B5D06" w14:paraId="69BA0370" w14:textId="77777777">
        <w:trPr>
          <w:divId w:val="1684360448"/>
          <w:trHeight w:val="225"/>
          <w:tblCellSpacing w:w="15" w:type="dxa"/>
          <w:jc w:val="center"/>
        </w:trPr>
        <w:tc>
          <w:tcPr>
            <w:tcW w:w="0" w:type="auto"/>
            <w:shd w:val="clear" w:color="auto" w:fill="FFFFFF"/>
            <w:hideMark/>
          </w:tcPr>
          <w:p w14:paraId="18F7D835" w14:textId="77777777" w:rsidR="002B5D06" w:rsidRDefault="000B69DD">
            <w:pPr>
              <w:pStyle w:val="NormalWeb"/>
              <w:spacing w:before="0" w:beforeAutospacing="0" w:after="0" w:afterAutospacing="0"/>
              <w:rPr>
                <w:sz w:val="20"/>
                <w:szCs w:val="20"/>
              </w:rPr>
            </w:pPr>
            <w:r>
              <w:rPr>
                <w:sz w:val="20"/>
                <w:szCs w:val="20"/>
              </w:rPr>
              <w:t>Total assets</w:t>
            </w:r>
          </w:p>
        </w:tc>
        <w:tc>
          <w:tcPr>
            <w:tcW w:w="50" w:type="pct"/>
            <w:shd w:val="clear" w:color="auto" w:fill="FFFFFF"/>
            <w:noWrap/>
            <w:vAlign w:val="center"/>
            <w:hideMark/>
          </w:tcPr>
          <w:p w14:paraId="772E28C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40DFCEC9" w14:textId="77777777" w:rsidR="002B5D06" w:rsidRDefault="000B69DD">
            <w:pPr>
              <w:rPr>
                <w:rFonts w:eastAsia="Times New Roman"/>
                <w:sz w:val="20"/>
                <w:szCs w:val="20"/>
              </w:rPr>
            </w:pPr>
            <w:r>
              <w:rPr>
                <w:rFonts w:eastAsia="Times New Roman"/>
                <w:sz w:val="20"/>
                <w:szCs w:val="20"/>
              </w:rPr>
              <w:t>$</w:t>
            </w:r>
          </w:p>
        </w:tc>
        <w:tc>
          <w:tcPr>
            <w:tcW w:w="450" w:type="pct"/>
            <w:shd w:val="clear" w:color="auto" w:fill="FFFFFF"/>
            <w:vAlign w:val="bottom"/>
            <w:hideMark/>
          </w:tcPr>
          <w:p w14:paraId="650CC32B" w14:textId="77777777" w:rsidR="002B5D06" w:rsidRDefault="000B69DD">
            <w:pPr>
              <w:jc w:val="right"/>
              <w:rPr>
                <w:rFonts w:eastAsia="Times New Roman"/>
                <w:sz w:val="20"/>
                <w:szCs w:val="20"/>
              </w:rPr>
            </w:pPr>
            <w:r>
              <w:rPr>
                <w:rFonts w:eastAsia="Times New Roman"/>
                <w:sz w:val="20"/>
                <w:szCs w:val="20"/>
              </w:rPr>
              <w:t>692,927</w:t>
            </w:r>
          </w:p>
        </w:tc>
        <w:tc>
          <w:tcPr>
            <w:tcW w:w="50" w:type="pct"/>
            <w:shd w:val="clear" w:color="auto" w:fill="FFFFFF"/>
            <w:noWrap/>
            <w:vAlign w:val="center"/>
            <w:hideMark/>
          </w:tcPr>
          <w:p w14:paraId="35A833C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0D6DCA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1DDC4645" w14:textId="77777777" w:rsidR="002B5D06" w:rsidRDefault="000B69DD">
            <w:pPr>
              <w:rPr>
                <w:rFonts w:eastAsia="Times New Roman"/>
                <w:sz w:val="20"/>
                <w:szCs w:val="20"/>
              </w:rPr>
            </w:pPr>
            <w:r>
              <w:rPr>
                <w:rFonts w:eastAsia="Times New Roman"/>
                <w:sz w:val="20"/>
                <w:szCs w:val="20"/>
              </w:rPr>
              <w:t>$</w:t>
            </w:r>
          </w:p>
        </w:tc>
        <w:tc>
          <w:tcPr>
            <w:tcW w:w="450" w:type="pct"/>
            <w:shd w:val="clear" w:color="auto" w:fill="FFFFFF"/>
            <w:vAlign w:val="bottom"/>
            <w:hideMark/>
          </w:tcPr>
          <w:p w14:paraId="268076BF"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29584146"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9CCE3A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0445A974" w14:textId="77777777" w:rsidR="002B5D06" w:rsidRDefault="000B69DD">
            <w:pPr>
              <w:rPr>
                <w:rFonts w:eastAsia="Times New Roman"/>
                <w:sz w:val="20"/>
                <w:szCs w:val="20"/>
              </w:rPr>
            </w:pPr>
            <w:r>
              <w:rPr>
                <w:rFonts w:eastAsia="Times New Roman"/>
                <w:sz w:val="20"/>
                <w:szCs w:val="20"/>
              </w:rPr>
              <w:t>$</w:t>
            </w:r>
          </w:p>
        </w:tc>
        <w:tc>
          <w:tcPr>
            <w:tcW w:w="450" w:type="pct"/>
            <w:shd w:val="clear" w:color="auto" w:fill="FFFFFF"/>
            <w:vAlign w:val="bottom"/>
            <w:hideMark/>
          </w:tcPr>
          <w:p w14:paraId="7F827452" w14:textId="77777777" w:rsidR="002B5D06" w:rsidRDefault="000B69DD">
            <w:pPr>
              <w:jc w:val="right"/>
              <w:rPr>
                <w:rFonts w:eastAsia="Times New Roman"/>
                <w:sz w:val="20"/>
                <w:szCs w:val="20"/>
              </w:rPr>
            </w:pPr>
            <w:r>
              <w:rPr>
                <w:rFonts w:eastAsia="Times New Roman"/>
                <w:sz w:val="20"/>
                <w:szCs w:val="20"/>
              </w:rPr>
              <w:t>150</w:t>
            </w:r>
          </w:p>
        </w:tc>
        <w:tc>
          <w:tcPr>
            <w:tcW w:w="50" w:type="pct"/>
            <w:shd w:val="clear" w:color="auto" w:fill="FFFFFF"/>
            <w:noWrap/>
            <w:vAlign w:val="center"/>
            <w:hideMark/>
          </w:tcPr>
          <w:p w14:paraId="4AB55BE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A94BA4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26BA7F66" w14:textId="77777777" w:rsidR="002B5D06" w:rsidRDefault="000B69DD">
            <w:pPr>
              <w:rPr>
                <w:rFonts w:eastAsia="Times New Roman"/>
                <w:sz w:val="20"/>
                <w:szCs w:val="20"/>
              </w:rPr>
            </w:pPr>
            <w:r>
              <w:rPr>
                <w:rFonts w:eastAsia="Times New Roman"/>
                <w:sz w:val="20"/>
                <w:szCs w:val="20"/>
              </w:rPr>
              <w:t>$</w:t>
            </w:r>
          </w:p>
        </w:tc>
        <w:tc>
          <w:tcPr>
            <w:tcW w:w="450" w:type="pct"/>
            <w:shd w:val="clear" w:color="auto" w:fill="FFFFFF"/>
            <w:vAlign w:val="bottom"/>
            <w:hideMark/>
          </w:tcPr>
          <w:p w14:paraId="5BB62479" w14:textId="77777777" w:rsidR="002B5D06" w:rsidRDefault="000B69DD">
            <w:pPr>
              <w:jc w:val="right"/>
              <w:rPr>
                <w:rFonts w:eastAsia="Times New Roman"/>
                <w:sz w:val="20"/>
                <w:szCs w:val="20"/>
              </w:rPr>
            </w:pPr>
            <w:r>
              <w:rPr>
                <w:rFonts w:eastAsia="Times New Roman"/>
                <w:sz w:val="20"/>
                <w:szCs w:val="20"/>
              </w:rPr>
              <w:t>693,077</w:t>
            </w:r>
          </w:p>
        </w:tc>
        <w:tc>
          <w:tcPr>
            <w:tcW w:w="50" w:type="pct"/>
            <w:shd w:val="clear" w:color="auto" w:fill="FFFFFF"/>
            <w:noWrap/>
            <w:vAlign w:val="center"/>
            <w:hideMark/>
          </w:tcPr>
          <w:p w14:paraId="75A22D8A" w14:textId="77777777" w:rsidR="002B5D06" w:rsidRDefault="000B69DD">
            <w:pPr>
              <w:pStyle w:val="NormalWeb"/>
              <w:spacing w:before="0" w:beforeAutospacing="0" w:after="0" w:afterAutospacing="0"/>
              <w:rPr>
                <w:sz w:val="20"/>
                <w:szCs w:val="20"/>
              </w:rPr>
            </w:pPr>
            <w:r>
              <w:rPr>
                <w:sz w:val="20"/>
                <w:szCs w:val="20"/>
              </w:rPr>
              <w:t> </w:t>
            </w:r>
          </w:p>
        </w:tc>
      </w:tr>
    </w:tbl>
    <w:p w14:paraId="2022C6B7" w14:textId="77777777" w:rsidR="002B5D06" w:rsidRDefault="000B69DD">
      <w:pPr>
        <w:pStyle w:val="NormalWeb"/>
        <w:spacing w:before="0" w:beforeAutospacing="0" w:after="0" w:afterAutospacing="0"/>
        <w:jc w:val="both"/>
        <w:divId w:val="168436044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27"/>
        <w:gridCol w:w="114"/>
        <w:gridCol w:w="130"/>
        <w:gridCol w:w="820"/>
        <w:gridCol w:w="114"/>
        <w:gridCol w:w="114"/>
        <w:gridCol w:w="131"/>
        <w:gridCol w:w="820"/>
        <w:gridCol w:w="114"/>
        <w:gridCol w:w="114"/>
        <w:gridCol w:w="131"/>
        <w:gridCol w:w="820"/>
        <w:gridCol w:w="115"/>
        <w:gridCol w:w="115"/>
        <w:gridCol w:w="130"/>
        <w:gridCol w:w="821"/>
        <w:gridCol w:w="130"/>
      </w:tblGrid>
      <w:tr w:rsidR="002B5D06" w14:paraId="1332AFA1" w14:textId="77777777">
        <w:trPr>
          <w:divId w:val="1684360448"/>
          <w:trHeight w:val="225"/>
          <w:tblCellSpacing w:w="15" w:type="dxa"/>
          <w:jc w:val="center"/>
        </w:trPr>
        <w:tc>
          <w:tcPr>
            <w:tcW w:w="0" w:type="auto"/>
            <w:gridSpan w:val="17"/>
            <w:tcBorders>
              <w:bottom w:val="single" w:sz="6" w:space="0" w:color="auto"/>
            </w:tcBorders>
            <w:hideMark/>
          </w:tcPr>
          <w:p w14:paraId="712E2AF3" w14:textId="77777777" w:rsidR="002B5D06" w:rsidRDefault="000B69DD">
            <w:pPr>
              <w:pStyle w:val="NormalWeb"/>
              <w:spacing w:before="0" w:beforeAutospacing="0" w:after="0" w:afterAutospacing="0"/>
              <w:jc w:val="center"/>
              <w:rPr>
                <w:sz w:val="20"/>
                <w:szCs w:val="20"/>
              </w:rPr>
            </w:pPr>
            <w:r>
              <w:rPr>
                <w:rStyle w:val="Strong"/>
                <w:sz w:val="20"/>
                <w:szCs w:val="20"/>
              </w:rPr>
              <w:t>Year Ended June 30, 2024</w:t>
            </w:r>
          </w:p>
        </w:tc>
      </w:tr>
      <w:tr w:rsidR="002B5D06" w14:paraId="69A11B43" w14:textId="77777777">
        <w:trPr>
          <w:divId w:val="1684360448"/>
          <w:trHeight w:val="225"/>
          <w:tblCellSpacing w:w="15" w:type="dxa"/>
          <w:jc w:val="center"/>
        </w:trPr>
        <w:tc>
          <w:tcPr>
            <w:tcW w:w="0" w:type="auto"/>
            <w:vAlign w:val="center"/>
            <w:hideMark/>
          </w:tcPr>
          <w:p w14:paraId="1A887700"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004A07BB"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33174469" w14:textId="77777777" w:rsidR="002B5D06" w:rsidRDefault="000B69DD">
            <w:pPr>
              <w:pStyle w:val="NormalWeb"/>
              <w:spacing w:before="0" w:beforeAutospacing="0" w:after="0" w:afterAutospacing="0"/>
              <w:jc w:val="center"/>
              <w:rPr>
                <w:sz w:val="20"/>
                <w:szCs w:val="20"/>
              </w:rPr>
            </w:pPr>
            <w:r>
              <w:rPr>
                <w:rStyle w:val="Strong"/>
                <w:sz w:val="20"/>
                <w:szCs w:val="20"/>
              </w:rPr>
              <w:t>ANV</w:t>
            </w:r>
          </w:p>
        </w:tc>
        <w:tc>
          <w:tcPr>
            <w:tcW w:w="0" w:type="auto"/>
            <w:noWrap/>
            <w:tcMar>
              <w:top w:w="0" w:type="dxa"/>
              <w:left w:w="0" w:type="dxa"/>
              <w:bottom w:w="15" w:type="dxa"/>
              <w:right w:w="0" w:type="dxa"/>
            </w:tcMar>
            <w:vAlign w:val="center"/>
            <w:hideMark/>
          </w:tcPr>
          <w:p w14:paraId="1EA841D2"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37F1D6B4"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53C680D2" w14:textId="77777777" w:rsidR="002B5D06" w:rsidRDefault="000B69DD">
            <w:pPr>
              <w:pStyle w:val="NormalWeb"/>
              <w:spacing w:before="0" w:beforeAutospacing="0" w:after="0" w:afterAutospacing="0"/>
              <w:jc w:val="center"/>
              <w:rPr>
                <w:sz w:val="20"/>
                <w:szCs w:val="20"/>
              </w:rPr>
            </w:pPr>
            <w:r>
              <w:rPr>
                <w:rStyle w:val="Strong"/>
                <w:sz w:val="20"/>
                <w:szCs w:val="20"/>
              </w:rPr>
              <w:t>Sharx</w:t>
            </w:r>
          </w:p>
        </w:tc>
        <w:tc>
          <w:tcPr>
            <w:tcW w:w="0" w:type="auto"/>
            <w:noWrap/>
            <w:tcMar>
              <w:top w:w="0" w:type="dxa"/>
              <w:left w:w="0" w:type="dxa"/>
              <w:bottom w:w="15" w:type="dxa"/>
              <w:right w:w="0" w:type="dxa"/>
            </w:tcMar>
            <w:vAlign w:val="center"/>
            <w:hideMark/>
          </w:tcPr>
          <w:p w14:paraId="0148D26F"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61BD8D24"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3FDC8D59" w14:textId="77777777" w:rsidR="002B5D06" w:rsidRDefault="000B69DD">
            <w:pPr>
              <w:pStyle w:val="NormalWeb"/>
              <w:spacing w:before="0" w:beforeAutospacing="0" w:after="0" w:afterAutospacing="0"/>
              <w:jc w:val="center"/>
              <w:rPr>
                <w:sz w:val="20"/>
                <w:szCs w:val="20"/>
              </w:rPr>
            </w:pPr>
            <w:r>
              <w:rPr>
                <w:rStyle w:val="Strong"/>
                <w:sz w:val="20"/>
                <w:szCs w:val="20"/>
              </w:rPr>
              <w:t>Corporate</w:t>
            </w:r>
          </w:p>
        </w:tc>
        <w:tc>
          <w:tcPr>
            <w:tcW w:w="0" w:type="auto"/>
            <w:noWrap/>
            <w:tcMar>
              <w:top w:w="0" w:type="dxa"/>
              <w:left w:w="0" w:type="dxa"/>
              <w:bottom w:w="15" w:type="dxa"/>
              <w:right w:w="0" w:type="dxa"/>
            </w:tcMar>
            <w:vAlign w:val="center"/>
            <w:hideMark/>
          </w:tcPr>
          <w:p w14:paraId="0B276A86" w14:textId="77777777" w:rsidR="002B5D06" w:rsidRDefault="000B69DD">
            <w:pPr>
              <w:pStyle w:val="NormalWeb"/>
              <w:spacing w:before="0" w:beforeAutospacing="0" w:after="0" w:afterAutospacing="0"/>
              <w:rPr>
                <w:sz w:val="20"/>
                <w:szCs w:val="20"/>
              </w:rPr>
            </w:pPr>
            <w:r>
              <w:rPr>
                <w:sz w:val="20"/>
                <w:szCs w:val="20"/>
              </w:rPr>
              <w:t> </w:t>
            </w:r>
          </w:p>
        </w:tc>
        <w:tc>
          <w:tcPr>
            <w:tcW w:w="0" w:type="auto"/>
            <w:noWrap/>
            <w:vAlign w:val="center"/>
            <w:hideMark/>
          </w:tcPr>
          <w:p w14:paraId="022E4C55" w14:textId="77777777" w:rsidR="002B5D06" w:rsidRDefault="000B69DD">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45330E74" w14:textId="77777777" w:rsidR="002B5D06" w:rsidRDefault="000B69DD">
            <w:pPr>
              <w:pStyle w:val="NormalWeb"/>
              <w:spacing w:before="0" w:beforeAutospacing="0" w:after="0" w:afterAutospacing="0"/>
              <w:jc w:val="center"/>
              <w:rPr>
                <w:sz w:val="20"/>
                <w:szCs w:val="20"/>
              </w:rPr>
            </w:pPr>
            <w:r>
              <w:rPr>
                <w:rStyle w:val="Strong"/>
                <w:sz w:val="20"/>
                <w:szCs w:val="20"/>
              </w:rPr>
              <w:t>Total</w:t>
            </w:r>
          </w:p>
        </w:tc>
        <w:tc>
          <w:tcPr>
            <w:tcW w:w="0" w:type="auto"/>
            <w:noWrap/>
            <w:tcMar>
              <w:top w:w="0" w:type="dxa"/>
              <w:left w:w="0" w:type="dxa"/>
              <w:bottom w:w="15" w:type="dxa"/>
              <w:right w:w="0" w:type="dxa"/>
            </w:tcMar>
            <w:vAlign w:val="center"/>
            <w:hideMark/>
          </w:tcPr>
          <w:p w14:paraId="52BE4D1C" w14:textId="77777777" w:rsidR="002B5D06" w:rsidRDefault="000B69DD">
            <w:pPr>
              <w:pStyle w:val="NormalWeb"/>
              <w:spacing w:before="0" w:beforeAutospacing="0" w:after="0" w:afterAutospacing="0"/>
              <w:rPr>
                <w:sz w:val="20"/>
                <w:szCs w:val="20"/>
              </w:rPr>
            </w:pPr>
            <w:r>
              <w:rPr>
                <w:sz w:val="20"/>
                <w:szCs w:val="20"/>
              </w:rPr>
              <w:t> </w:t>
            </w:r>
          </w:p>
        </w:tc>
      </w:tr>
      <w:tr w:rsidR="002B5D06" w14:paraId="04C2DFDE" w14:textId="77777777">
        <w:trPr>
          <w:divId w:val="1684360448"/>
          <w:trHeight w:val="225"/>
          <w:tblCellSpacing w:w="15" w:type="dxa"/>
          <w:jc w:val="center"/>
        </w:trPr>
        <w:tc>
          <w:tcPr>
            <w:tcW w:w="0" w:type="auto"/>
            <w:shd w:val="clear" w:color="auto" w:fill="CCEEFF"/>
            <w:hideMark/>
          </w:tcPr>
          <w:p w14:paraId="649FCF5A" w14:textId="77777777" w:rsidR="002B5D06" w:rsidRDefault="000B69DD">
            <w:pPr>
              <w:pStyle w:val="NormalWeb"/>
              <w:spacing w:before="0" w:beforeAutospacing="0" w:after="0" w:afterAutospacing="0"/>
              <w:rPr>
                <w:sz w:val="20"/>
                <w:szCs w:val="20"/>
              </w:rPr>
            </w:pPr>
            <w:r>
              <w:rPr>
                <w:sz w:val="20"/>
                <w:szCs w:val="20"/>
              </w:rPr>
              <w:t>Net sales</w:t>
            </w:r>
          </w:p>
        </w:tc>
        <w:tc>
          <w:tcPr>
            <w:tcW w:w="50" w:type="pct"/>
            <w:shd w:val="clear" w:color="auto" w:fill="CCEEFF"/>
            <w:noWrap/>
            <w:vAlign w:val="center"/>
            <w:hideMark/>
          </w:tcPr>
          <w:p w14:paraId="61E28CC1"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B3EB8E1"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404777BD" w14:textId="77777777" w:rsidR="002B5D06" w:rsidRDefault="000B69DD">
            <w:pPr>
              <w:jc w:val="right"/>
              <w:rPr>
                <w:rFonts w:eastAsia="Times New Roman"/>
                <w:sz w:val="20"/>
                <w:szCs w:val="20"/>
              </w:rPr>
            </w:pPr>
            <w:r>
              <w:rPr>
                <w:rFonts w:eastAsia="Times New Roman"/>
                <w:sz w:val="20"/>
                <w:szCs w:val="20"/>
              </w:rPr>
              <w:t>42,577</w:t>
            </w:r>
          </w:p>
        </w:tc>
        <w:tc>
          <w:tcPr>
            <w:tcW w:w="50" w:type="pct"/>
            <w:shd w:val="clear" w:color="auto" w:fill="CCEEFF"/>
            <w:noWrap/>
            <w:vAlign w:val="center"/>
            <w:hideMark/>
          </w:tcPr>
          <w:p w14:paraId="10C96C0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A40E36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66121D0"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175B0D45"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B18C85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0CA74E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1F32D04"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3912B24B"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D4EB7C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FEDCAB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0861AB5" w14:textId="77777777" w:rsidR="002B5D06" w:rsidRDefault="000B69DD">
            <w:pPr>
              <w:rPr>
                <w:rFonts w:eastAsia="Times New Roman"/>
                <w:sz w:val="20"/>
                <w:szCs w:val="20"/>
              </w:rPr>
            </w:pPr>
            <w:r>
              <w:rPr>
                <w:rFonts w:eastAsia="Times New Roman"/>
                <w:sz w:val="20"/>
                <w:szCs w:val="20"/>
              </w:rPr>
              <w:t>$</w:t>
            </w:r>
          </w:p>
        </w:tc>
        <w:tc>
          <w:tcPr>
            <w:tcW w:w="450" w:type="pct"/>
            <w:shd w:val="clear" w:color="auto" w:fill="CCEEFF"/>
            <w:vAlign w:val="bottom"/>
            <w:hideMark/>
          </w:tcPr>
          <w:p w14:paraId="03BB57F7" w14:textId="77777777" w:rsidR="002B5D06" w:rsidRDefault="000B69DD">
            <w:pPr>
              <w:jc w:val="right"/>
              <w:rPr>
                <w:rFonts w:eastAsia="Times New Roman"/>
                <w:sz w:val="20"/>
                <w:szCs w:val="20"/>
              </w:rPr>
            </w:pPr>
            <w:r>
              <w:rPr>
                <w:rFonts w:eastAsia="Times New Roman"/>
                <w:sz w:val="20"/>
                <w:szCs w:val="20"/>
              </w:rPr>
              <w:t>42,577</w:t>
            </w:r>
          </w:p>
        </w:tc>
        <w:tc>
          <w:tcPr>
            <w:tcW w:w="50" w:type="pct"/>
            <w:shd w:val="clear" w:color="auto" w:fill="CCEEFF"/>
            <w:noWrap/>
            <w:vAlign w:val="center"/>
            <w:hideMark/>
          </w:tcPr>
          <w:p w14:paraId="452A59C6" w14:textId="77777777" w:rsidR="002B5D06" w:rsidRDefault="000B69DD">
            <w:pPr>
              <w:pStyle w:val="NormalWeb"/>
              <w:spacing w:before="0" w:beforeAutospacing="0" w:after="0" w:afterAutospacing="0"/>
              <w:rPr>
                <w:sz w:val="20"/>
                <w:szCs w:val="20"/>
              </w:rPr>
            </w:pPr>
            <w:r>
              <w:rPr>
                <w:sz w:val="20"/>
                <w:szCs w:val="20"/>
              </w:rPr>
              <w:t> </w:t>
            </w:r>
          </w:p>
        </w:tc>
      </w:tr>
      <w:tr w:rsidR="002B5D06" w14:paraId="6B5BD175" w14:textId="77777777">
        <w:trPr>
          <w:divId w:val="1684360448"/>
          <w:trHeight w:val="225"/>
          <w:tblCellSpacing w:w="15" w:type="dxa"/>
          <w:jc w:val="center"/>
        </w:trPr>
        <w:tc>
          <w:tcPr>
            <w:tcW w:w="0" w:type="auto"/>
            <w:shd w:val="clear" w:color="auto" w:fill="FFFFFF"/>
            <w:hideMark/>
          </w:tcPr>
          <w:p w14:paraId="43130072" w14:textId="77777777" w:rsidR="002B5D06" w:rsidRDefault="000B69DD">
            <w:pPr>
              <w:pStyle w:val="NormalWeb"/>
              <w:spacing w:before="0" w:beforeAutospacing="0" w:after="0" w:afterAutospacing="0"/>
              <w:rPr>
                <w:sz w:val="20"/>
                <w:szCs w:val="20"/>
              </w:rPr>
            </w:pPr>
            <w:r>
              <w:rPr>
                <w:sz w:val="20"/>
                <w:szCs w:val="20"/>
              </w:rPr>
              <w:t>Operating (loss) income</w:t>
            </w:r>
          </w:p>
        </w:tc>
        <w:tc>
          <w:tcPr>
            <w:tcW w:w="50" w:type="pct"/>
            <w:shd w:val="clear" w:color="auto" w:fill="FFFFFF"/>
            <w:noWrap/>
            <w:vAlign w:val="center"/>
            <w:hideMark/>
          </w:tcPr>
          <w:p w14:paraId="4B04E31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589B73D"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5F47619F" w14:textId="77777777" w:rsidR="002B5D06" w:rsidRDefault="000B69DD">
            <w:pPr>
              <w:jc w:val="right"/>
              <w:rPr>
                <w:rFonts w:eastAsia="Times New Roman"/>
                <w:sz w:val="20"/>
                <w:szCs w:val="20"/>
              </w:rPr>
            </w:pPr>
            <w:r>
              <w:rPr>
                <w:rFonts w:eastAsia="Times New Roman"/>
                <w:sz w:val="20"/>
                <w:szCs w:val="20"/>
              </w:rPr>
              <w:t>41,462</w:t>
            </w:r>
          </w:p>
        </w:tc>
        <w:tc>
          <w:tcPr>
            <w:tcW w:w="50" w:type="pct"/>
            <w:shd w:val="clear" w:color="auto" w:fill="FFFFFF"/>
            <w:noWrap/>
            <w:vAlign w:val="center"/>
            <w:hideMark/>
          </w:tcPr>
          <w:p w14:paraId="5078EF0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A767FFD"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F18D956"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37569C92" w14:textId="77777777" w:rsidR="002B5D06" w:rsidRDefault="000B69DD">
            <w:pPr>
              <w:jc w:val="right"/>
              <w:rPr>
                <w:rFonts w:eastAsia="Times New Roman"/>
                <w:sz w:val="20"/>
                <w:szCs w:val="20"/>
              </w:rPr>
            </w:pPr>
            <w:r>
              <w:rPr>
                <w:rFonts w:eastAsia="Times New Roman"/>
                <w:sz w:val="20"/>
                <w:szCs w:val="20"/>
              </w:rPr>
              <w:t xml:space="preserve">(10 </w:t>
            </w:r>
          </w:p>
        </w:tc>
        <w:tc>
          <w:tcPr>
            <w:tcW w:w="50" w:type="pct"/>
            <w:shd w:val="clear" w:color="auto" w:fill="FFFFFF"/>
            <w:noWrap/>
            <w:vAlign w:val="bottom"/>
            <w:hideMark/>
          </w:tcPr>
          <w:p w14:paraId="10C16F33" w14:textId="77777777" w:rsidR="002B5D06" w:rsidRDefault="000B69DD">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67D3A90E"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E095A66"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07DDCC81" w14:textId="77777777" w:rsidR="002B5D06" w:rsidRDefault="000B69DD">
            <w:pPr>
              <w:jc w:val="right"/>
              <w:rPr>
                <w:rFonts w:eastAsia="Times New Roman"/>
                <w:sz w:val="20"/>
                <w:szCs w:val="20"/>
              </w:rPr>
            </w:pPr>
            <w:r>
              <w:rPr>
                <w:rFonts w:eastAsia="Times New Roman"/>
                <w:sz w:val="20"/>
                <w:szCs w:val="20"/>
              </w:rPr>
              <w:t xml:space="preserve">(27,000 </w:t>
            </w:r>
          </w:p>
        </w:tc>
        <w:tc>
          <w:tcPr>
            <w:tcW w:w="50" w:type="pct"/>
            <w:shd w:val="clear" w:color="auto" w:fill="FFFFFF"/>
            <w:noWrap/>
            <w:vAlign w:val="bottom"/>
            <w:hideMark/>
          </w:tcPr>
          <w:p w14:paraId="62FB3559" w14:textId="77777777" w:rsidR="002B5D06" w:rsidRDefault="000B69DD">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5A3A71EB"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F31355E"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6DD90753" w14:textId="77777777" w:rsidR="002B5D06" w:rsidRDefault="000B69DD">
            <w:pPr>
              <w:jc w:val="right"/>
              <w:rPr>
                <w:rFonts w:eastAsia="Times New Roman"/>
                <w:sz w:val="20"/>
                <w:szCs w:val="20"/>
              </w:rPr>
            </w:pPr>
            <w:r>
              <w:rPr>
                <w:rFonts w:eastAsia="Times New Roman"/>
                <w:sz w:val="20"/>
                <w:szCs w:val="20"/>
              </w:rPr>
              <w:t>14,451</w:t>
            </w:r>
          </w:p>
        </w:tc>
        <w:tc>
          <w:tcPr>
            <w:tcW w:w="50" w:type="pct"/>
            <w:shd w:val="clear" w:color="auto" w:fill="FFFFFF"/>
            <w:noWrap/>
            <w:vAlign w:val="center"/>
            <w:hideMark/>
          </w:tcPr>
          <w:p w14:paraId="39FAF37D" w14:textId="77777777" w:rsidR="002B5D06" w:rsidRDefault="000B69DD">
            <w:pPr>
              <w:pStyle w:val="NormalWeb"/>
              <w:spacing w:before="0" w:beforeAutospacing="0" w:after="0" w:afterAutospacing="0"/>
              <w:rPr>
                <w:sz w:val="20"/>
                <w:szCs w:val="20"/>
              </w:rPr>
            </w:pPr>
            <w:r>
              <w:rPr>
                <w:sz w:val="20"/>
                <w:szCs w:val="20"/>
              </w:rPr>
              <w:t> </w:t>
            </w:r>
          </w:p>
        </w:tc>
      </w:tr>
      <w:tr w:rsidR="002B5D06" w14:paraId="1EAE05CF" w14:textId="77777777">
        <w:trPr>
          <w:divId w:val="1684360448"/>
          <w:trHeight w:val="225"/>
          <w:tblCellSpacing w:w="15" w:type="dxa"/>
          <w:jc w:val="center"/>
        </w:trPr>
        <w:tc>
          <w:tcPr>
            <w:tcW w:w="0" w:type="auto"/>
            <w:shd w:val="clear" w:color="auto" w:fill="CCEEFF"/>
            <w:hideMark/>
          </w:tcPr>
          <w:p w14:paraId="3C7F678C" w14:textId="77777777" w:rsidR="002B5D06" w:rsidRDefault="000B69DD">
            <w:pPr>
              <w:pStyle w:val="NormalWeb"/>
              <w:spacing w:before="0" w:beforeAutospacing="0" w:after="0" w:afterAutospacing="0"/>
              <w:rPr>
                <w:sz w:val="20"/>
                <w:szCs w:val="20"/>
              </w:rPr>
            </w:pPr>
            <w:r>
              <w:rPr>
                <w:sz w:val="20"/>
                <w:szCs w:val="20"/>
              </w:rPr>
              <w:t>Interest income</w:t>
            </w:r>
          </w:p>
        </w:tc>
        <w:tc>
          <w:tcPr>
            <w:tcW w:w="50" w:type="pct"/>
            <w:shd w:val="clear" w:color="auto" w:fill="CCEEFF"/>
            <w:noWrap/>
            <w:vAlign w:val="center"/>
            <w:hideMark/>
          </w:tcPr>
          <w:p w14:paraId="7EB42B04"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0E32B64"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6048DBF" w14:textId="77777777" w:rsidR="002B5D06" w:rsidRDefault="000B69DD">
            <w:pPr>
              <w:jc w:val="right"/>
              <w:rPr>
                <w:rFonts w:eastAsia="Times New Roman"/>
                <w:sz w:val="20"/>
                <w:szCs w:val="20"/>
              </w:rPr>
            </w:pPr>
            <w:r>
              <w:rPr>
                <w:rFonts w:eastAsia="Times New Roman"/>
                <w:sz w:val="20"/>
                <w:szCs w:val="20"/>
              </w:rPr>
              <w:t>286</w:t>
            </w:r>
          </w:p>
        </w:tc>
        <w:tc>
          <w:tcPr>
            <w:tcW w:w="50" w:type="pct"/>
            <w:shd w:val="clear" w:color="auto" w:fill="CCEEFF"/>
            <w:noWrap/>
            <w:vAlign w:val="center"/>
            <w:hideMark/>
          </w:tcPr>
          <w:p w14:paraId="77BE99D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621F6C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004E006"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61314B5" w14:textId="77777777" w:rsidR="002B5D06" w:rsidRDefault="000B69DD">
            <w:pPr>
              <w:jc w:val="right"/>
              <w:rPr>
                <w:rFonts w:eastAsia="Times New Roman"/>
                <w:sz w:val="20"/>
                <w:szCs w:val="20"/>
              </w:rPr>
            </w:pPr>
            <w:r>
              <w:rPr>
                <w:rFonts w:eastAsia="Times New Roman"/>
                <w:sz w:val="20"/>
                <w:szCs w:val="20"/>
              </w:rPr>
              <w:t>10</w:t>
            </w:r>
          </w:p>
        </w:tc>
        <w:tc>
          <w:tcPr>
            <w:tcW w:w="50" w:type="pct"/>
            <w:shd w:val="clear" w:color="auto" w:fill="CCEEFF"/>
            <w:noWrap/>
            <w:vAlign w:val="center"/>
            <w:hideMark/>
          </w:tcPr>
          <w:p w14:paraId="750E250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AAEEC4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3AC753A"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6A1A2CCD"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935A28C"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9A981D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6E6082B" w14:textId="77777777" w:rsidR="002B5D06" w:rsidRDefault="000B69DD">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61D419E8" w14:textId="77777777" w:rsidR="002B5D06" w:rsidRDefault="000B69DD">
            <w:pPr>
              <w:jc w:val="right"/>
              <w:rPr>
                <w:rFonts w:eastAsia="Times New Roman"/>
                <w:sz w:val="20"/>
                <w:szCs w:val="20"/>
              </w:rPr>
            </w:pPr>
            <w:r>
              <w:rPr>
                <w:rFonts w:eastAsia="Times New Roman"/>
                <w:sz w:val="20"/>
                <w:szCs w:val="20"/>
              </w:rPr>
              <w:t>296</w:t>
            </w:r>
          </w:p>
        </w:tc>
        <w:tc>
          <w:tcPr>
            <w:tcW w:w="50" w:type="pct"/>
            <w:shd w:val="clear" w:color="auto" w:fill="CCEEFF"/>
            <w:noWrap/>
            <w:vAlign w:val="center"/>
            <w:hideMark/>
          </w:tcPr>
          <w:p w14:paraId="20F2D3A4" w14:textId="77777777" w:rsidR="002B5D06" w:rsidRDefault="000B69DD">
            <w:pPr>
              <w:pStyle w:val="NormalWeb"/>
              <w:spacing w:before="0" w:beforeAutospacing="0" w:after="0" w:afterAutospacing="0"/>
              <w:rPr>
                <w:sz w:val="20"/>
                <w:szCs w:val="20"/>
              </w:rPr>
            </w:pPr>
            <w:r>
              <w:rPr>
                <w:sz w:val="20"/>
                <w:szCs w:val="20"/>
              </w:rPr>
              <w:t> </w:t>
            </w:r>
          </w:p>
        </w:tc>
      </w:tr>
      <w:tr w:rsidR="002B5D06" w14:paraId="108B92FA" w14:textId="77777777">
        <w:trPr>
          <w:divId w:val="1684360448"/>
          <w:trHeight w:val="225"/>
          <w:tblCellSpacing w:w="15" w:type="dxa"/>
          <w:jc w:val="center"/>
        </w:trPr>
        <w:tc>
          <w:tcPr>
            <w:tcW w:w="0" w:type="auto"/>
            <w:shd w:val="clear" w:color="auto" w:fill="FFFFFF"/>
            <w:hideMark/>
          </w:tcPr>
          <w:p w14:paraId="152197C4" w14:textId="77777777" w:rsidR="002B5D06" w:rsidRDefault="000B69DD">
            <w:pPr>
              <w:pStyle w:val="NormalWeb"/>
              <w:spacing w:before="0" w:beforeAutospacing="0" w:after="0" w:afterAutospacing="0"/>
              <w:rPr>
                <w:sz w:val="20"/>
                <w:szCs w:val="20"/>
              </w:rPr>
            </w:pPr>
            <w:r>
              <w:rPr>
                <w:sz w:val="20"/>
                <w:szCs w:val="20"/>
              </w:rPr>
              <w:t>Total assets</w:t>
            </w:r>
          </w:p>
        </w:tc>
        <w:tc>
          <w:tcPr>
            <w:tcW w:w="50" w:type="pct"/>
            <w:shd w:val="clear" w:color="auto" w:fill="FFFFFF"/>
            <w:noWrap/>
            <w:vAlign w:val="center"/>
            <w:hideMark/>
          </w:tcPr>
          <w:p w14:paraId="44C7EB35"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44972227" w14:textId="77777777" w:rsidR="002B5D06" w:rsidRDefault="000B69DD">
            <w:pPr>
              <w:rPr>
                <w:rFonts w:eastAsia="Times New Roman"/>
                <w:sz w:val="20"/>
                <w:szCs w:val="20"/>
              </w:rPr>
            </w:pPr>
            <w:r>
              <w:rPr>
                <w:rFonts w:eastAsia="Times New Roman"/>
                <w:sz w:val="20"/>
                <w:szCs w:val="20"/>
              </w:rPr>
              <w:t>$</w:t>
            </w:r>
          </w:p>
        </w:tc>
        <w:tc>
          <w:tcPr>
            <w:tcW w:w="450" w:type="pct"/>
            <w:shd w:val="clear" w:color="auto" w:fill="FFFFFF"/>
            <w:vAlign w:val="bottom"/>
            <w:hideMark/>
          </w:tcPr>
          <w:p w14:paraId="7505FA19" w14:textId="77777777" w:rsidR="002B5D06" w:rsidRDefault="000B69DD">
            <w:pPr>
              <w:jc w:val="right"/>
              <w:rPr>
                <w:rFonts w:eastAsia="Times New Roman"/>
                <w:sz w:val="20"/>
                <w:szCs w:val="20"/>
              </w:rPr>
            </w:pPr>
            <w:r>
              <w:rPr>
                <w:rFonts w:eastAsia="Times New Roman"/>
                <w:sz w:val="20"/>
                <w:szCs w:val="20"/>
              </w:rPr>
              <w:t>675,064</w:t>
            </w:r>
          </w:p>
        </w:tc>
        <w:tc>
          <w:tcPr>
            <w:tcW w:w="50" w:type="pct"/>
            <w:shd w:val="clear" w:color="auto" w:fill="FFFFFF"/>
            <w:noWrap/>
            <w:vAlign w:val="center"/>
            <w:hideMark/>
          </w:tcPr>
          <w:p w14:paraId="01587950"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A3298A7"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4217070D" w14:textId="77777777" w:rsidR="002B5D06" w:rsidRDefault="000B69DD">
            <w:pPr>
              <w:rPr>
                <w:rFonts w:eastAsia="Times New Roman"/>
                <w:sz w:val="20"/>
                <w:szCs w:val="20"/>
              </w:rPr>
            </w:pPr>
            <w:r>
              <w:rPr>
                <w:rFonts w:eastAsia="Times New Roman"/>
                <w:sz w:val="20"/>
                <w:szCs w:val="20"/>
              </w:rPr>
              <w:t>$</w:t>
            </w:r>
          </w:p>
        </w:tc>
        <w:tc>
          <w:tcPr>
            <w:tcW w:w="450" w:type="pct"/>
            <w:shd w:val="clear" w:color="auto" w:fill="FFFFFF"/>
            <w:vAlign w:val="bottom"/>
            <w:hideMark/>
          </w:tcPr>
          <w:p w14:paraId="08764E80" w14:textId="77777777" w:rsidR="002B5D06" w:rsidRDefault="000B69DD">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3DAE30A2"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E8C902A"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518388E1" w14:textId="77777777" w:rsidR="002B5D06" w:rsidRDefault="000B69DD">
            <w:pPr>
              <w:rPr>
                <w:rFonts w:eastAsia="Times New Roman"/>
                <w:sz w:val="20"/>
                <w:szCs w:val="20"/>
              </w:rPr>
            </w:pPr>
            <w:r>
              <w:rPr>
                <w:rFonts w:eastAsia="Times New Roman"/>
                <w:sz w:val="20"/>
                <w:szCs w:val="20"/>
              </w:rPr>
              <w:t>$</w:t>
            </w:r>
          </w:p>
        </w:tc>
        <w:tc>
          <w:tcPr>
            <w:tcW w:w="450" w:type="pct"/>
            <w:shd w:val="clear" w:color="auto" w:fill="FFFFFF"/>
            <w:vAlign w:val="bottom"/>
            <w:hideMark/>
          </w:tcPr>
          <w:p w14:paraId="3E26EF9D" w14:textId="77777777" w:rsidR="002B5D06" w:rsidRDefault="000B69DD">
            <w:pPr>
              <w:jc w:val="right"/>
              <w:rPr>
                <w:rFonts w:eastAsia="Times New Roman"/>
                <w:sz w:val="20"/>
                <w:szCs w:val="20"/>
              </w:rPr>
            </w:pPr>
            <w:r>
              <w:rPr>
                <w:rFonts w:eastAsia="Times New Roman"/>
                <w:sz w:val="20"/>
                <w:szCs w:val="20"/>
              </w:rPr>
              <w:t>150</w:t>
            </w:r>
          </w:p>
        </w:tc>
        <w:tc>
          <w:tcPr>
            <w:tcW w:w="50" w:type="pct"/>
            <w:shd w:val="clear" w:color="auto" w:fill="FFFFFF"/>
            <w:noWrap/>
            <w:vAlign w:val="center"/>
            <w:hideMark/>
          </w:tcPr>
          <w:p w14:paraId="76C325A3"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787C29F" w14:textId="77777777" w:rsidR="002B5D06" w:rsidRDefault="000B69DD">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6E421085" w14:textId="77777777" w:rsidR="002B5D06" w:rsidRDefault="000B69DD">
            <w:pPr>
              <w:rPr>
                <w:rFonts w:eastAsia="Times New Roman"/>
                <w:sz w:val="20"/>
                <w:szCs w:val="20"/>
              </w:rPr>
            </w:pPr>
            <w:r>
              <w:rPr>
                <w:rFonts w:eastAsia="Times New Roman"/>
                <w:sz w:val="20"/>
                <w:szCs w:val="20"/>
              </w:rPr>
              <w:t>$</w:t>
            </w:r>
          </w:p>
        </w:tc>
        <w:tc>
          <w:tcPr>
            <w:tcW w:w="450" w:type="pct"/>
            <w:shd w:val="clear" w:color="auto" w:fill="FFFFFF"/>
            <w:vAlign w:val="bottom"/>
            <w:hideMark/>
          </w:tcPr>
          <w:p w14:paraId="7780B872" w14:textId="77777777" w:rsidR="002B5D06" w:rsidRDefault="000B69DD">
            <w:pPr>
              <w:jc w:val="right"/>
              <w:rPr>
                <w:rFonts w:eastAsia="Times New Roman"/>
                <w:sz w:val="20"/>
                <w:szCs w:val="20"/>
              </w:rPr>
            </w:pPr>
            <w:r>
              <w:rPr>
                <w:rFonts w:eastAsia="Times New Roman"/>
                <w:sz w:val="20"/>
                <w:szCs w:val="20"/>
              </w:rPr>
              <w:t>675,214</w:t>
            </w:r>
          </w:p>
        </w:tc>
        <w:tc>
          <w:tcPr>
            <w:tcW w:w="50" w:type="pct"/>
            <w:shd w:val="clear" w:color="auto" w:fill="FFFFFF"/>
            <w:noWrap/>
            <w:vAlign w:val="center"/>
            <w:hideMark/>
          </w:tcPr>
          <w:p w14:paraId="2030F09E" w14:textId="77777777" w:rsidR="002B5D06" w:rsidRDefault="000B69DD">
            <w:pPr>
              <w:pStyle w:val="NormalWeb"/>
              <w:spacing w:before="0" w:beforeAutospacing="0" w:after="0" w:afterAutospacing="0"/>
              <w:rPr>
                <w:sz w:val="20"/>
                <w:szCs w:val="20"/>
              </w:rPr>
            </w:pPr>
            <w:r>
              <w:rPr>
                <w:sz w:val="20"/>
                <w:szCs w:val="20"/>
              </w:rPr>
              <w:t> </w:t>
            </w:r>
          </w:p>
        </w:tc>
      </w:tr>
    </w:tbl>
    <w:p w14:paraId="55922F6D"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43241AF" w14:textId="77777777" w:rsidR="002B5D06" w:rsidRDefault="000B69DD">
      <w:pPr>
        <w:pStyle w:val="NormalWeb"/>
        <w:spacing w:before="0" w:beforeAutospacing="0" w:after="0" w:afterAutospacing="0"/>
        <w:jc w:val="both"/>
        <w:divId w:val="1684360448"/>
        <w:rPr>
          <w:sz w:val="20"/>
          <w:szCs w:val="20"/>
        </w:rPr>
      </w:pPr>
      <w:r>
        <w:rPr>
          <w:rStyle w:val="Strong"/>
          <w:sz w:val="20"/>
          <w:szCs w:val="20"/>
        </w:rPr>
        <w:t>NOTE 10 - SUBSEQUENT EVENTS:</w:t>
      </w:r>
    </w:p>
    <w:p w14:paraId="770ED5A6"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0F2743E8" w14:textId="77777777" w:rsidR="002B5D06" w:rsidRDefault="000B69DD">
      <w:pPr>
        <w:pStyle w:val="NormalWeb"/>
        <w:spacing w:before="0" w:beforeAutospacing="0" w:after="0" w:afterAutospacing="0"/>
        <w:jc w:val="both"/>
        <w:divId w:val="1684360448"/>
        <w:rPr>
          <w:sz w:val="20"/>
          <w:szCs w:val="20"/>
        </w:rPr>
      </w:pPr>
      <w:r>
        <w:rPr>
          <w:sz w:val="20"/>
          <w:szCs w:val="20"/>
        </w:rPr>
        <w:t>In accordance with ASC 855-10, Company management reviewed all material events through the date of this report.</w:t>
      </w:r>
    </w:p>
    <w:p w14:paraId="7064E5D5" w14:textId="77777777" w:rsidR="002B5D06" w:rsidRDefault="000B69DD">
      <w:pPr>
        <w:pStyle w:val="NormalWeb"/>
        <w:spacing w:before="0" w:beforeAutospacing="0" w:after="0" w:afterAutospacing="0"/>
        <w:jc w:val="both"/>
        <w:divId w:val="1684360448"/>
        <w:rPr>
          <w:sz w:val="20"/>
          <w:szCs w:val="20"/>
        </w:rPr>
      </w:pPr>
      <w:r>
        <w:rPr>
          <w:sz w:val="20"/>
          <w:szCs w:val="20"/>
        </w:rPr>
        <w:t> </w:t>
      </w:r>
    </w:p>
    <w:p w14:paraId="69D21250" w14:textId="77777777" w:rsidR="002B5D06" w:rsidRDefault="000B69DD">
      <w:pPr>
        <w:divId w:val="333997026"/>
        <w:rPr>
          <w:rFonts w:eastAsia="Times New Roman"/>
        </w:rPr>
      </w:pPr>
      <w:r>
        <w:rPr>
          <w:rFonts w:eastAsia="Times New Roman"/>
        </w:rPr>
        <w:t> </w:t>
      </w:r>
    </w:p>
    <w:p w14:paraId="3B1583AB" w14:textId="77777777" w:rsidR="002B5D06" w:rsidRDefault="002B5D06">
      <w:pPr>
        <w:rPr>
          <w:rFonts w:eastAsia="Times New Roman"/>
        </w:rPr>
      </w:pPr>
    </w:p>
    <w:p w14:paraId="43691395" w14:textId="77777777" w:rsidR="002B5D06" w:rsidRDefault="000B69DD">
      <w:pPr>
        <w:pStyle w:val="NormalWeb"/>
        <w:spacing w:before="0" w:beforeAutospacing="0" w:after="0" w:afterAutospacing="0"/>
        <w:jc w:val="right"/>
        <w:divId w:val="635843768"/>
        <w:rPr>
          <w:sz w:val="20"/>
          <w:szCs w:val="20"/>
        </w:rPr>
      </w:pPr>
      <w:r>
        <w:rPr>
          <w:rStyle w:val="Strong"/>
          <w:sz w:val="20"/>
          <w:szCs w:val="20"/>
        </w:rPr>
        <w:t>EXHIBIT 21</w:t>
      </w:r>
    </w:p>
    <w:p w14:paraId="31211A84" w14:textId="77777777" w:rsidR="002B5D06" w:rsidRDefault="000B69DD">
      <w:pPr>
        <w:pStyle w:val="NormalWeb"/>
        <w:spacing w:before="0" w:beforeAutospacing="0" w:after="0" w:afterAutospacing="0"/>
        <w:jc w:val="right"/>
        <w:divId w:val="635843768"/>
        <w:rPr>
          <w:sz w:val="20"/>
          <w:szCs w:val="20"/>
        </w:rPr>
      </w:pPr>
      <w:r>
        <w:rPr>
          <w:sz w:val="20"/>
          <w:szCs w:val="20"/>
        </w:rPr>
        <w:t> </w:t>
      </w:r>
    </w:p>
    <w:p w14:paraId="5E02F632" w14:textId="77777777" w:rsidR="002B5D06" w:rsidRDefault="000B69DD">
      <w:pPr>
        <w:pStyle w:val="NormalWeb"/>
        <w:spacing w:before="0" w:beforeAutospacing="0" w:after="0" w:afterAutospacing="0"/>
        <w:jc w:val="center"/>
        <w:divId w:val="635843768"/>
        <w:rPr>
          <w:sz w:val="20"/>
          <w:szCs w:val="20"/>
        </w:rPr>
      </w:pPr>
      <w:r>
        <w:rPr>
          <w:rStyle w:val="Strong"/>
          <w:sz w:val="20"/>
          <w:szCs w:val="20"/>
        </w:rPr>
        <w:t>SUBSIDIARIES OF ADVANCED OXYGEN TECHNOLOGIES, INC.</w:t>
      </w:r>
    </w:p>
    <w:p w14:paraId="32ABB781" w14:textId="77777777" w:rsidR="002B5D06" w:rsidRDefault="000B69DD">
      <w:pPr>
        <w:pStyle w:val="NormalWeb"/>
        <w:spacing w:before="0" w:beforeAutospacing="0" w:after="0" w:afterAutospacing="0"/>
        <w:jc w:val="both"/>
        <w:divId w:val="635843768"/>
        <w:rPr>
          <w:sz w:val="20"/>
          <w:szCs w:val="20"/>
        </w:rPr>
      </w:pPr>
      <w:r>
        <w:rPr>
          <w:sz w:val="20"/>
          <w:szCs w:val="20"/>
        </w:rPr>
        <w:t> </w:t>
      </w:r>
    </w:p>
    <w:tbl>
      <w:tblPr>
        <w:tblW w:w="4000" w:type="pct"/>
        <w:jc w:val="center"/>
        <w:tblCellSpacing w:w="15" w:type="dxa"/>
        <w:tblCellMar>
          <w:left w:w="0" w:type="dxa"/>
          <w:right w:w="0" w:type="dxa"/>
        </w:tblCellMar>
        <w:tblLook w:val="04A0" w:firstRow="1" w:lastRow="0" w:firstColumn="1" w:lastColumn="0" w:noHBand="0" w:noVBand="1"/>
      </w:tblPr>
      <w:tblGrid>
        <w:gridCol w:w="2394"/>
        <w:gridCol w:w="3372"/>
        <w:gridCol w:w="1722"/>
      </w:tblGrid>
      <w:tr w:rsidR="002B5D06" w14:paraId="71EF2B5B" w14:textId="77777777">
        <w:trPr>
          <w:divId w:val="635843768"/>
          <w:trHeight w:val="225"/>
          <w:tblCellSpacing w:w="15" w:type="dxa"/>
          <w:jc w:val="center"/>
        </w:trPr>
        <w:tc>
          <w:tcPr>
            <w:tcW w:w="0" w:type="auto"/>
            <w:shd w:val="clear" w:color="auto" w:fill="CCEEFF"/>
            <w:vAlign w:val="center"/>
            <w:hideMark/>
          </w:tcPr>
          <w:p w14:paraId="00AB9374" w14:textId="77777777" w:rsidR="002B5D06" w:rsidRDefault="000B69DD">
            <w:pPr>
              <w:jc w:val="center"/>
              <w:rPr>
                <w:rFonts w:eastAsia="Times New Roman"/>
                <w:sz w:val="20"/>
                <w:szCs w:val="20"/>
              </w:rPr>
            </w:pPr>
            <w:r>
              <w:rPr>
                <w:rStyle w:val="Strong"/>
                <w:rFonts w:eastAsia="Times New Roman"/>
                <w:sz w:val="20"/>
                <w:szCs w:val="20"/>
              </w:rPr>
              <w:t>Name of Incorporation</w:t>
            </w:r>
          </w:p>
        </w:tc>
        <w:tc>
          <w:tcPr>
            <w:tcW w:w="0" w:type="auto"/>
            <w:shd w:val="clear" w:color="auto" w:fill="CCEEFF"/>
            <w:vAlign w:val="center"/>
            <w:hideMark/>
          </w:tcPr>
          <w:p w14:paraId="51447679" w14:textId="77777777" w:rsidR="002B5D06" w:rsidRDefault="000B69DD">
            <w:pPr>
              <w:jc w:val="center"/>
              <w:rPr>
                <w:rFonts w:eastAsia="Times New Roman"/>
                <w:sz w:val="20"/>
                <w:szCs w:val="20"/>
              </w:rPr>
            </w:pPr>
            <w:r>
              <w:rPr>
                <w:rStyle w:val="Strong"/>
                <w:rFonts w:eastAsia="Times New Roman"/>
                <w:sz w:val="20"/>
                <w:szCs w:val="20"/>
              </w:rPr>
              <w:t>State and/or Country of Incorporation</w:t>
            </w:r>
          </w:p>
        </w:tc>
        <w:tc>
          <w:tcPr>
            <w:tcW w:w="0" w:type="auto"/>
            <w:shd w:val="clear" w:color="auto" w:fill="CCEEFF"/>
            <w:vAlign w:val="center"/>
            <w:hideMark/>
          </w:tcPr>
          <w:p w14:paraId="4A81D5AD" w14:textId="77777777" w:rsidR="002B5D06" w:rsidRDefault="000B69DD">
            <w:pPr>
              <w:jc w:val="center"/>
              <w:rPr>
                <w:rFonts w:eastAsia="Times New Roman"/>
                <w:sz w:val="20"/>
                <w:szCs w:val="20"/>
              </w:rPr>
            </w:pPr>
            <w:r>
              <w:rPr>
                <w:rStyle w:val="Strong"/>
                <w:rFonts w:eastAsia="Times New Roman"/>
                <w:sz w:val="20"/>
                <w:szCs w:val="20"/>
              </w:rPr>
              <w:t>Percent Ownership</w:t>
            </w:r>
          </w:p>
        </w:tc>
      </w:tr>
      <w:tr w:rsidR="002B5D06" w14:paraId="5E9E083A" w14:textId="77777777">
        <w:trPr>
          <w:divId w:val="635843768"/>
          <w:trHeight w:val="225"/>
          <w:tblCellSpacing w:w="15" w:type="dxa"/>
          <w:jc w:val="center"/>
        </w:trPr>
        <w:tc>
          <w:tcPr>
            <w:tcW w:w="0" w:type="auto"/>
            <w:shd w:val="clear" w:color="auto" w:fill="FFFFFF"/>
            <w:vAlign w:val="center"/>
            <w:hideMark/>
          </w:tcPr>
          <w:p w14:paraId="7F5F3645" w14:textId="77777777" w:rsidR="002B5D06" w:rsidRDefault="000B69DD">
            <w:pPr>
              <w:jc w:val="center"/>
              <w:rPr>
                <w:rFonts w:eastAsia="Times New Roman"/>
                <w:sz w:val="20"/>
                <w:szCs w:val="20"/>
              </w:rPr>
            </w:pPr>
            <w:r>
              <w:rPr>
                <w:rStyle w:val="Strong"/>
                <w:rFonts w:eastAsia="Times New Roman"/>
                <w:sz w:val="20"/>
                <w:szCs w:val="20"/>
              </w:rPr>
              <w:t>Anton Nielsen Vojens, ApS</w:t>
            </w:r>
          </w:p>
        </w:tc>
        <w:tc>
          <w:tcPr>
            <w:tcW w:w="0" w:type="auto"/>
            <w:shd w:val="clear" w:color="auto" w:fill="FFFFFF"/>
            <w:vAlign w:val="center"/>
            <w:hideMark/>
          </w:tcPr>
          <w:p w14:paraId="02B1EAC8" w14:textId="77777777" w:rsidR="002B5D06" w:rsidRDefault="000B69DD">
            <w:pPr>
              <w:jc w:val="center"/>
              <w:rPr>
                <w:rFonts w:eastAsia="Times New Roman"/>
                <w:sz w:val="20"/>
                <w:szCs w:val="20"/>
              </w:rPr>
            </w:pPr>
            <w:r>
              <w:rPr>
                <w:rStyle w:val="Strong"/>
                <w:rFonts w:eastAsia="Times New Roman"/>
                <w:sz w:val="20"/>
                <w:szCs w:val="20"/>
              </w:rPr>
              <w:t>Vojens, Denmark</w:t>
            </w:r>
          </w:p>
        </w:tc>
        <w:tc>
          <w:tcPr>
            <w:tcW w:w="0" w:type="auto"/>
            <w:shd w:val="clear" w:color="auto" w:fill="FFFFFF"/>
            <w:vAlign w:val="center"/>
            <w:hideMark/>
          </w:tcPr>
          <w:p w14:paraId="7E88BBEA" w14:textId="77777777" w:rsidR="002B5D06" w:rsidRDefault="000B69DD">
            <w:pPr>
              <w:jc w:val="center"/>
              <w:rPr>
                <w:rFonts w:eastAsia="Times New Roman"/>
                <w:sz w:val="20"/>
                <w:szCs w:val="20"/>
              </w:rPr>
            </w:pPr>
            <w:r>
              <w:rPr>
                <w:rStyle w:val="Strong"/>
                <w:rFonts w:eastAsia="Times New Roman"/>
                <w:sz w:val="20"/>
                <w:szCs w:val="20"/>
              </w:rPr>
              <w:t>100%</w:t>
            </w:r>
          </w:p>
        </w:tc>
      </w:tr>
      <w:tr w:rsidR="002B5D06" w14:paraId="6032B7B7" w14:textId="77777777">
        <w:trPr>
          <w:divId w:val="635843768"/>
          <w:trHeight w:val="225"/>
          <w:tblCellSpacing w:w="15" w:type="dxa"/>
          <w:jc w:val="center"/>
        </w:trPr>
        <w:tc>
          <w:tcPr>
            <w:tcW w:w="0" w:type="auto"/>
            <w:shd w:val="clear" w:color="auto" w:fill="CCEEFF"/>
            <w:vAlign w:val="center"/>
            <w:hideMark/>
          </w:tcPr>
          <w:p w14:paraId="6FAE9287" w14:textId="77777777" w:rsidR="002B5D06" w:rsidRDefault="000B69DD">
            <w:pPr>
              <w:jc w:val="center"/>
              <w:rPr>
                <w:rFonts w:eastAsia="Times New Roman"/>
                <w:sz w:val="20"/>
                <w:szCs w:val="20"/>
              </w:rPr>
            </w:pPr>
            <w:r>
              <w:rPr>
                <w:rStyle w:val="Strong"/>
                <w:rFonts w:eastAsia="Times New Roman"/>
                <w:sz w:val="20"/>
                <w:szCs w:val="20"/>
              </w:rPr>
              <w:t>Sharx, Inc.</w:t>
            </w:r>
          </w:p>
        </w:tc>
        <w:tc>
          <w:tcPr>
            <w:tcW w:w="0" w:type="auto"/>
            <w:shd w:val="clear" w:color="auto" w:fill="CCEEFF"/>
            <w:vAlign w:val="center"/>
            <w:hideMark/>
          </w:tcPr>
          <w:p w14:paraId="17382FBE" w14:textId="77777777" w:rsidR="002B5D06" w:rsidRDefault="000B69DD">
            <w:pPr>
              <w:jc w:val="center"/>
              <w:rPr>
                <w:rFonts w:eastAsia="Times New Roman"/>
                <w:sz w:val="20"/>
                <w:szCs w:val="20"/>
              </w:rPr>
            </w:pPr>
            <w:r>
              <w:rPr>
                <w:rStyle w:val="Strong"/>
                <w:rFonts w:eastAsia="Times New Roman"/>
                <w:sz w:val="20"/>
                <w:szCs w:val="20"/>
              </w:rPr>
              <w:t>WY, USA</w:t>
            </w:r>
          </w:p>
        </w:tc>
        <w:tc>
          <w:tcPr>
            <w:tcW w:w="0" w:type="auto"/>
            <w:shd w:val="clear" w:color="auto" w:fill="CCEEFF"/>
            <w:vAlign w:val="center"/>
            <w:hideMark/>
          </w:tcPr>
          <w:p w14:paraId="618C58AC" w14:textId="77777777" w:rsidR="002B5D06" w:rsidRDefault="000B69DD">
            <w:pPr>
              <w:jc w:val="center"/>
              <w:rPr>
                <w:rFonts w:eastAsia="Times New Roman"/>
                <w:sz w:val="20"/>
                <w:szCs w:val="20"/>
              </w:rPr>
            </w:pPr>
            <w:r>
              <w:rPr>
                <w:rStyle w:val="Strong"/>
                <w:rFonts w:eastAsia="Times New Roman"/>
                <w:sz w:val="20"/>
                <w:szCs w:val="20"/>
              </w:rPr>
              <w:t>100%</w:t>
            </w:r>
          </w:p>
        </w:tc>
      </w:tr>
      <w:tr w:rsidR="002B5D06" w14:paraId="5A0C8F24" w14:textId="77777777">
        <w:trPr>
          <w:divId w:val="635843768"/>
          <w:trHeight w:val="225"/>
          <w:tblCellSpacing w:w="15" w:type="dxa"/>
          <w:jc w:val="center"/>
        </w:trPr>
        <w:tc>
          <w:tcPr>
            <w:tcW w:w="0" w:type="auto"/>
            <w:shd w:val="clear" w:color="auto" w:fill="FFFFFF"/>
            <w:vAlign w:val="center"/>
            <w:hideMark/>
          </w:tcPr>
          <w:p w14:paraId="14BEE3A4" w14:textId="77777777" w:rsidR="002B5D06" w:rsidRDefault="000B69DD">
            <w:pPr>
              <w:jc w:val="center"/>
              <w:rPr>
                <w:rFonts w:eastAsia="Times New Roman"/>
                <w:sz w:val="20"/>
                <w:szCs w:val="20"/>
              </w:rPr>
            </w:pPr>
            <w:r>
              <w:rPr>
                <w:rStyle w:val="Strong"/>
                <w:rFonts w:eastAsia="Times New Roman"/>
                <w:sz w:val="20"/>
                <w:szCs w:val="20"/>
              </w:rPr>
              <w:t>Sharx DK, ApS</w:t>
            </w:r>
          </w:p>
        </w:tc>
        <w:tc>
          <w:tcPr>
            <w:tcW w:w="0" w:type="auto"/>
            <w:shd w:val="clear" w:color="auto" w:fill="FFFFFF"/>
            <w:vAlign w:val="center"/>
            <w:hideMark/>
          </w:tcPr>
          <w:p w14:paraId="7A2FBD3A" w14:textId="77777777" w:rsidR="002B5D06" w:rsidRDefault="000B69DD">
            <w:pPr>
              <w:jc w:val="center"/>
              <w:rPr>
                <w:rFonts w:eastAsia="Times New Roman"/>
                <w:sz w:val="20"/>
                <w:szCs w:val="20"/>
              </w:rPr>
            </w:pPr>
            <w:r>
              <w:rPr>
                <w:rStyle w:val="Strong"/>
                <w:rFonts w:eastAsia="Times New Roman"/>
                <w:sz w:val="20"/>
                <w:szCs w:val="20"/>
              </w:rPr>
              <w:t>Arhus, Denmark</w:t>
            </w:r>
          </w:p>
        </w:tc>
        <w:tc>
          <w:tcPr>
            <w:tcW w:w="0" w:type="auto"/>
            <w:shd w:val="clear" w:color="auto" w:fill="FFFFFF"/>
            <w:vAlign w:val="center"/>
            <w:hideMark/>
          </w:tcPr>
          <w:p w14:paraId="147B522F" w14:textId="77777777" w:rsidR="002B5D06" w:rsidRDefault="000B69DD">
            <w:pPr>
              <w:jc w:val="center"/>
              <w:rPr>
                <w:rFonts w:eastAsia="Times New Roman"/>
                <w:sz w:val="20"/>
                <w:szCs w:val="20"/>
              </w:rPr>
            </w:pPr>
            <w:r>
              <w:rPr>
                <w:rStyle w:val="Strong"/>
                <w:rFonts w:eastAsia="Times New Roman"/>
                <w:sz w:val="20"/>
                <w:szCs w:val="20"/>
              </w:rPr>
              <w:t>100%</w:t>
            </w:r>
          </w:p>
        </w:tc>
      </w:tr>
    </w:tbl>
    <w:p w14:paraId="2EDC4F84" w14:textId="77777777" w:rsidR="002B5D06" w:rsidRDefault="000B69DD">
      <w:pPr>
        <w:divId w:val="399594190"/>
        <w:rPr>
          <w:rFonts w:eastAsia="Times New Roman"/>
        </w:rPr>
      </w:pPr>
      <w:r>
        <w:rPr>
          <w:rFonts w:eastAsia="Times New Roman"/>
        </w:rPr>
        <w:t> </w:t>
      </w:r>
    </w:p>
    <w:p w14:paraId="54E342F5" w14:textId="77777777" w:rsidR="002B5D06" w:rsidRDefault="002B5D06">
      <w:pPr>
        <w:rPr>
          <w:rFonts w:eastAsia="Times New Roman"/>
        </w:rPr>
      </w:pPr>
    </w:p>
    <w:p w14:paraId="2D8CA033" w14:textId="77777777" w:rsidR="002B5D06" w:rsidRDefault="000B69DD">
      <w:pPr>
        <w:pStyle w:val="NormalWeb"/>
        <w:spacing w:before="0" w:beforeAutospacing="0" w:after="0" w:afterAutospacing="0"/>
        <w:jc w:val="right"/>
        <w:divId w:val="1339456045"/>
        <w:rPr>
          <w:sz w:val="20"/>
          <w:szCs w:val="20"/>
        </w:rPr>
      </w:pPr>
      <w:r>
        <w:rPr>
          <w:sz w:val="20"/>
          <w:szCs w:val="20"/>
        </w:rPr>
        <w:t xml:space="preserve">  </w:t>
      </w:r>
      <w:r>
        <w:rPr>
          <w:rStyle w:val="Strong"/>
          <w:sz w:val="20"/>
          <w:szCs w:val="20"/>
        </w:rPr>
        <w:t>EXHIBIT 31.1</w:t>
      </w:r>
    </w:p>
    <w:p w14:paraId="06EA8D49" w14:textId="77777777" w:rsidR="002B5D06" w:rsidRDefault="000B69DD">
      <w:pPr>
        <w:pStyle w:val="NormalWeb"/>
        <w:spacing w:before="0" w:beforeAutospacing="0" w:after="0" w:afterAutospacing="0"/>
        <w:jc w:val="right"/>
        <w:divId w:val="1339456045"/>
        <w:rPr>
          <w:sz w:val="20"/>
          <w:szCs w:val="20"/>
        </w:rPr>
      </w:pPr>
      <w:r>
        <w:rPr>
          <w:sz w:val="20"/>
          <w:szCs w:val="20"/>
        </w:rPr>
        <w:t> </w:t>
      </w:r>
    </w:p>
    <w:p w14:paraId="6F3AEB4E" w14:textId="77777777" w:rsidR="002B5D06" w:rsidRDefault="000B69DD">
      <w:pPr>
        <w:pStyle w:val="NormalWeb"/>
        <w:spacing w:before="0" w:beforeAutospacing="0" w:after="0" w:afterAutospacing="0"/>
        <w:jc w:val="center"/>
        <w:divId w:val="1339456045"/>
        <w:rPr>
          <w:sz w:val="20"/>
          <w:szCs w:val="20"/>
        </w:rPr>
      </w:pPr>
      <w:r>
        <w:rPr>
          <w:rStyle w:val="Strong"/>
          <w:sz w:val="20"/>
          <w:szCs w:val="20"/>
        </w:rPr>
        <w:t>CERTIFICATIONS</w:t>
      </w:r>
    </w:p>
    <w:p w14:paraId="4261FB9C" w14:textId="77777777" w:rsidR="002B5D06" w:rsidRDefault="000B69DD">
      <w:pPr>
        <w:pStyle w:val="NormalWeb"/>
        <w:spacing w:before="0" w:beforeAutospacing="0" w:after="0" w:afterAutospacing="0"/>
        <w:jc w:val="center"/>
        <w:divId w:val="1339456045"/>
        <w:rPr>
          <w:sz w:val="20"/>
          <w:szCs w:val="20"/>
        </w:rPr>
      </w:pPr>
      <w:r>
        <w:rPr>
          <w:sz w:val="20"/>
          <w:szCs w:val="20"/>
        </w:rPr>
        <w:t> </w:t>
      </w:r>
    </w:p>
    <w:p w14:paraId="43FE5548" w14:textId="77777777" w:rsidR="002B5D06" w:rsidRDefault="000B69DD">
      <w:pPr>
        <w:pStyle w:val="NormalWeb"/>
        <w:spacing w:before="0" w:beforeAutospacing="0" w:after="0" w:afterAutospacing="0"/>
        <w:jc w:val="both"/>
        <w:divId w:val="1339456045"/>
        <w:rPr>
          <w:sz w:val="20"/>
          <w:szCs w:val="20"/>
        </w:rPr>
      </w:pPr>
      <w:r>
        <w:rPr>
          <w:sz w:val="20"/>
          <w:szCs w:val="20"/>
        </w:rPr>
        <w:t>I, Robert Wolfe, certify that:</w:t>
      </w:r>
    </w:p>
    <w:p w14:paraId="0F1A7B2F" w14:textId="77777777" w:rsidR="002B5D06" w:rsidRDefault="000B69DD">
      <w:pPr>
        <w:pStyle w:val="NormalWeb"/>
        <w:spacing w:before="0" w:beforeAutospacing="0" w:after="0" w:afterAutospacing="0"/>
        <w:jc w:val="both"/>
        <w:divId w:val="1339456045"/>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6"/>
        <w:gridCol w:w="8944"/>
      </w:tblGrid>
      <w:tr w:rsidR="002B5D06" w14:paraId="3BB90205" w14:textId="77777777">
        <w:trPr>
          <w:divId w:val="1339456045"/>
          <w:trHeight w:val="225"/>
          <w:tblCellSpacing w:w="15" w:type="dxa"/>
          <w:jc w:val="center"/>
        </w:trPr>
        <w:tc>
          <w:tcPr>
            <w:tcW w:w="200" w:type="pct"/>
            <w:hideMark/>
          </w:tcPr>
          <w:p w14:paraId="05F46D41" w14:textId="77777777" w:rsidR="002B5D06" w:rsidRDefault="000B69DD">
            <w:pPr>
              <w:jc w:val="both"/>
              <w:rPr>
                <w:rFonts w:eastAsia="Times New Roman"/>
                <w:sz w:val="20"/>
                <w:szCs w:val="20"/>
              </w:rPr>
            </w:pPr>
            <w:r>
              <w:rPr>
                <w:rFonts w:eastAsia="Times New Roman"/>
                <w:sz w:val="20"/>
                <w:szCs w:val="20"/>
              </w:rPr>
              <w:t>1.</w:t>
            </w:r>
          </w:p>
        </w:tc>
        <w:tc>
          <w:tcPr>
            <w:tcW w:w="0" w:type="auto"/>
            <w:hideMark/>
          </w:tcPr>
          <w:p w14:paraId="0D100C6A" w14:textId="77777777" w:rsidR="002B5D06" w:rsidRDefault="000B69DD">
            <w:pPr>
              <w:jc w:val="both"/>
              <w:rPr>
                <w:rFonts w:eastAsia="Times New Roman"/>
                <w:sz w:val="20"/>
                <w:szCs w:val="20"/>
              </w:rPr>
            </w:pPr>
            <w:r>
              <w:rPr>
                <w:rFonts w:eastAsia="Times New Roman"/>
                <w:sz w:val="20"/>
                <w:szCs w:val="20"/>
              </w:rPr>
              <w:t>I have reviewed this Annual Report on Form 10-K for the 12 month period ended June 30, 2025 of Advanced Oxygen Technologies, Inc.;</w:t>
            </w:r>
          </w:p>
        </w:tc>
      </w:tr>
      <w:tr w:rsidR="002B5D06" w14:paraId="0255E0EB" w14:textId="77777777">
        <w:trPr>
          <w:divId w:val="1339456045"/>
          <w:trHeight w:val="225"/>
          <w:tblCellSpacing w:w="15" w:type="dxa"/>
          <w:jc w:val="center"/>
        </w:trPr>
        <w:tc>
          <w:tcPr>
            <w:tcW w:w="0" w:type="auto"/>
            <w:vAlign w:val="center"/>
            <w:hideMark/>
          </w:tcPr>
          <w:p w14:paraId="438F468B"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6A921C55"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30C421EA" w14:textId="77777777">
        <w:trPr>
          <w:divId w:val="1339456045"/>
          <w:trHeight w:val="225"/>
          <w:tblCellSpacing w:w="15" w:type="dxa"/>
          <w:jc w:val="center"/>
        </w:trPr>
        <w:tc>
          <w:tcPr>
            <w:tcW w:w="0" w:type="auto"/>
            <w:hideMark/>
          </w:tcPr>
          <w:p w14:paraId="33A24A66" w14:textId="77777777" w:rsidR="002B5D06" w:rsidRDefault="000B69DD">
            <w:pPr>
              <w:jc w:val="both"/>
              <w:rPr>
                <w:rFonts w:eastAsia="Times New Roman"/>
                <w:sz w:val="20"/>
                <w:szCs w:val="20"/>
              </w:rPr>
            </w:pPr>
            <w:r>
              <w:rPr>
                <w:rFonts w:eastAsia="Times New Roman"/>
                <w:sz w:val="20"/>
                <w:szCs w:val="20"/>
              </w:rPr>
              <w:t>2.</w:t>
            </w:r>
          </w:p>
        </w:tc>
        <w:tc>
          <w:tcPr>
            <w:tcW w:w="0" w:type="auto"/>
            <w:hideMark/>
          </w:tcPr>
          <w:p w14:paraId="740CF948" w14:textId="77777777" w:rsidR="002B5D06" w:rsidRDefault="000B69DD">
            <w:pPr>
              <w:jc w:val="both"/>
              <w:rPr>
                <w:rFonts w:eastAsia="Times New Roman"/>
                <w:sz w:val="20"/>
                <w:szCs w:val="20"/>
              </w:rPr>
            </w:pPr>
            <w:r>
              <w:rPr>
                <w:rFonts w:eastAsia="Times New Roman"/>
                <w:sz w:val="20"/>
                <w:szCs w:val="20"/>
              </w:rPr>
              <w:t xml:space="preserve">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 </w:t>
            </w:r>
          </w:p>
        </w:tc>
      </w:tr>
      <w:tr w:rsidR="002B5D06" w14:paraId="70BC0CA3" w14:textId="77777777">
        <w:trPr>
          <w:divId w:val="1339456045"/>
          <w:trHeight w:val="225"/>
          <w:tblCellSpacing w:w="15" w:type="dxa"/>
          <w:jc w:val="center"/>
        </w:trPr>
        <w:tc>
          <w:tcPr>
            <w:tcW w:w="0" w:type="auto"/>
            <w:vAlign w:val="center"/>
            <w:hideMark/>
          </w:tcPr>
          <w:p w14:paraId="6F55D111"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4A4268D2"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41D3E190" w14:textId="77777777">
        <w:trPr>
          <w:divId w:val="1339456045"/>
          <w:trHeight w:val="225"/>
          <w:tblCellSpacing w:w="15" w:type="dxa"/>
          <w:jc w:val="center"/>
        </w:trPr>
        <w:tc>
          <w:tcPr>
            <w:tcW w:w="0" w:type="auto"/>
            <w:hideMark/>
          </w:tcPr>
          <w:p w14:paraId="793DCCF0" w14:textId="77777777" w:rsidR="002B5D06" w:rsidRDefault="000B69DD">
            <w:pPr>
              <w:jc w:val="both"/>
              <w:rPr>
                <w:rFonts w:eastAsia="Times New Roman"/>
                <w:sz w:val="20"/>
                <w:szCs w:val="20"/>
              </w:rPr>
            </w:pPr>
            <w:r>
              <w:rPr>
                <w:rFonts w:eastAsia="Times New Roman"/>
                <w:sz w:val="20"/>
                <w:szCs w:val="20"/>
              </w:rPr>
              <w:t>3.</w:t>
            </w:r>
          </w:p>
        </w:tc>
        <w:tc>
          <w:tcPr>
            <w:tcW w:w="0" w:type="auto"/>
            <w:hideMark/>
          </w:tcPr>
          <w:p w14:paraId="52EBF99D" w14:textId="77777777" w:rsidR="002B5D06" w:rsidRDefault="000B69DD">
            <w:pPr>
              <w:jc w:val="both"/>
              <w:rPr>
                <w:rFonts w:eastAsia="Times New Roman"/>
                <w:sz w:val="20"/>
                <w:szCs w:val="20"/>
              </w:rPr>
            </w:pPr>
            <w:r>
              <w:rPr>
                <w:rFonts w:eastAsia="Times New Roman"/>
                <w:sz w:val="20"/>
                <w:szCs w:val="20"/>
              </w:rPr>
              <w:t xml:space="preserve">Based on my knowledge, the financial statements and other financial information included in this report, fairly present in all material respects the financial condition, results of operations and cash flows of the registrant as of and for, the periods presented in this report; </w:t>
            </w:r>
          </w:p>
        </w:tc>
      </w:tr>
      <w:tr w:rsidR="002B5D06" w14:paraId="688848AE" w14:textId="77777777">
        <w:trPr>
          <w:divId w:val="1339456045"/>
          <w:trHeight w:val="225"/>
          <w:tblCellSpacing w:w="15" w:type="dxa"/>
          <w:jc w:val="center"/>
        </w:trPr>
        <w:tc>
          <w:tcPr>
            <w:tcW w:w="0" w:type="auto"/>
            <w:vAlign w:val="center"/>
            <w:hideMark/>
          </w:tcPr>
          <w:p w14:paraId="78812FDE"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0F1660B2"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589A536B" w14:textId="77777777">
        <w:trPr>
          <w:divId w:val="1339456045"/>
          <w:trHeight w:val="225"/>
          <w:tblCellSpacing w:w="15" w:type="dxa"/>
          <w:jc w:val="center"/>
        </w:trPr>
        <w:tc>
          <w:tcPr>
            <w:tcW w:w="0" w:type="auto"/>
            <w:hideMark/>
          </w:tcPr>
          <w:p w14:paraId="4F592802" w14:textId="77777777" w:rsidR="002B5D06" w:rsidRDefault="000B69DD">
            <w:pPr>
              <w:jc w:val="both"/>
              <w:rPr>
                <w:rFonts w:eastAsia="Times New Roman"/>
                <w:sz w:val="20"/>
                <w:szCs w:val="20"/>
              </w:rPr>
            </w:pPr>
            <w:r>
              <w:rPr>
                <w:rFonts w:eastAsia="Times New Roman"/>
                <w:sz w:val="20"/>
                <w:szCs w:val="20"/>
              </w:rPr>
              <w:t>4.</w:t>
            </w:r>
          </w:p>
        </w:tc>
        <w:tc>
          <w:tcPr>
            <w:tcW w:w="0" w:type="auto"/>
            <w:hideMark/>
          </w:tcPr>
          <w:p w14:paraId="2A60A4AD" w14:textId="77777777" w:rsidR="002B5D06" w:rsidRDefault="000B69DD">
            <w:pPr>
              <w:jc w:val="both"/>
              <w:rPr>
                <w:rFonts w:eastAsia="Times New Roman"/>
                <w:sz w:val="20"/>
                <w:szCs w:val="20"/>
              </w:rPr>
            </w:pPr>
            <w:r>
              <w:rPr>
                <w:rFonts w:eastAsia="Times New Roman"/>
                <w:sz w:val="20"/>
                <w:szCs w:val="20"/>
              </w:rPr>
              <w:t xml:space="preserve">I am responsible for establishing and maintaining disclosure controls and procedures (as defined in Exchange Act Rules 13a-15(e) and 15d-15(e)) and internal control over financial reporting (as defined in Exchange Act Rules 13a-15(f) and 15d-15(f)) for the registrant and have: </w:t>
            </w:r>
          </w:p>
        </w:tc>
      </w:tr>
    </w:tbl>
    <w:p w14:paraId="337F1028" w14:textId="77777777" w:rsidR="002B5D06" w:rsidRDefault="000B69DD">
      <w:pPr>
        <w:pStyle w:val="NormalWeb"/>
        <w:spacing w:before="0" w:beforeAutospacing="0" w:after="0" w:afterAutospacing="0"/>
        <w:jc w:val="both"/>
        <w:divId w:val="1339456045"/>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2B5D06" w14:paraId="23BBD005" w14:textId="77777777">
        <w:trPr>
          <w:divId w:val="1339456045"/>
          <w:trHeight w:val="225"/>
          <w:tblCellSpacing w:w="15" w:type="dxa"/>
          <w:jc w:val="center"/>
        </w:trPr>
        <w:tc>
          <w:tcPr>
            <w:tcW w:w="200" w:type="pct"/>
            <w:vAlign w:val="center"/>
            <w:hideMark/>
          </w:tcPr>
          <w:p w14:paraId="2C9B91AB" w14:textId="77777777" w:rsidR="002B5D06" w:rsidRDefault="000B69DD">
            <w:pPr>
              <w:pStyle w:val="NormalWeb"/>
              <w:spacing w:before="0" w:beforeAutospacing="0" w:after="0" w:afterAutospacing="0"/>
              <w:jc w:val="both"/>
              <w:rPr>
                <w:sz w:val="20"/>
                <w:szCs w:val="20"/>
              </w:rPr>
            </w:pPr>
            <w:r>
              <w:rPr>
                <w:sz w:val="20"/>
                <w:szCs w:val="20"/>
              </w:rPr>
              <w:t> </w:t>
            </w:r>
          </w:p>
        </w:tc>
        <w:tc>
          <w:tcPr>
            <w:tcW w:w="200" w:type="pct"/>
            <w:hideMark/>
          </w:tcPr>
          <w:p w14:paraId="67301D5E" w14:textId="77777777" w:rsidR="002B5D06" w:rsidRDefault="000B69DD">
            <w:pPr>
              <w:jc w:val="both"/>
              <w:rPr>
                <w:rFonts w:eastAsia="Times New Roman"/>
                <w:sz w:val="20"/>
                <w:szCs w:val="20"/>
              </w:rPr>
            </w:pPr>
            <w:r>
              <w:rPr>
                <w:rFonts w:eastAsia="Times New Roman"/>
                <w:sz w:val="20"/>
                <w:szCs w:val="20"/>
              </w:rPr>
              <w:t>(a)</w:t>
            </w:r>
          </w:p>
        </w:tc>
        <w:tc>
          <w:tcPr>
            <w:tcW w:w="0" w:type="auto"/>
            <w:hideMark/>
          </w:tcPr>
          <w:p w14:paraId="3BE38D98" w14:textId="77777777" w:rsidR="002B5D06" w:rsidRDefault="000B69DD">
            <w:pPr>
              <w:jc w:val="both"/>
              <w:rPr>
                <w:rFonts w:eastAsia="Times New Roman"/>
                <w:sz w:val="20"/>
                <w:szCs w:val="20"/>
              </w:rPr>
            </w:pPr>
            <w:r>
              <w:rPr>
                <w:rFonts w:eastAsia="Times New Roman"/>
                <w:sz w:val="20"/>
                <w:szCs w:val="20"/>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tc>
      </w:tr>
      <w:tr w:rsidR="002B5D06" w14:paraId="1A9F825F" w14:textId="77777777">
        <w:trPr>
          <w:divId w:val="1339456045"/>
          <w:trHeight w:val="225"/>
          <w:tblCellSpacing w:w="15" w:type="dxa"/>
          <w:jc w:val="center"/>
        </w:trPr>
        <w:tc>
          <w:tcPr>
            <w:tcW w:w="0" w:type="auto"/>
            <w:vAlign w:val="center"/>
            <w:hideMark/>
          </w:tcPr>
          <w:p w14:paraId="77281473"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57A5684D"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7F9F3ACB"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15C6EA01" w14:textId="77777777">
        <w:trPr>
          <w:divId w:val="1339456045"/>
          <w:trHeight w:val="225"/>
          <w:tblCellSpacing w:w="15" w:type="dxa"/>
          <w:jc w:val="center"/>
        </w:trPr>
        <w:tc>
          <w:tcPr>
            <w:tcW w:w="0" w:type="auto"/>
            <w:vAlign w:val="center"/>
            <w:hideMark/>
          </w:tcPr>
          <w:p w14:paraId="74593D77"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hideMark/>
          </w:tcPr>
          <w:p w14:paraId="1E97FEF6" w14:textId="77777777" w:rsidR="002B5D06" w:rsidRDefault="000B69DD">
            <w:pPr>
              <w:jc w:val="both"/>
              <w:rPr>
                <w:rFonts w:eastAsia="Times New Roman"/>
                <w:sz w:val="20"/>
                <w:szCs w:val="20"/>
              </w:rPr>
            </w:pPr>
            <w:r>
              <w:rPr>
                <w:rFonts w:eastAsia="Times New Roman"/>
                <w:sz w:val="20"/>
                <w:szCs w:val="20"/>
              </w:rPr>
              <w:t>(b)</w:t>
            </w:r>
          </w:p>
        </w:tc>
        <w:tc>
          <w:tcPr>
            <w:tcW w:w="0" w:type="auto"/>
            <w:hideMark/>
          </w:tcPr>
          <w:p w14:paraId="481CD93E" w14:textId="77777777" w:rsidR="002B5D06" w:rsidRDefault="000B69DD">
            <w:pPr>
              <w:jc w:val="both"/>
              <w:rPr>
                <w:rFonts w:eastAsia="Times New Roman"/>
                <w:sz w:val="20"/>
                <w:szCs w:val="20"/>
              </w:rPr>
            </w:pPr>
            <w:r>
              <w:rPr>
                <w:rFonts w:eastAsia="Times New Roman"/>
                <w:sz w:val="20"/>
                <w:szCs w:val="20"/>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tc>
      </w:tr>
      <w:tr w:rsidR="002B5D06" w14:paraId="396DD7FB" w14:textId="77777777">
        <w:trPr>
          <w:divId w:val="1339456045"/>
          <w:trHeight w:val="225"/>
          <w:tblCellSpacing w:w="15" w:type="dxa"/>
          <w:jc w:val="center"/>
        </w:trPr>
        <w:tc>
          <w:tcPr>
            <w:tcW w:w="0" w:type="auto"/>
            <w:vAlign w:val="center"/>
            <w:hideMark/>
          </w:tcPr>
          <w:p w14:paraId="0B0BF0F9"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6428344E"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756B88D9"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7B1DABC3" w14:textId="77777777">
        <w:trPr>
          <w:divId w:val="1339456045"/>
          <w:trHeight w:val="225"/>
          <w:tblCellSpacing w:w="15" w:type="dxa"/>
          <w:jc w:val="center"/>
        </w:trPr>
        <w:tc>
          <w:tcPr>
            <w:tcW w:w="0" w:type="auto"/>
            <w:vAlign w:val="center"/>
            <w:hideMark/>
          </w:tcPr>
          <w:p w14:paraId="4603886F"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hideMark/>
          </w:tcPr>
          <w:p w14:paraId="1095D269" w14:textId="77777777" w:rsidR="002B5D06" w:rsidRDefault="000B69DD">
            <w:pPr>
              <w:jc w:val="both"/>
              <w:rPr>
                <w:rFonts w:eastAsia="Times New Roman"/>
                <w:sz w:val="20"/>
                <w:szCs w:val="20"/>
              </w:rPr>
            </w:pPr>
            <w:r>
              <w:rPr>
                <w:rFonts w:eastAsia="Times New Roman"/>
                <w:sz w:val="20"/>
                <w:szCs w:val="20"/>
              </w:rPr>
              <w:t>(c)</w:t>
            </w:r>
          </w:p>
        </w:tc>
        <w:tc>
          <w:tcPr>
            <w:tcW w:w="0" w:type="auto"/>
            <w:hideMark/>
          </w:tcPr>
          <w:p w14:paraId="5EB5AF94" w14:textId="77777777" w:rsidR="002B5D06" w:rsidRDefault="000B69DD">
            <w:pPr>
              <w:jc w:val="both"/>
              <w:rPr>
                <w:rFonts w:eastAsia="Times New Roman"/>
                <w:sz w:val="20"/>
                <w:szCs w:val="20"/>
              </w:rPr>
            </w:pPr>
            <w:r>
              <w:rPr>
                <w:rFonts w:eastAsia="Times New Roman"/>
                <w:sz w:val="20"/>
                <w:szCs w:val="20"/>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tc>
      </w:tr>
      <w:tr w:rsidR="002B5D06" w14:paraId="11BAF5A2" w14:textId="77777777">
        <w:trPr>
          <w:divId w:val="1339456045"/>
          <w:trHeight w:val="225"/>
          <w:tblCellSpacing w:w="15" w:type="dxa"/>
          <w:jc w:val="center"/>
        </w:trPr>
        <w:tc>
          <w:tcPr>
            <w:tcW w:w="0" w:type="auto"/>
            <w:vAlign w:val="center"/>
            <w:hideMark/>
          </w:tcPr>
          <w:p w14:paraId="3C53405E"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60D9189C"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0391F6F0"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212D17C4" w14:textId="77777777">
        <w:trPr>
          <w:divId w:val="1339456045"/>
          <w:trHeight w:val="225"/>
          <w:tblCellSpacing w:w="15" w:type="dxa"/>
          <w:jc w:val="center"/>
        </w:trPr>
        <w:tc>
          <w:tcPr>
            <w:tcW w:w="0" w:type="auto"/>
            <w:vAlign w:val="center"/>
            <w:hideMark/>
          </w:tcPr>
          <w:p w14:paraId="4C6E1447"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hideMark/>
          </w:tcPr>
          <w:p w14:paraId="360CCC1F" w14:textId="77777777" w:rsidR="002B5D06" w:rsidRDefault="000B69DD">
            <w:pPr>
              <w:jc w:val="both"/>
              <w:rPr>
                <w:rFonts w:eastAsia="Times New Roman"/>
                <w:sz w:val="20"/>
                <w:szCs w:val="20"/>
              </w:rPr>
            </w:pPr>
            <w:r>
              <w:rPr>
                <w:rFonts w:eastAsia="Times New Roman"/>
                <w:sz w:val="20"/>
                <w:szCs w:val="20"/>
              </w:rPr>
              <w:t>(d)</w:t>
            </w:r>
          </w:p>
        </w:tc>
        <w:tc>
          <w:tcPr>
            <w:tcW w:w="0" w:type="auto"/>
            <w:hideMark/>
          </w:tcPr>
          <w:p w14:paraId="23FFA36B" w14:textId="77777777" w:rsidR="002B5D06" w:rsidRDefault="000B69DD">
            <w:pPr>
              <w:jc w:val="both"/>
              <w:rPr>
                <w:rFonts w:eastAsia="Times New Roman"/>
                <w:sz w:val="20"/>
                <w:szCs w:val="20"/>
              </w:rPr>
            </w:pPr>
            <w:r>
              <w:rPr>
                <w:rFonts w:eastAsia="Times New Roman"/>
                <w:sz w:val="20"/>
                <w:szCs w:val="20"/>
              </w:rPr>
              <w:t xml:space="preserve">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 </w:t>
            </w:r>
          </w:p>
        </w:tc>
      </w:tr>
    </w:tbl>
    <w:p w14:paraId="59F57026" w14:textId="77777777" w:rsidR="002B5D06" w:rsidRDefault="000B69DD">
      <w:pPr>
        <w:pStyle w:val="NormalWeb"/>
        <w:spacing w:before="0" w:beforeAutospacing="0" w:after="0" w:afterAutospacing="0"/>
        <w:jc w:val="both"/>
        <w:divId w:val="1339456045"/>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6"/>
        <w:gridCol w:w="8944"/>
      </w:tblGrid>
      <w:tr w:rsidR="002B5D06" w14:paraId="50E8A6B0" w14:textId="77777777">
        <w:trPr>
          <w:divId w:val="1339456045"/>
          <w:trHeight w:val="225"/>
          <w:tblCellSpacing w:w="15" w:type="dxa"/>
          <w:jc w:val="center"/>
        </w:trPr>
        <w:tc>
          <w:tcPr>
            <w:tcW w:w="200" w:type="pct"/>
            <w:hideMark/>
          </w:tcPr>
          <w:p w14:paraId="37DC599E" w14:textId="77777777" w:rsidR="002B5D06" w:rsidRDefault="000B69DD">
            <w:pPr>
              <w:jc w:val="both"/>
              <w:rPr>
                <w:rFonts w:eastAsia="Times New Roman"/>
                <w:sz w:val="20"/>
                <w:szCs w:val="20"/>
              </w:rPr>
            </w:pPr>
            <w:r>
              <w:rPr>
                <w:rFonts w:eastAsia="Times New Roman"/>
                <w:sz w:val="20"/>
                <w:szCs w:val="20"/>
              </w:rPr>
              <w:t>5.</w:t>
            </w:r>
          </w:p>
        </w:tc>
        <w:tc>
          <w:tcPr>
            <w:tcW w:w="0" w:type="auto"/>
            <w:hideMark/>
          </w:tcPr>
          <w:p w14:paraId="1B66C6E3" w14:textId="77777777" w:rsidR="002B5D06" w:rsidRDefault="000B69DD">
            <w:pPr>
              <w:jc w:val="both"/>
              <w:rPr>
                <w:rFonts w:eastAsia="Times New Roman"/>
                <w:sz w:val="20"/>
                <w:szCs w:val="20"/>
              </w:rPr>
            </w:pPr>
            <w:r>
              <w:rPr>
                <w:rFonts w:eastAsia="Times New Roman"/>
                <w:sz w:val="20"/>
                <w:szCs w:val="20"/>
              </w:rPr>
              <w:t xml:space="preserve">I have disclosed, based on our most recent evaluation of internal control over financial reporting, to the registrant’s auditors and the audit committee of the registrant’s board of directors (or persons performing the equivalent functions): </w:t>
            </w:r>
          </w:p>
        </w:tc>
      </w:tr>
    </w:tbl>
    <w:p w14:paraId="084F9EEF" w14:textId="77777777" w:rsidR="002B5D06" w:rsidRDefault="000B69DD">
      <w:pPr>
        <w:pStyle w:val="NormalWeb"/>
        <w:spacing w:before="0" w:beforeAutospacing="0" w:after="0" w:afterAutospacing="0"/>
        <w:jc w:val="both"/>
        <w:divId w:val="1339456045"/>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2B5D06" w14:paraId="6D6CEDEC" w14:textId="77777777">
        <w:trPr>
          <w:divId w:val="1339456045"/>
          <w:trHeight w:val="225"/>
          <w:tblCellSpacing w:w="15" w:type="dxa"/>
          <w:jc w:val="center"/>
        </w:trPr>
        <w:tc>
          <w:tcPr>
            <w:tcW w:w="200" w:type="pct"/>
            <w:vAlign w:val="center"/>
            <w:hideMark/>
          </w:tcPr>
          <w:p w14:paraId="7190E700" w14:textId="77777777" w:rsidR="002B5D06" w:rsidRDefault="000B69DD">
            <w:pPr>
              <w:pStyle w:val="NormalWeb"/>
              <w:spacing w:before="0" w:beforeAutospacing="0" w:after="0" w:afterAutospacing="0"/>
              <w:jc w:val="both"/>
              <w:rPr>
                <w:sz w:val="20"/>
                <w:szCs w:val="20"/>
              </w:rPr>
            </w:pPr>
            <w:r>
              <w:rPr>
                <w:sz w:val="20"/>
                <w:szCs w:val="20"/>
              </w:rPr>
              <w:t> </w:t>
            </w:r>
          </w:p>
        </w:tc>
        <w:tc>
          <w:tcPr>
            <w:tcW w:w="200" w:type="pct"/>
            <w:hideMark/>
          </w:tcPr>
          <w:p w14:paraId="5EFAE355" w14:textId="77777777" w:rsidR="002B5D06" w:rsidRDefault="000B69DD">
            <w:pPr>
              <w:jc w:val="both"/>
              <w:rPr>
                <w:rFonts w:eastAsia="Times New Roman"/>
                <w:sz w:val="20"/>
                <w:szCs w:val="20"/>
              </w:rPr>
            </w:pPr>
            <w:r>
              <w:rPr>
                <w:rFonts w:eastAsia="Times New Roman"/>
                <w:sz w:val="20"/>
                <w:szCs w:val="20"/>
              </w:rPr>
              <w:t>(a)</w:t>
            </w:r>
          </w:p>
        </w:tc>
        <w:tc>
          <w:tcPr>
            <w:tcW w:w="0" w:type="auto"/>
            <w:hideMark/>
          </w:tcPr>
          <w:p w14:paraId="59F0294A" w14:textId="77777777" w:rsidR="002B5D06" w:rsidRDefault="000B69DD">
            <w:pPr>
              <w:jc w:val="both"/>
              <w:rPr>
                <w:rFonts w:eastAsia="Times New Roman"/>
                <w:sz w:val="20"/>
                <w:szCs w:val="20"/>
              </w:rPr>
            </w:pPr>
            <w:r>
              <w:rPr>
                <w:rFonts w:eastAsia="Times New Roman"/>
                <w:sz w:val="20"/>
                <w:szCs w:val="20"/>
              </w:rPr>
              <w:t xml:space="preserve">all significant deficiencies and material weaknesses in the design or operation of internal control over financial reporting which are reasonably likely to adversely affect the registrant’s ability to record, process, summarize and report financial information; and </w:t>
            </w:r>
          </w:p>
        </w:tc>
      </w:tr>
      <w:tr w:rsidR="002B5D06" w14:paraId="77025FCE" w14:textId="77777777">
        <w:trPr>
          <w:divId w:val="1339456045"/>
          <w:trHeight w:val="225"/>
          <w:tblCellSpacing w:w="15" w:type="dxa"/>
          <w:jc w:val="center"/>
        </w:trPr>
        <w:tc>
          <w:tcPr>
            <w:tcW w:w="0" w:type="auto"/>
            <w:vAlign w:val="center"/>
            <w:hideMark/>
          </w:tcPr>
          <w:p w14:paraId="06F0621C"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4EF08AE3"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7D0D0193"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71FFB0B7" w14:textId="77777777">
        <w:trPr>
          <w:divId w:val="1339456045"/>
          <w:trHeight w:val="225"/>
          <w:tblCellSpacing w:w="15" w:type="dxa"/>
          <w:jc w:val="center"/>
        </w:trPr>
        <w:tc>
          <w:tcPr>
            <w:tcW w:w="0" w:type="auto"/>
            <w:vAlign w:val="center"/>
            <w:hideMark/>
          </w:tcPr>
          <w:p w14:paraId="31226855"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hideMark/>
          </w:tcPr>
          <w:p w14:paraId="10096085" w14:textId="77777777" w:rsidR="002B5D06" w:rsidRDefault="000B69DD">
            <w:pPr>
              <w:jc w:val="both"/>
              <w:rPr>
                <w:rFonts w:eastAsia="Times New Roman"/>
                <w:sz w:val="20"/>
                <w:szCs w:val="20"/>
              </w:rPr>
            </w:pPr>
            <w:r>
              <w:rPr>
                <w:rFonts w:eastAsia="Times New Roman"/>
                <w:sz w:val="20"/>
                <w:szCs w:val="20"/>
              </w:rPr>
              <w:t>(b)</w:t>
            </w:r>
          </w:p>
        </w:tc>
        <w:tc>
          <w:tcPr>
            <w:tcW w:w="0" w:type="auto"/>
            <w:hideMark/>
          </w:tcPr>
          <w:p w14:paraId="52C88769" w14:textId="77777777" w:rsidR="002B5D06" w:rsidRDefault="000B69DD">
            <w:pPr>
              <w:jc w:val="both"/>
              <w:rPr>
                <w:rFonts w:eastAsia="Times New Roman"/>
                <w:sz w:val="20"/>
                <w:szCs w:val="20"/>
              </w:rPr>
            </w:pPr>
            <w:r>
              <w:rPr>
                <w:rFonts w:eastAsia="Times New Roman"/>
                <w:sz w:val="20"/>
                <w:szCs w:val="20"/>
              </w:rPr>
              <w:t>any fraud, whether or not material, that involves management or other employees who have a significant role in the registrant’s internal control over financial reporting.</w:t>
            </w:r>
          </w:p>
        </w:tc>
      </w:tr>
    </w:tbl>
    <w:p w14:paraId="792B5A0F" w14:textId="77777777" w:rsidR="002B5D06" w:rsidRDefault="000B69DD">
      <w:pPr>
        <w:pStyle w:val="NormalWeb"/>
        <w:spacing w:before="0" w:beforeAutospacing="0" w:after="0" w:afterAutospacing="0"/>
        <w:jc w:val="both"/>
        <w:divId w:val="1339456045"/>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45"/>
        <w:gridCol w:w="319"/>
        <w:gridCol w:w="3250"/>
        <w:gridCol w:w="1146"/>
      </w:tblGrid>
      <w:tr w:rsidR="002B5D06" w14:paraId="6DDA313C" w14:textId="77777777">
        <w:trPr>
          <w:divId w:val="1339456045"/>
          <w:trHeight w:val="225"/>
          <w:tblCellSpacing w:w="15" w:type="dxa"/>
          <w:jc w:val="center"/>
        </w:trPr>
        <w:tc>
          <w:tcPr>
            <w:tcW w:w="2500" w:type="pct"/>
            <w:vAlign w:val="center"/>
            <w:hideMark/>
          </w:tcPr>
          <w:p w14:paraId="0F2ADBC7" w14:textId="77777777" w:rsidR="002B5D06" w:rsidRDefault="000B69DD">
            <w:pPr>
              <w:rPr>
                <w:rFonts w:eastAsia="Times New Roman"/>
                <w:sz w:val="20"/>
                <w:szCs w:val="20"/>
              </w:rPr>
            </w:pPr>
            <w:r>
              <w:rPr>
                <w:rFonts w:eastAsia="Times New Roman"/>
                <w:sz w:val="20"/>
                <w:szCs w:val="20"/>
              </w:rPr>
              <w:t> </w:t>
            </w:r>
          </w:p>
        </w:tc>
        <w:tc>
          <w:tcPr>
            <w:tcW w:w="150" w:type="pct"/>
            <w:vAlign w:val="center"/>
            <w:hideMark/>
          </w:tcPr>
          <w:p w14:paraId="7A3E0B2D" w14:textId="77777777" w:rsidR="002B5D06" w:rsidRDefault="000B69DD">
            <w:pPr>
              <w:rPr>
                <w:rFonts w:eastAsia="Times New Roman"/>
                <w:sz w:val="20"/>
                <w:szCs w:val="20"/>
              </w:rPr>
            </w:pPr>
            <w:r>
              <w:rPr>
                <w:rFonts w:eastAsia="Times New Roman"/>
                <w:sz w:val="20"/>
                <w:szCs w:val="20"/>
              </w:rPr>
              <w:t> </w:t>
            </w:r>
          </w:p>
        </w:tc>
        <w:tc>
          <w:tcPr>
            <w:tcW w:w="1750" w:type="pct"/>
            <w:vAlign w:val="center"/>
            <w:hideMark/>
          </w:tcPr>
          <w:p w14:paraId="393FABCB" w14:textId="77777777" w:rsidR="002B5D06" w:rsidRDefault="000B69DD">
            <w:pPr>
              <w:rPr>
                <w:rFonts w:eastAsia="Times New Roman"/>
                <w:sz w:val="20"/>
                <w:szCs w:val="20"/>
              </w:rPr>
            </w:pPr>
            <w:r>
              <w:rPr>
                <w:rFonts w:eastAsia="Times New Roman"/>
                <w:sz w:val="20"/>
                <w:szCs w:val="20"/>
              </w:rPr>
              <w:t> </w:t>
            </w:r>
          </w:p>
        </w:tc>
        <w:tc>
          <w:tcPr>
            <w:tcW w:w="600" w:type="pct"/>
            <w:vAlign w:val="center"/>
            <w:hideMark/>
          </w:tcPr>
          <w:p w14:paraId="5AAE5AB1" w14:textId="77777777" w:rsidR="002B5D06" w:rsidRDefault="000B69DD">
            <w:pPr>
              <w:rPr>
                <w:rFonts w:eastAsia="Times New Roman"/>
                <w:sz w:val="20"/>
                <w:szCs w:val="20"/>
              </w:rPr>
            </w:pPr>
            <w:r>
              <w:rPr>
                <w:rFonts w:eastAsia="Times New Roman"/>
                <w:sz w:val="20"/>
                <w:szCs w:val="20"/>
              </w:rPr>
              <w:t> </w:t>
            </w:r>
          </w:p>
        </w:tc>
      </w:tr>
      <w:tr w:rsidR="002B5D06" w14:paraId="0F1BF6B6" w14:textId="77777777">
        <w:trPr>
          <w:divId w:val="1339456045"/>
          <w:trHeight w:val="225"/>
          <w:tblCellSpacing w:w="15" w:type="dxa"/>
          <w:jc w:val="center"/>
        </w:trPr>
        <w:tc>
          <w:tcPr>
            <w:tcW w:w="0" w:type="auto"/>
            <w:vAlign w:val="center"/>
            <w:hideMark/>
          </w:tcPr>
          <w:p w14:paraId="669FAB14" w14:textId="77777777" w:rsidR="002B5D06" w:rsidRDefault="000B69DD">
            <w:pPr>
              <w:rPr>
                <w:rFonts w:eastAsia="Times New Roman"/>
                <w:sz w:val="20"/>
                <w:szCs w:val="20"/>
              </w:rPr>
            </w:pPr>
            <w:r>
              <w:rPr>
                <w:rFonts w:eastAsia="Times New Roman"/>
                <w:sz w:val="20"/>
                <w:szCs w:val="20"/>
              </w:rPr>
              <w:t>Date: September 11, 2025</w:t>
            </w:r>
          </w:p>
        </w:tc>
        <w:tc>
          <w:tcPr>
            <w:tcW w:w="0" w:type="auto"/>
            <w:vAlign w:val="center"/>
            <w:hideMark/>
          </w:tcPr>
          <w:p w14:paraId="167307D8" w14:textId="77777777" w:rsidR="002B5D06" w:rsidRDefault="000B69DD">
            <w:pPr>
              <w:rPr>
                <w:rFonts w:eastAsia="Times New Roman"/>
                <w:sz w:val="20"/>
                <w:szCs w:val="20"/>
              </w:rPr>
            </w:pPr>
            <w:r>
              <w:rPr>
                <w:rFonts w:eastAsia="Times New Roman"/>
                <w:sz w:val="20"/>
                <w:szCs w:val="20"/>
              </w:rPr>
              <w:t>By:</w:t>
            </w:r>
          </w:p>
        </w:tc>
        <w:tc>
          <w:tcPr>
            <w:tcW w:w="0" w:type="auto"/>
            <w:tcBorders>
              <w:bottom w:val="single" w:sz="6" w:space="0" w:color="000000"/>
            </w:tcBorders>
            <w:vAlign w:val="center"/>
            <w:hideMark/>
          </w:tcPr>
          <w:p w14:paraId="56009A52" w14:textId="77777777" w:rsidR="002B5D06" w:rsidRDefault="000B69DD">
            <w:pPr>
              <w:rPr>
                <w:rFonts w:eastAsia="Times New Roman"/>
                <w:sz w:val="20"/>
                <w:szCs w:val="20"/>
              </w:rPr>
            </w:pPr>
            <w:r>
              <w:rPr>
                <w:rStyle w:val="Emphasis"/>
                <w:rFonts w:eastAsia="Times New Roman"/>
                <w:sz w:val="20"/>
                <w:szCs w:val="20"/>
              </w:rPr>
              <w:t>/s/ Robert Wolfe</w:t>
            </w:r>
          </w:p>
        </w:tc>
        <w:tc>
          <w:tcPr>
            <w:tcW w:w="0" w:type="auto"/>
            <w:vAlign w:val="center"/>
            <w:hideMark/>
          </w:tcPr>
          <w:p w14:paraId="702D261C" w14:textId="77777777" w:rsidR="002B5D06" w:rsidRDefault="002B5D06">
            <w:pPr>
              <w:rPr>
                <w:rFonts w:eastAsia="Times New Roman"/>
                <w:sz w:val="20"/>
                <w:szCs w:val="20"/>
              </w:rPr>
            </w:pPr>
          </w:p>
        </w:tc>
      </w:tr>
      <w:tr w:rsidR="002B5D06" w14:paraId="1D8BA58F" w14:textId="77777777">
        <w:trPr>
          <w:divId w:val="1339456045"/>
          <w:trHeight w:val="225"/>
          <w:tblCellSpacing w:w="15" w:type="dxa"/>
          <w:jc w:val="center"/>
        </w:trPr>
        <w:tc>
          <w:tcPr>
            <w:tcW w:w="0" w:type="auto"/>
            <w:vAlign w:val="center"/>
            <w:hideMark/>
          </w:tcPr>
          <w:p w14:paraId="3ED46561"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75421C17"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043CA71B" w14:textId="77777777" w:rsidR="002B5D06" w:rsidRDefault="000B69DD">
            <w:pPr>
              <w:rPr>
                <w:rFonts w:eastAsia="Times New Roman"/>
                <w:sz w:val="20"/>
                <w:szCs w:val="20"/>
              </w:rPr>
            </w:pPr>
            <w:r>
              <w:rPr>
                <w:rFonts w:eastAsia="Times New Roman"/>
                <w:sz w:val="20"/>
                <w:szCs w:val="20"/>
              </w:rPr>
              <w:t xml:space="preserve">Robert Wolfe </w:t>
            </w:r>
          </w:p>
        </w:tc>
        <w:tc>
          <w:tcPr>
            <w:tcW w:w="0" w:type="auto"/>
            <w:vAlign w:val="center"/>
            <w:hideMark/>
          </w:tcPr>
          <w:p w14:paraId="25E356F4" w14:textId="77777777" w:rsidR="002B5D06" w:rsidRDefault="000B69DD">
            <w:pPr>
              <w:rPr>
                <w:rFonts w:eastAsia="Times New Roman"/>
                <w:sz w:val="20"/>
                <w:szCs w:val="20"/>
              </w:rPr>
            </w:pPr>
            <w:r>
              <w:rPr>
                <w:rFonts w:eastAsia="Times New Roman"/>
                <w:sz w:val="20"/>
                <w:szCs w:val="20"/>
              </w:rPr>
              <w:t> </w:t>
            </w:r>
          </w:p>
        </w:tc>
      </w:tr>
      <w:tr w:rsidR="002B5D06" w14:paraId="7E69F164" w14:textId="77777777">
        <w:trPr>
          <w:divId w:val="1339456045"/>
          <w:trHeight w:val="225"/>
          <w:tblCellSpacing w:w="15" w:type="dxa"/>
          <w:jc w:val="center"/>
        </w:trPr>
        <w:tc>
          <w:tcPr>
            <w:tcW w:w="0" w:type="auto"/>
            <w:vAlign w:val="center"/>
            <w:hideMark/>
          </w:tcPr>
          <w:p w14:paraId="115B2D67" w14:textId="77777777" w:rsidR="002B5D06" w:rsidRDefault="000B69DD">
            <w:pPr>
              <w:rPr>
                <w:rFonts w:eastAsia="Times New Roman"/>
                <w:sz w:val="20"/>
                <w:szCs w:val="20"/>
              </w:rPr>
            </w:pPr>
            <w:r>
              <w:rPr>
                <w:rFonts w:eastAsia="Times New Roman"/>
                <w:sz w:val="20"/>
                <w:szCs w:val="20"/>
              </w:rPr>
              <w:t> </w:t>
            </w:r>
          </w:p>
        </w:tc>
        <w:tc>
          <w:tcPr>
            <w:tcW w:w="0" w:type="auto"/>
            <w:vAlign w:val="center"/>
            <w:hideMark/>
          </w:tcPr>
          <w:p w14:paraId="71E982B6" w14:textId="77777777" w:rsidR="002B5D06" w:rsidRDefault="000B69DD">
            <w:pPr>
              <w:rPr>
                <w:rFonts w:eastAsia="Times New Roman"/>
                <w:sz w:val="20"/>
                <w:szCs w:val="20"/>
              </w:rPr>
            </w:pPr>
            <w:r>
              <w:rPr>
                <w:rFonts w:eastAsia="Times New Roman"/>
                <w:sz w:val="20"/>
                <w:szCs w:val="20"/>
              </w:rPr>
              <w:t> </w:t>
            </w:r>
          </w:p>
        </w:tc>
        <w:tc>
          <w:tcPr>
            <w:tcW w:w="0" w:type="auto"/>
            <w:vAlign w:val="center"/>
            <w:hideMark/>
          </w:tcPr>
          <w:p w14:paraId="26486619" w14:textId="77777777" w:rsidR="002B5D06" w:rsidRDefault="000B69DD">
            <w:pPr>
              <w:rPr>
                <w:rFonts w:eastAsia="Times New Roman"/>
                <w:sz w:val="20"/>
                <w:szCs w:val="20"/>
              </w:rPr>
            </w:pPr>
            <w:r>
              <w:rPr>
                <w:rFonts w:eastAsia="Times New Roman"/>
                <w:sz w:val="20"/>
                <w:szCs w:val="20"/>
              </w:rPr>
              <w:t xml:space="preserve">Chief Executive Officer </w:t>
            </w:r>
          </w:p>
        </w:tc>
        <w:tc>
          <w:tcPr>
            <w:tcW w:w="0" w:type="auto"/>
            <w:vAlign w:val="center"/>
            <w:hideMark/>
          </w:tcPr>
          <w:p w14:paraId="428188CD" w14:textId="77777777" w:rsidR="002B5D06" w:rsidRDefault="000B69DD">
            <w:pPr>
              <w:rPr>
                <w:rFonts w:eastAsia="Times New Roman"/>
                <w:sz w:val="20"/>
                <w:szCs w:val="20"/>
              </w:rPr>
            </w:pPr>
            <w:r>
              <w:rPr>
                <w:rFonts w:eastAsia="Times New Roman"/>
                <w:sz w:val="20"/>
                <w:szCs w:val="20"/>
              </w:rPr>
              <w:t> </w:t>
            </w:r>
          </w:p>
        </w:tc>
      </w:tr>
    </w:tbl>
    <w:p w14:paraId="415E9020" w14:textId="77777777" w:rsidR="002B5D06" w:rsidRDefault="000B69DD">
      <w:pPr>
        <w:pStyle w:val="NormalWeb"/>
        <w:spacing w:before="0" w:beforeAutospacing="0" w:after="0" w:afterAutospacing="0"/>
        <w:jc w:val="both"/>
        <w:divId w:val="1339456045"/>
        <w:rPr>
          <w:sz w:val="20"/>
          <w:szCs w:val="20"/>
        </w:rPr>
      </w:pPr>
      <w:r>
        <w:rPr>
          <w:sz w:val="20"/>
          <w:szCs w:val="20"/>
        </w:rPr>
        <w:t> </w:t>
      </w:r>
    </w:p>
    <w:p w14:paraId="63CBECC5" w14:textId="77777777" w:rsidR="002B5D06" w:rsidRDefault="000B69DD">
      <w:pPr>
        <w:divId w:val="965618175"/>
        <w:rPr>
          <w:rFonts w:eastAsia="Times New Roman"/>
        </w:rPr>
      </w:pPr>
      <w:r>
        <w:rPr>
          <w:rFonts w:eastAsia="Times New Roman"/>
        </w:rPr>
        <w:t> </w:t>
      </w:r>
    </w:p>
    <w:p w14:paraId="214736E8" w14:textId="77777777" w:rsidR="002B5D06" w:rsidRDefault="002B5D06">
      <w:pPr>
        <w:rPr>
          <w:rFonts w:eastAsia="Times New Roman"/>
        </w:rPr>
      </w:pPr>
    </w:p>
    <w:p w14:paraId="441226FE" w14:textId="77777777" w:rsidR="002B5D06" w:rsidRDefault="000B69DD">
      <w:pPr>
        <w:pStyle w:val="NormalWeb"/>
        <w:spacing w:before="0" w:beforeAutospacing="0" w:after="0" w:afterAutospacing="0"/>
        <w:jc w:val="right"/>
        <w:divId w:val="1007555181"/>
        <w:rPr>
          <w:sz w:val="20"/>
          <w:szCs w:val="20"/>
        </w:rPr>
      </w:pPr>
      <w:r>
        <w:rPr>
          <w:rStyle w:val="Strong"/>
          <w:sz w:val="20"/>
          <w:szCs w:val="20"/>
        </w:rPr>
        <w:t>EXHIBIT 31.2</w:t>
      </w:r>
    </w:p>
    <w:p w14:paraId="076EA768" w14:textId="77777777" w:rsidR="002B5D06" w:rsidRDefault="000B69DD">
      <w:pPr>
        <w:pStyle w:val="NormalWeb"/>
        <w:spacing w:before="0" w:beforeAutospacing="0" w:after="0" w:afterAutospacing="0"/>
        <w:jc w:val="right"/>
        <w:divId w:val="1007555181"/>
        <w:rPr>
          <w:sz w:val="20"/>
          <w:szCs w:val="20"/>
        </w:rPr>
      </w:pPr>
      <w:r>
        <w:rPr>
          <w:sz w:val="20"/>
          <w:szCs w:val="20"/>
        </w:rPr>
        <w:t> </w:t>
      </w:r>
    </w:p>
    <w:p w14:paraId="3B18FF0C" w14:textId="77777777" w:rsidR="002B5D06" w:rsidRDefault="000B69DD">
      <w:pPr>
        <w:pStyle w:val="NormalWeb"/>
        <w:spacing w:before="0" w:beforeAutospacing="0" w:after="0" w:afterAutospacing="0"/>
        <w:jc w:val="center"/>
        <w:divId w:val="1007555181"/>
        <w:rPr>
          <w:sz w:val="20"/>
          <w:szCs w:val="20"/>
        </w:rPr>
      </w:pPr>
      <w:r>
        <w:rPr>
          <w:rStyle w:val="Strong"/>
          <w:sz w:val="20"/>
          <w:szCs w:val="20"/>
        </w:rPr>
        <w:t>CERTIFICATIONS</w:t>
      </w:r>
    </w:p>
    <w:p w14:paraId="48FD4706" w14:textId="77777777" w:rsidR="002B5D06" w:rsidRDefault="000B69DD">
      <w:pPr>
        <w:pStyle w:val="NormalWeb"/>
        <w:spacing w:before="0" w:beforeAutospacing="0" w:after="0" w:afterAutospacing="0"/>
        <w:jc w:val="center"/>
        <w:divId w:val="1007555181"/>
        <w:rPr>
          <w:sz w:val="20"/>
          <w:szCs w:val="20"/>
        </w:rPr>
      </w:pPr>
      <w:r>
        <w:rPr>
          <w:sz w:val="20"/>
          <w:szCs w:val="20"/>
        </w:rPr>
        <w:t> </w:t>
      </w:r>
    </w:p>
    <w:p w14:paraId="379A9EF3" w14:textId="77777777" w:rsidR="002B5D06" w:rsidRDefault="000B69DD">
      <w:pPr>
        <w:pStyle w:val="NormalWeb"/>
        <w:spacing w:before="0" w:beforeAutospacing="0" w:after="0" w:afterAutospacing="0"/>
        <w:jc w:val="both"/>
        <w:divId w:val="1007555181"/>
        <w:rPr>
          <w:sz w:val="20"/>
          <w:szCs w:val="20"/>
        </w:rPr>
      </w:pPr>
      <w:r>
        <w:rPr>
          <w:sz w:val="20"/>
          <w:szCs w:val="20"/>
        </w:rPr>
        <w:t>I, Robert Wolfe, certify that:</w:t>
      </w:r>
    </w:p>
    <w:p w14:paraId="41D0AE16" w14:textId="77777777" w:rsidR="002B5D06" w:rsidRDefault="000B69DD">
      <w:pPr>
        <w:pStyle w:val="NormalWeb"/>
        <w:spacing w:before="0" w:beforeAutospacing="0" w:after="0" w:afterAutospacing="0"/>
        <w:jc w:val="both"/>
        <w:divId w:val="100755518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6"/>
        <w:gridCol w:w="8944"/>
      </w:tblGrid>
      <w:tr w:rsidR="002B5D06" w14:paraId="71AE9914" w14:textId="77777777">
        <w:trPr>
          <w:divId w:val="1007555181"/>
          <w:trHeight w:val="225"/>
          <w:tblCellSpacing w:w="15" w:type="dxa"/>
          <w:jc w:val="center"/>
        </w:trPr>
        <w:tc>
          <w:tcPr>
            <w:tcW w:w="200" w:type="pct"/>
            <w:hideMark/>
          </w:tcPr>
          <w:p w14:paraId="7DB36BB6" w14:textId="77777777" w:rsidR="002B5D06" w:rsidRDefault="000B69DD">
            <w:pPr>
              <w:jc w:val="both"/>
              <w:rPr>
                <w:rFonts w:eastAsia="Times New Roman"/>
                <w:sz w:val="20"/>
                <w:szCs w:val="20"/>
              </w:rPr>
            </w:pPr>
            <w:r>
              <w:rPr>
                <w:rFonts w:eastAsia="Times New Roman"/>
                <w:sz w:val="20"/>
                <w:szCs w:val="20"/>
              </w:rPr>
              <w:t>1.</w:t>
            </w:r>
          </w:p>
        </w:tc>
        <w:tc>
          <w:tcPr>
            <w:tcW w:w="0" w:type="auto"/>
            <w:hideMark/>
          </w:tcPr>
          <w:p w14:paraId="673830A2" w14:textId="77777777" w:rsidR="002B5D06" w:rsidRDefault="000B69DD">
            <w:pPr>
              <w:jc w:val="both"/>
              <w:rPr>
                <w:rFonts w:eastAsia="Times New Roman"/>
                <w:sz w:val="20"/>
                <w:szCs w:val="20"/>
              </w:rPr>
            </w:pPr>
            <w:r>
              <w:rPr>
                <w:rFonts w:eastAsia="Times New Roman"/>
                <w:sz w:val="20"/>
                <w:szCs w:val="20"/>
              </w:rPr>
              <w:t>I have reviewed this Annual Report on Form 10-K for the 12 month period ended June 30, 2025 of Advanced Oxygen Technologies, Inc.;</w:t>
            </w:r>
          </w:p>
        </w:tc>
      </w:tr>
      <w:tr w:rsidR="002B5D06" w14:paraId="6EEC2D81" w14:textId="77777777">
        <w:trPr>
          <w:divId w:val="1007555181"/>
          <w:trHeight w:val="225"/>
          <w:tblCellSpacing w:w="15" w:type="dxa"/>
          <w:jc w:val="center"/>
        </w:trPr>
        <w:tc>
          <w:tcPr>
            <w:tcW w:w="0" w:type="auto"/>
            <w:vAlign w:val="center"/>
            <w:hideMark/>
          </w:tcPr>
          <w:p w14:paraId="5233997D"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209428C1"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39BC9984" w14:textId="77777777">
        <w:trPr>
          <w:divId w:val="1007555181"/>
          <w:trHeight w:val="225"/>
          <w:tblCellSpacing w:w="15" w:type="dxa"/>
          <w:jc w:val="center"/>
        </w:trPr>
        <w:tc>
          <w:tcPr>
            <w:tcW w:w="0" w:type="auto"/>
            <w:hideMark/>
          </w:tcPr>
          <w:p w14:paraId="759AB34F" w14:textId="77777777" w:rsidR="002B5D06" w:rsidRDefault="000B69DD">
            <w:pPr>
              <w:jc w:val="both"/>
              <w:rPr>
                <w:rFonts w:eastAsia="Times New Roman"/>
                <w:sz w:val="20"/>
                <w:szCs w:val="20"/>
              </w:rPr>
            </w:pPr>
            <w:r>
              <w:rPr>
                <w:rFonts w:eastAsia="Times New Roman"/>
                <w:sz w:val="20"/>
                <w:szCs w:val="20"/>
              </w:rPr>
              <w:t>2.</w:t>
            </w:r>
          </w:p>
        </w:tc>
        <w:tc>
          <w:tcPr>
            <w:tcW w:w="0" w:type="auto"/>
            <w:hideMark/>
          </w:tcPr>
          <w:p w14:paraId="4ADDCADF" w14:textId="77777777" w:rsidR="002B5D06" w:rsidRDefault="000B69DD">
            <w:pPr>
              <w:jc w:val="both"/>
              <w:rPr>
                <w:rFonts w:eastAsia="Times New Roman"/>
                <w:sz w:val="20"/>
                <w:szCs w:val="20"/>
              </w:rPr>
            </w:pPr>
            <w:r>
              <w:rPr>
                <w:rFonts w:eastAsia="Times New Roman"/>
                <w:sz w:val="20"/>
                <w:szCs w:val="20"/>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tc>
      </w:tr>
      <w:tr w:rsidR="002B5D06" w14:paraId="4BD509C4" w14:textId="77777777">
        <w:trPr>
          <w:divId w:val="1007555181"/>
          <w:trHeight w:val="225"/>
          <w:tblCellSpacing w:w="15" w:type="dxa"/>
          <w:jc w:val="center"/>
        </w:trPr>
        <w:tc>
          <w:tcPr>
            <w:tcW w:w="0" w:type="auto"/>
            <w:vAlign w:val="center"/>
            <w:hideMark/>
          </w:tcPr>
          <w:p w14:paraId="135A21E4"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03D2DF81"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69A4D80A" w14:textId="77777777">
        <w:trPr>
          <w:divId w:val="1007555181"/>
          <w:trHeight w:val="225"/>
          <w:tblCellSpacing w:w="15" w:type="dxa"/>
          <w:jc w:val="center"/>
        </w:trPr>
        <w:tc>
          <w:tcPr>
            <w:tcW w:w="0" w:type="auto"/>
            <w:hideMark/>
          </w:tcPr>
          <w:p w14:paraId="46E47CFE" w14:textId="77777777" w:rsidR="002B5D06" w:rsidRDefault="000B69DD">
            <w:pPr>
              <w:jc w:val="both"/>
              <w:rPr>
                <w:rFonts w:eastAsia="Times New Roman"/>
                <w:sz w:val="20"/>
                <w:szCs w:val="20"/>
              </w:rPr>
            </w:pPr>
            <w:r>
              <w:rPr>
                <w:rFonts w:eastAsia="Times New Roman"/>
                <w:sz w:val="20"/>
                <w:szCs w:val="20"/>
              </w:rPr>
              <w:t>3.</w:t>
            </w:r>
          </w:p>
        </w:tc>
        <w:tc>
          <w:tcPr>
            <w:tcW w:w="0" w:type="auto"/>
            <w:hideMark/>
          </w:tcPr>
          <w:p w14:paraId="469BFF7A" w14:textId="77777777" w:rsidR="002B5D06" w:rsidRDefault="000B69DD">
            <w:pPr>
              <w:jc w:val="both"/>
              <w:rPr>
                <w:rFonts w:eastAsia="Times New Roman"/>
                <w:sz w:val="20"/>
                <w:szCs w:val="20"/>
              </w:rPr>
            </w:pPr>
            <w:r>
              <w:rPr>
                <w:rFonts w:eastAsia="Times New Roman"/>
                <w:sz w:val="20"/>
                <w:szCs w:val="20"/>
              </w:rPr>
              <w:t>Based on my knowledge, the financial statements and other financial information included in this report, fairly present in all material respects the financial condition, results of operations and cash flows of the registrant as of and for, the periods presented in this report;</w:t>
            </w:r>
          </w:p>
        </w:tc>
      </w:tr>
      <w:tr w:rsidR="002B5D06" w14:paraId="4C571093" w14:textId="77777777">
        <w:trPr>
          <w:divId w:val="1007555181"/>
          <w:trHeight w:val="225"/>
          <w:tblCellSpacing w:w="15" w:type="dxa"/>
          <w:jc w:val="center"/>
        </w:trPr>
        <w:tc>
          <w:tcPr>
            <w:tcW w:w="0" w:type="auto"/>
            <w:vAlign w:val="center"/>
            <w:hideMark/>
          </w:tcPr>
          <w:p w14:paraId="7400E6F9"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61A9DB83"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23221061" w14:textId="77777777">
        <w:trPr>
          <w:divId w:val="1007555181"/>
          <w:trHeight w:val="225"/>
          <w:tblCellSpacing w:w="15" w:type="dxa"/>
          <w:jc w:val="center"/>
        </w:trPr>
        <w:tc>
          <w:tcPr>
            <w:tcW w:w="0" w:type="auto"/>
            <w:hideMark/>
          </w:tcPr>
          <w:p w14:paraId="4323A507" w14:textId="77777777" w:rsidR="002B5D06" w:rsidRDefault="000B69DD">
            <w:pPr>
              <w:jc w:val="both"/>
              <w:rPr>
                <w:rFonts w:eastAsia="Times New Roman"/>
                <w:sz w:val="20"/>
                <w:szCs w:val="20"/>
              </w:rPr>
            </w:pPr>
            <w:r>
              <w:rPr>
                <w:rFonts w:eastAsia="Times New Roman"/>
                <w:sz w:val="20"/>
                <w:szCs w:val="20"/>
              </w:rPr>
              <w:t>4.</w:t>
            </w:r>
          </w:p>
        </w:tc>
        <w:tc>
          <w:tcPr>
            <w:tcW w:w="0" w:type="auto"/>
            <w:hideMark/>
          </w:tcPr>
          <w:p w14:paraId="497EDE46" w14:textId="77777777" w:rsidR="002B5D06" w:rsidRDefault="000B69DD">
            <w:pPr>
              <w:jc w:val="both"/>
              <w:rPr>
                <w:rFonts w:eastAsia="Times New Roman"/>
                <w:sz w:val="20"/>
                <w:szCs w:val="20"/>
              </w:rPr>
            </w:pPr>
            <w:r>
              <w:rPr>
                <w:rFonts w:eastAsia="Times New Roman"/>
                <w:sz w:val="20"/>
                <w:szCs w:val="20"/>
              </w:rPr>
              <w:t>I am responsible for establishing and maintaining disclosure controls and procedures (as defined in Exchange Act Rules 13a-15(e) and 15d-15(e)) and internal control over financial reporting (as defined in Exchange Act Rules 13a-15(f) and 15d-15(f)) for the registrant and have:</w:t>
            </w:r>
          </w:p>
        </w:tc>
      </w:tr>
    </w:tbl>
    <w:p w14:paraId="6CDB10C2" w14:textId="77777777" w:rsidR="002B5D06" w:rsidRDefault="000B69DD">
      <w:pPr>
        <w:pStyle w:val="NormalWeb"/>
        <w:spacing w:before="0" w:beforeAutospacing="0" w:after="0" w:afterAutospacing="0"/>
        <w:jc w:val="both"/>
        <w:divId w:val="100755518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2B5D06" w14:paraId="2194BF07" w14:textId="77777777">
        <w:trPr>
          <w:divId w:val="1007555181"/>
          <w:trHeight w:val="225"/>
          <w:tblCellSpacing w:w="15" w:type="dxa"/>
          <w:jc w:val="center"/>
        </w:trPr>
        <w:tc>
          <w:tcPr>
            <w:tcW w:w="200" w:type="pct"/>
            <w:vAlign w:val="center"/>
            <w:hideMark/>
          </w:tcPr>
          <w:p w14:paraId="2B1ED32C" w14:textId="77777777" w:rsidR="002B5D06" w:rsidRDefault="000B69DD">
            <w:pPr>
              <w:pStyle w:val="NormalWeb"/>
              <w:spacing w:before="0" w:beforeAutospacing="0" w:after="0" w:afterAutospacing="0"/>
              <w:jc w:val="both"/>
              <w:rPr>
                <w:sz w:val="20"/>
                <w:szCs w:val="20"/>
              </w:rPr>
            </w:pPr>
            <w:r>
              <w:rPr>
                <w:sz w:val="20"/>
                <w:szCs w:val="20"/>
              </w:rPr>
              <w:t> </w:t>
            </w:r>
          </w:p>
        </w:tc>
        <w:tc>
          <w:tcPr>
            <w:tcW w:w="200" w:type="pct"/>
            <w:hideMark/>
          </w:tcPr>
          <w:p w14:paraId="5897F9A7" w14:textId="77777777" w:rsidR="002B5D06" w:rsidRDefault="000B69DD">
            <w:pPr>
              <w:jc w:val="both"/>
              <w:rPr>
                <w:rFonts w:eastAsia="Times New Roman"/>
                <w:sz w:val="20"/>
                <w:szCs w:val="20"/>
              </w:rPr>
            </w:pPr>
            <w:r>
              <w:rPr>
                <w:rFonts w:eastAsia="Times New Roman"/>
                <w:sz w:val="20"/>
                <w:szCs w:val="20"/>
              </w:rPr>
              <w:t>(a)</w:t>
            </w:r>
          </w:p>
        </w:tc>
        <w:tc>
          <w:tcPr>
            <w:tcW w:w="0" w:type="auto"/>
            <w:hideMark/>
          </w:tcPr>
          <w:p w14:paraId="59515E1F" w14:textId="77777777" w:rsidR="002B5D06" w:rsidRDefault="000B69DD">
            <w:pPr>
              <w:jc w:val="both"/>
              <w:rPr>
                <w:rFonts w:eastAsia="Times New Roman"/>
                <w:sz w:val="20"/>
                <w:szCs w:val="20"/>
              </w:rPr>
            </w:pPr>
            <w:r>
              <w:rPr>
                <w:rFonts w:eastAsia="Times New Roman"/>
                <w:sz w:val="20"/>
                <w:szCs w:val="20"/>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tc>
      </w:tr>
      <w:tr w:rsidR="002B5D06" w14:paraId="6EBFA498" w14:textId="77777777">
        <w:trPr>
          <w:divId w:val="1007555181"/>
          <w:trHeight w:val="225"/>
          <w:tblCellSpacing w:w="15" w:type="dxa"/>
          <w:jc w:val="center"/>
        </w:trPr>
        <w:tc>
          <w:tcPr>
            <w:tcW w:w="0" w:type="auto"/>
            <w:vAlign w:val="center"/>
            <w:hideMark/>
          </w:tcPr>
          <w:p w14:paraId="62713B5E"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2CFF7E75"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60A32B43"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716D1FD2" w14:textId="77777777">
        <w:trPr>
          <w:divId w:val="1007555181"/>
          <w:trHeight w:val="225"/>
          <w:tblCellSpacing w:w="15" w:type="dxa"/>
          <w:jc w:val="center"/>
        </w:trPr>
        <w:tc>
          <w:tcPr>
            <w:tcW w:w="0" w:type="auto"/>
            <w:vAlign w:val="center"/>
            <w:hideMark/>
          </w:tcPr>
          <w:p w14:paraId="491A53B4"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hideMark/>
          </w:tcPr>
          <w:p w14:paraId="1209FD3B" w14:textId="77777777" w:rsidR="002B5D06" w:rsidRDefault="000B69DD">
            <w:pPr>
              <w:jc w:val="both"/>
              <w:rPr>
                <w:rFonts w:eastAsia="Times New Roman"/>
                <w:sz w:val="20"/>
                <w:szCs w:val="20"/>
              </w:rPr>
            </w:pPr>
            <w:r>
              <w:rPr>
                <w:rFonts w:eastAsia="Times New Roman"/>
                <w:sz w:val="20"/>
                <w:szCs w:val="20"/>
              </w:rPr>
              <w:t>(b)</w:t>
            </w:r>
          </w:p>
        </w:tc>
        <w:tc>
          <w:tcPr>
            <w:tcW w:w="0" w:type="auto"/>
            <w:hideMark/>
          </w:tcPr>
          <w:p w14:paraId="244475EF" w14:textId="77777777" w:rsidR="002B5D06" w:rsidRDefault="000B69DD">
            <w:pPr>
              <w:jc w:val="both"/>
              <w:rPr>
                <w:rFonts w:eastAsia="Times New Roman"/>
                <w:sz w:val="20"/>
                <w:szCs w:val="20"/>
              </w:rPr>
            </w:pPr>
            <w:r>
              <w:rPr>
                <w:rFonts w:eastAsia="Times New Roman"/>
                <w:sz w:val="20"/>
                <w:szCs w:val="20"/>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tc>
      </w:tr>
      <w:tr w:rsidR="002B5D06" w14:paraId="4A018530" w14:textId="77777777">
        <w:trPr>
          <w:divId w:val="1007555181"/>
          <w:trHeight w:val="225"/>
          <w:tblCellSpacing w:w="15" w:type="dxa"/>
          <w:jc w:val="center"/>
        </w:trPr>
        <w:tc>
          <w:tcPr>
            <w:tcW w:w="0" w:type="auto"/>
            <w:vAlign w:val="center"/>
            <w:hideMark/>
          </w:tcPr>
          <w:p w14:paraId="026ABEDE"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5428FCA0"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437065E3"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0E311C91" w14:textId="77777777">
        <w:trPr>
          <w:divId w:val="1007555181"/>
          <w:trHeight w:val="225"/>
          <w:tblCellSpacing w:w="15" w:type="dxa"/>
          <w:jc w:val="center"/>
        </w:trPr>
        <w:tc>
          <w:tcPr>
            <w:tcW w:w="0" w:type="auto"/>
            <w:vAlign w:val="center"/>
            <w:hideMark/>
          </w:tcPr>
          <w:p w14:paraId="375F6678"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hideMark/>
          </w:tcPr>
          <w:p w14:paraId="61EACFE0" w14:textId="77777777" w:rsidR="002B5D06" w:rsidRDefault="000B69DD">
            <w:pPr>
              <w:jc w:val="both"/>
              <w:rPr>
                <w:rFonts w:eastAsia="Times New Roman"/>
                <w:sz w:val="20"/>
                <w:szCs w:val="20"/>
              </w:rPr>
            </w:pPr>
            <w:r>
              <w:rPr>
                <w:rFonts w:eastAsia="Times New Roman"/>
                <w:sz w:val="20"/>
                <w:szCs w:val="20"/>
              </w:rPr>
              <w:t>(c)</w:t>
            </w:r>
          </w:p>
        </w:tc>
        <w:tc>
          <w:tcPr>
            <w:tcW w:w="0" w:type="auto"/>
            <w:hideMark/>
          </w:tcPr>
          <w:p w14:paraId="0835ACC1" w14:textId="77777777" w:rsidR="002B5D06" w:rsidRDefault="000B69DD">
            <w:pPr>
              <w:jc w:val="both"/>
              <w:rPr>
                <w:rFonts w:eastAsia="Times New Roman"/>
                <w:sz w:val="20"/>
                <w:szCs w:val="20"/>
              </w:rPr>
            </w:pPr>
            <w:r>
              <w:rPr>
                <w:rFonts w:eastAsia="Times New Roman"/>
                <w:sz w:val="20"/>
                <w:szCs w:val="20"/>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tc>
      </w:tr>
      <w:tr w:rsidR="002B5D06" w14:paraId="351085C6" w14:textId="77777777">
        <w:trPr>
          <w:divId w:val="1007555181"/>
          <w:trHeight w:val="225"/>
          <w:tblCellSpacing w:w="15" w:type="dxa"/>
          <w:jc w:val="center"/>
        </w:trPr>
        <w:tc>
          <w:tcPr>
            <w:tcW w:w="0" w:type="auto"/>
            <w:vAlign w:val="center"/>
            <w:hideMark/>
          </w:tcPr>
          <w:p w14:paraId="0D219FD9"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5DFE1202"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7705D02F"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676B31C2" w14:textId="77777777">
        <w:trPr>
          <w:divId w:val="1007555181"/>
          <w:trHeight w:val="225"/>
          <w:tblCellSpacing w:w="15" w:type="dxa"/>
          <w:jc w:val="center"/>
        </w:trPr>
        <w:tc>
          <w:tcPr>
            <w:tcW w:w="0" w:type="auto"/>
            <w:vAlign w:val="center"/>
            <w:hideMark/>
          </w:tcPr>
          <w:p w14:paraId="55E8C995"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hideMark/>
          </w:tcPr>
          <w:p w14:paraId="5E8A2C00" w14:textId="77777777" w:rsidR="002B5D06" w:rsidRDefault="000B69DD">
            <w:pPr>
              <w:jc w:val="both"/>
              <w:rPr>
                <w:rFonts w:eastAsia="Times New Roman"/>
                <w:sz w:val="20"/>
                <w:szCs w:val="20"/>
              </w:rPr>
            </w:pPr>
            <w:r>
              <w:rPr>
                <w:rFonts w:eastAsia="Times New Roman"/>
                <w:sz w:val="20"/>
                <w:szCs w:val="20"/>
              </w:rPr>
              <w:t>(d)</w:t>
            </w:r>
          </w:p>
        </w:tc>
        <w:tc>
          <w:tcPr>
            <w:tcW w:w="0" w:type="auto"/>
            <w:hideMark/>
          </w:tcPr>
          <w:p w14:paraId="75C6D1CA" w14:textId="77777777" w:rsidR="002B5D06" w:rsidRDefault="000B69DD">
            <w:pPr>
              <w:jc w:val="both"/>
              <w:rPr>
                <w:rFonts w:eastAsia="Times New Roman"/>
                <w:sz w:val="20"/>
                <w:szCs w:val="20"/>
              </w:rPr>
            </w:pPr>
            <w:r>
              <w:rPr>
                <w:rFonts w:eastAsia="Times New Roman"/>
                <w:sz w:val="20"/>
                <w:szCs w:val="20"/>
              </w:rPr>
              <w:t>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p>
        </w:tc>
      </w:tr>
    </w:tbl>
    <w:p w14:paraId="1660D797" w14:textId="77777777" w:rsidR="002B5D06" w:rsidRDefault="000B69DD">
      <w:pPr>
        <w:pStyle w:val="NormalWeb"/>
        <w:spacing w:before="0" w:beforeAutospacing="0" w:after="0" w:afterAutospacing="0"/>
        <w:jc w:val="both"/>
        <w:divId w:val="100755518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6"/>
        <w:gridCol w:w="8944"/>
      </w:tblGrid>
      <w:tr w:rsidR="002B5D06" w14:paraId="1509B41A" w14:textId="77777777">
        <w:trPr>
          <w:divId w:val="1007555181"/>
          <w:trHeight w:val="225"/>
          <w:tblCellSpacing w:w="15" w:type="dxa"/>
          <w:jc w:val="center"/>
        </w:trPr>
        <w:tc>
          <w:tcPr>
            <w:tcW w:w="200" w:type="pct"/>
            <w:hideMark/>
          </w:tcPr>
          <w:p w14:paraId="1C3B75DA" w14:textId="77777777" w:rsidR="002B5D06" w:rsidRDefault="000B69DD">
            <w:pPr>
              <w:jc w:val="both"/>
              <w:rPr>
                <w:rFonts w:eastAsia="Times New Roman"/>
                <w:sz w:val="20"/>
                <w:szCs w:val="20"/>
              </w:rPr>
            </w:pPr>
            <w:r>
              <w:rPr>
                <w:rFonts w:eastAsia="Times New Roman"/>
                <w:sz w:val="20"/>
                <w:szCs w:val="20"/>
              </w:rPr>
              <w:t>5.</w:t>
            </w:r>
          </w:p>
        </w:tc>
        <w:tc>
          <w:tcPr>
            <w:tcW w:w="0" w:type="auto"/>
            <w:hideMark/>
          </w:tcPr>
          <w:p w14:paraId="3024F64D" w14:textId="77777777" w:rsidR="002B5D06" w:rsidRDefault="000B69DD">
            <w:pPr>
              <w:jc w:val="both"/>
              <w:rPr>
                <w:rFonts w:eastAsia="Times New Roman"/>
                <w:sz w:val="20"/>
                <w:szCs w:val="20"/>
              </w:rPr>
            </w:pPr>
            <w:r>
              <w:rPr>
                <w:rFonts w:eastAsia="Times New Roman"/>
                <w:sz w:val="20"/>
                <w:szCs w:val="20"/>
              </w:rPr>
              <w:t>I have disclosed, based on our most recent evaluation of internal control over financial reporting, to the registrant’s auditors and the audit committee of the registrant’s board of directors (or persons performing the equivalent functions):</w:t>
            </w:r>
          </w:p>
        </w:tc>
      </w:tr>
    </w:tbl>
    <w:p w14:paraId="304F11E7" w14:textId="77777777" w:rsidR="002B5D06" w:rsidRDefault="000B69DD">
      <w:pPr>
        <w:pStyle w:val="NormalWeb"/>
        <w:spacing w:before="0" w:beforeAutospacing="0" w:after="0" w:afterAutospacing="0"/>
        <w:jc w:val="both"/>
        <w:divId w:val="100755518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2B5D06" w14:paraId="4BFF4EB1" w14:textId="77777777">
        <w:trPr>
          <w:divId w:val="1007555181"/>
          <w:trHeight w:val="225"/>
          <w:tblCellSpacing w:w="15" w:type="dxa"/>
          <w:jc w:val="center"/>
        </w:trPr>
        <w:tc>
          <w:tcPr>
            <w:tcW w:w="200" w:type="pct"/>
            <w:vAlign w:val="center"/>
            <w:hideMark/>
          </w:tcPr>
          <w:p w14:paraId="646E9731" w14:textId="77777777" w:rsidR="002B5D06" w:rsidRDefault="000B69DD">
            <w:pPr>
              <w:pStyle w:val="NormalWeb"/>
              <w:spacing w:before="0" w:beforeAutospacing="0" w:after="0" w:afterAutospacing="0"/>
              <w:jc w:val="both"/>
              <w:rPr>
                <w:sz w:val="20"/>
                <w:szCs w:val="20"/>
              </w:rPr>
            </w:pPr>
            <w:r>
              <w:rPr>
                <w:sz w:val="20"/>
                <w:szCs w:val="20"/>
              </w:rPr>
              <w:t> </w:t>
            </w:r>
          </w:p>
        </w:tc>
        <w:tc>
          <w:tcPr>
            <w:tcW w:w="200" w:type="pct"/>
            <w:hideMark/>
          </w:tcPr>
          <w:p w14:paraId="01AB2F8F" w14:textId="77777777" w:rsidR="002B5D06" w:rsidRDefault="000B69DD">
            <w:pPr>
              <w:jc w:val="both"/>
              <w:rPr>
                <w:rFonts w:eastAsia="Times New Roman"/>
                <w:sz w:val="20"/>
                <w:szCs w:val="20"/>
              </w:rPr>
            </w:pPr>
            <w:r>
              <w:rPr>
                <w:rFonts w:eastAsia="Times New Roman"/>
                <w:sz w:val="20"/>
                <w:szCs w:val="20"/>
              </w:rPr>
              <w:t>(a)</w:t>
            </w:r>
          </w:p>
        </w:tc>
        <w:tc>
          <w:tcPr>
            <w:tcW w:w="0" w:type="auto"/>
            <w:hideMark/>
          </w:tcPr>
          <w:p w14:paraId="1F4C44FD" w14:textId="77777777" w:rsidR="002B5D06" w:rsidRDefault="000B69DD">
            <w:pPr>
              <w:jc w:val="both"/>
              <w:rPr>
                <w:rFonts w:eastAsia="Times New Roman"/>
                <w:sz w:val="20"/>
                <w:szCs w:val="20"/>
              </w:rPr>
            </w:pPr>
            <w:r>
              <w:rPr>
                <w:rFonts w:eastAsia="Times New Roman"/>
                <w:sz w:val="20"/>
                <w:szCs w:val="20"/>
              </w:rPr>
              <w:t>all significant deficiencies and material weaknesses in the design or operation of internal control over financial reporting which are reasonably likely to adversely affect the registrant’s ability to record, process, summarize and report financial information; and</w:t>
            </w:r>
          </w:p>
        </w:tc>
      </w:tr>
      <w:tr w:rsidR="002B5D06" w14:paraId="114A7A7E" w14:textId="77777777">
        <w:trPr>
          <w:divId w:val="1007555181"/>
          <w:trHeight w:val="225"/>
          <w:tblCellSpacing w:w="15" w:type="dxa"/>
          <w:jc w:val="center"/>
        </w:trPr>
        <w:tc>
          <w:tcPr>
            <w:tcW w:w="0" w:type="auto"/>
            <w:vAlign w:val="center"/>
            <w:hideMark/>
          </w:tcPr>
          <w:p w14:paraId="1C7AB04C"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29CA1ED7"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4A0DDFAB"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056F8A5C" w14:textId="77777777">
        <w:trPr>
          <w:divId w:val="1007555181"/>
          <w:trHeight w:val="225"/>
          <w:tblCellSpacing w:w="15" w:type="dxa"/>
          <w:jc w:val="center"/>
        </w:trPr>
        <w:tc>
          <w:tcPr>
            <w:tcW w:w="0" w:type="auto"/>
            <w:vAlign w:val="center"/>
            <w:hideMark/>
          </w:tcPr>
          <w:p w14:paraId="7149DF4E"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hideMark/>
          </w:tcPr>
          <w:p w14:paraId="3A08A1A2" w14:textId="77777777" w:rsidR="002B5D06" w:rsidRDefault="000B69DD">
            <w:pPr>
              <w:jc w:val="both"/>
              <w:rPr>
                <w:rFonts w:eastAsia="Times New Roman"/>
                <w:sz w:val="20"/>
                <w:szCs w:val="20"/>
              </w:rPr>
            </w:pPr>
            <w:r>
              <w:rPr>
                <w:rFonts w:eastAsia="Times New Roman"/>
                <w:sz w:val="20"/>
                <w:szCs w:val="20"/>
              </w:rPr>
              <w:t>(b)</w:t>
            </w:r>
          </w:p>
        </w:tc>
        <w:tc>
          <w:tcPr>
            <w:tcW w:w="0" w:type="auto"/>
            <w:hideMark/>
          </w:tcPr>
          <w:p w14:paraId="782D85B6" w14:textId="77777777" w:rsidR="002B5D06" w:rsidRDefault="000B69DD">
            <w:pPr>
              <w:jc w:val="both"/>
              <w:rPr>
                <w:rFonts w:eastAsia="Times New Roman"/>
                <w:sz w:val="20"/>
                <w:szCs w:val="20"/>
              </w:rPr>
            </w:pPr>
            <w:r>
              <w:rPr>
                <w:rFonts w:eastAsia="Times New Roman"/>
                <w:sz w:val="20"/>
                <w:szCs w:val="20"/>
              </w:rPr>
              <w:t>any fraud, whether or not material, that involves management or other employees who have a significant role in the registrant’s internal control over financial reporting.</w:t>
            </w:r>
          </w:p>
        </w:tc>
      </w:tr>
    </w:tbl>
    <w:p w14:paraId="231BACFC" w14:textId="77777777" w:rsidR="002B5D06" w:rsidRDefault="000B69DD">
      <w:pPr>
        <w:pStyle w:val="NormalWeb"/>
        <w:spacing w:before="0" w:beforeAutospacing="0" w:after="0" w:afterAutospacing="0"/>
        <w:jc w:val="both"/>
        <w:divId w:val="100755518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45"/>
        <w:gridCol w:w="319"/>
        <w:gridCol w:w="3250"/>
        <w:gridCol w:w="1146"/>
      </w:tblGrid>
      <w:tr w:rsidR="002B5D06" w14:paraId="2652843D" w14:textId="77777777">
        <w:trPr>
          <w:divId w:val="1007555181"/>
          <w:trHeight w:val="225"/>
          <w:tblCellSpacing w:w="15" w:type="dxa"/>
          <w:jc w:val="center"/>
        </w:trPr>
        <w:tc>
          <w:tcPr>
            <w:tcW w:w="2500" w:type="pct"/>
            <w:vAlign w:val="center"/>
            <w:hideMark/>
          </w:tcPr>
          <w:p w14:paraId="77C816E9" w14:textId="77777777" w:rsidR="002B5D06" w:rsidRDefault="000B69DD">
            <w:pPr>
              <w:rPr>
                <w:rFonts w:eastAsia="Times New Roman"/>
                <w:sz w:val="20"/>
                <w:szCs w:val="20"/>
              </w:rPr>
            </w:pPr>
            <w:r>
              <w:rPr>
                <w:rFonts w:eastAsia="Times New Roman"/>
                <w:sz w:val="20"/>
                <w:szCs w:val="20"/>
              </w:rPr>
              <w:t> </w:t>
            </w:r>
          </w:p>
        </w:tc>
        <w:tc>
          <w:tcPr>
            <w:tcW w:w="150" w:type="pct"/>
            <w:vAlign w:val="center"/>
            <w:hideMark/>
          </w:tcPr>
          <w:p w14:paraId="5223E0E7" w14:textId="77777777" w:rsidR="002B5D06" w:rsidRDefault="000B69DD">
            <w:pPr>
              <w:rPr>
                <w:rFonts w:eastAsia="Times New Roman"/>
                <w:sz w:val="20"/>
                <w:szCs w:val="20"/>
              </w:rPr>
            </w:pPr>
            <w:r>
              <w:rPr>
                <w:rFonts w:eastAsia="Times New Roman"/>
                <w:sz w:val="20"/>
                <w:szCs w:val="20"/>
              </w:rPr>
              <w:t> </w:t>
            </w:r>
          </w:p>
        </w:tc>
        <w:tc>
          <w:tcPr>
            <w:tcW w:w="1750" w:type="pct"/>
            <w:vAlign w:val="center"/>
            <w:hideMark/>
          </w:tcPr>
          <w:p w14:paraId="4577EC4A" w14:textId="77777777" w:rsidR="002B5D06" w:rsidRDefault="000B69DD">
            <w:pPr>
              <w:rPr>
                <w:rFonts w:eastAsia="Times New Roman"/>
                <w:sz w:val="20"/>
                <w:szCs w:val="20"/>
              </w:rPr>
            </w:pPr>
            <w:r>
              <w:rPr>
                <w:rFonts w:eastAsia="Times New Roman"/>
                <w:sz w:val="20"/>
                <w:szCs w:val="20"/>
              </w:rPr>
              <w:t> </w:t>
            </w:r>
          </w:p>
        </w:tc>
        <w:tc>
          <w:tcPr>
            <w:tcW w:w="600" w:type="pct"/>
            <w:vAlign w:val="center"/>
            <w:hideMark/>
          </w:tcPr>
          <w:p w14:paraId="24B09BB7" w14:textId="77777777" w:rsidR="002B5D06" w:rsidRDefault="000B69DD">
            <w:pPr>
              <w:rPr>
                <w:rFonts w:eastAsia="Times New Roman"/>
                <w:sz w:val="20"/>
                <w:szCs w:val="20"/>
              </w:rPr>
            </w:pPr>
            <w:r>
              <w:rPr>
                <w:rFonts w:eastAsia="Times New Roman"/>
                <w:sz w:val="20"/>
                <w:szCs w:val="20"/>
              </w:rPr>
              <w:t> </w:t>
            </w:r>
          </w:p>
        </w:tc>
      </w:tr>
      <w:tr w:rsidR="002B5D06" w14:paraId="5220D340" w14:textId="77777777">
        <w:trPr>
          <w:divId w:val="1007555181"/>
          <w:trHeight w:val="225"/>
          <w:tblCellSpacing w:w="15" w:type="dxa"/>
          <w:jc w:val="center"/>
        </w:trPr>
        <w:tc>
          <w:tcPr>
            <w:tcW w:w="0" w:type="auto"/>
            <w:vAlign w:val="center"/>
            <w:hideMark/>
          </w:tcPr>
          <w:p w14:paraId="46A7D9F2" w14:textId="77777777" w:rsidR="002B5D06" w:rsidRDefault="000B69DD">
            <w:pPr>
              <w:rPr>
                <w:rFonts w:eastAsia="Times New Roman"/>
                <w:sz w:val="20"/>
                <w:szCs w:val="20"/>
              </w:rPr>
            </w:pPr>
            <w:r>
              <w:rPr>
                <w:rFonts w:eastAsia="Times New Roman"/>
                <w:sz w:val="20"/>
                <w:szCs w:val="20"/>
              </w:rPr>
              <w:t>Date: September 11, 2025</w:t>
            </w:r>
          </w:p>
        </w:tc>
        <w:tc>
          <w:tcPr>
            <w:tcW w:w="0" w:type="auto"/>
            <w:vAlign w:val="center"/>
            <w:hideMark/>
          </w:tcPr>
          <w:p w14:paraId="30610530" w14:textId="77777777" w:rsidR="002B5D06" w:rsidRDefault="000B69DD">
            <w:pPr>
              <w:rPr>
                <w:rFonts w:eastAsia="Times New Roman"/>
                <w:sz w:val="20"/>
                <w:szCs w:val="20"/>
              </w:rPr>
            </w:pPr>
            <w:r>
              <w:rPr>
                <w:rFonts w:eastAsia="Times New Roman"/>
                <w:sz w:val="20"/>
                <w:szCs w:val="20"/>
              </w:rPr>
              <w:t>By:</w:t>
            </w:r>
          </w:p>
        </w:tc>
        <w:tc>
          <w:tcPr>
            <w:tcW w:w="0" w:type="auto"/>
            <w:tcBorders>
              <w:bottom w:val="single" w:sz="6" w:space="0" w:color="000000"/>
            </w:tcBorders>
            <w:vAlign w:val="center"/>
            <w:hideMark/>
          </w:tcPr>
          <w:p w14:paraId="1510C7F9" w14:textId="77777777" w:rsidR="002B5D06" w:rsidRDefault="000B69DD">
            <w:pPr>
              <w:rPr>
                <w:rFonts w:eastAsia="Times New Roman"/>
                <w:sz w:val="20"/>
                <w:szCs w:val="20"/>
              </w:rPr>
            </w:pPr>
            <w:r>
              <w:rPr>
                <w:rStyle w:val="Emphasis"/>
                <w:rFonts w:eastAsia="Times New Roman"/>
                <w:sz w:val="20"/>
                <w:szCs w:val="20"/>
              </w:rPr>
              <w:t>/s/ Robert Wolfe</w:t>
            </w:r>
          </w:p>
        </w:tc>
        <w:tc>
          <w:tcPr>
            <w:tcW w:w="0" w:type="auto"/>
            <w:vAlign w:val="center"/>
            <w:hideMark/>
          </w:tcPr>
          <w:p w14:paraId="3FD46483" w14:textId="77777777" w:rsidR="002B5D06" w:rsidRDefault="002B5D06">
            <w:pPr>
              <w:rPr>
                <w:rFonts w:eastAsia="Times New Roman"/>
                <w:sz w:val="20"/>
                <w:szCs w:val="20"/>
              </w:rPr>
            </w:pPr>
          </w:p>
        </w:tc>
      </w:tr>
      <w:tr w:rsidR="002B5D06" w14:paraId="5536F9F0" w14:textId="77777777">
        <w:trPr>
          <w:divId w:val="1007555181"/>
          <w:trHeight w:val="225"/>
          <w:tblCellSpacing w:w="15" w:type="dxa"/>
          <w:jc w:val="center"/>
        </w:trPr>
        <w:tc>
          <w:tcPr>
            <w:tcW w:w="0" w:type="auto"/>
            <w:vAlign w:val="center"/>
            <w:hideMark/>
          </w:tcPr>
          <w:p w14:paraId="50551A09"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6BD4B8AA"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5ABD3317" w14:textId="77777777" w:rsidR="002B5D06" w:rsidRDefault="000B69DD">
            <w:pPr>
              <w:rPr>
                <w:rFonts w:eastAsia="Times New Roman"/>
                <w:sz w:val="20"/>
                <w:szCs w:val="20"/>
              </w:rPr>
            </w:pPr>
            <w:r>
              <w:rPr>
                <w:rFonts w:eastAsia="Times New Roman"/>
                <w:sz w:val="20"/>
                <w:szCs w:val="20"/>
              </w:rPr>
              <w:t>Robert Wolfe</w:t>
            </w:r>
          </w:p>
        </w:tc>
        <w:tc>
          <w:tcPr>
            <w:tcW w:w="0" w:type="auto"/>
            <w:vAlign w:val="center"/>
            <w:hideMark/>
          </w:tcPr>
          <w:p w14:paraId="275DD166" w14:textId="77777777" w:rsidR="002B5D06" w:rsidRDefault="000B69DD">
            <w:pPr>
              <w:rPr>
                <w:rFonts w:eastAsia="Times New Roman"/>
                <w:sz w:val="20"/>
                <w:szCs w:val="20"/>
              </w:rPr>
            </w:pPr>
            <w:r>
              <w:rPr>
                <w:rFonts w:eastAsia="Times New Roman"/>
                <w:sz w:val="20"/>
                <w:szCs w:val="20"/>
              </w:rPr>
              <w:t> </w:t>
            </w:r>
          </w:p>
        </w:tc>
      </w:tr>
      <w:tr w:rsidR="002B5D06" w14:paraId="469D5B6D" w14:textId="77777777">
        <w:trPr>
          <w:divId w:val="1007555181"/>
          <w:trHeight w:val="225"/>
          <w:tblCellSpacing w:w="15" w:type="dxa"/>
          <w:jc w:val="center"/>
        </w:trPr>
        <w:tc>
          <w:tcPr>
            <w:tcW w:w="0" w:type="auto"/>
            <w:vAlign w:val="center"/>
            <w:hideMark/>
          </w:tcPr>
          <w:p w14:paraId="391F5BC2" w14:textId="77777777" w:rsidR="002B5D06" w:rsidRDefault="000B69DD">
            <w:pPr>
              <w:rPr>
                <w:rFonts w:eastAsia="Times New Roman"/>
                <w:sz w:val="20"/>
                <w:szCs w:val="20"/>
              </w:rPr>
            </w:pPr>
            <w:r>
              <w:rPr>
                <w:rFonts w:eastAsia="Times New Roman"/>
                <w:sz w:val="20"/>
                <w:szCs w:val="20"/>
              </w:rPr>
              <w:t> </w:t>
            </w:r>
          </w:p>
        </w:tc>
        <w:tc>
          <w:tcPr>
            <w:tcW w:w="0" w:type="auto"/>
            <w:vAlign w:val="center"/>
            <w:hideMark/>
          </w:tcPr>
          <w:p w14:paraId="030FE6B7" w14:textId="77777777" w:rsidR="002B5D06" w:rsidRDefault="000B69DD">
            <w:pPr>
              <w:rPr>
                <w:rFonts w:eastAsia="Times New Roman"/>
                <w:sz w:val="20"/>
                <w:szCs w:val="20"/>
              </w:rPr>
            </w:pPr>
            <w:r>
              <w:rPr>
                <w:rFonts w:eastAsia="Times New Roman"/>
                <w:sz w:val="20"/>
                <w:szCs w:val="20"/>
              </w:rPr>
              <w:t> </w:t>
            </w:r>
          </w:p>
        </w:tc>
        <w:tc>
          <w:tcPr>
            <w:tcW w:w="0" w:type="auto"/>
            <w:vAlign w:val="center"/>
            <w:hideMark/>
          </w:tcPr>
          <w:p w14:paraId="1412A7AA" w14:textId="77777777" w:rsidR="002B5D06" w:rsidRDefault="000B69DD">
            <w:pPr>
              <w:rPr>
                <w:rFonts w:eastAsia="Times New Roman"/>
                <w:sz w:val="20"/>
                <w:szCs w:val="20"/>
              </w:rPr>
            </w:pPr>
            <w:r>
              <w:rPr>
                <w:rFonts w:eastAsia="Times New Roman"/>
                <w:sz w:val="20"/>
                <w:szCs w:val="20"/>
              </w:rPr>
              <w:t>Chief Financial Officer</w:t>
            </w:r>
          </w:p>
        </w:tc>
        <w:tc>
          <w:tcPr>
            <w:tcW w:w="0" w:type="auto"/>
            <w:vAlign w:val="center"/>
            <w:hideMark/>
          </w:tcPr>
          <w:p w14:paraId="2AB6EC8B" w14:textId="77777777" w:rsidR="002B5D06" w:rsidRDefault="000B69DD">
            <w:pPr>
              <w:rPr>
                <w:rFonts w:eastAsia="Times New Roman"/>
                <w:sz w:val="20"/>
                <w:szCs w:val="20"/>
              </w:rPr>
            </w:pPr>
            <w:r>
              <w:rPr>
                <w:rFonts w:eastAsia="Times New Roman"/>
                <w:sz w:val="20"/>
                <w:szCs w:val="20"/>
              </w:rPr>
              <w:t> </w:t>
            </w:r>
          </w:p>
        </w:tc>
      </w:tr>
    </w:tbl>
    <w:p w14:paraId="1DC930A7" w14:textId="77777777" w:rsidR="002B5D06" w:rsidRDefault="000B69DD">
      <w:pPr>
        <w:pStyle w:val="NormalWeb"/>
        <w:spacing w:before="0" w:beforeAutospacing="0" w:after="0" w:afterAutospacing="0"/>
        <w:jc w:val="both"/>
        <w:divId w:val="1007555181"/>
        <w:rPr>
          <w:sz w:val="20"/>
          <w:szCs w:val="20"/>
        </w:rPr>
      </w:pPr>
      <w:r>
        <w:rPr>
          <w:sz w:val="20"/>
          <w:szCs w:val="20"/>
        </w:rPr>
        <w:t> </w:t>
      </w:r>
    </w:p>
    <w:p w14:paraId="4A5C3828" w14:textId="77777777" w:rsidR="002B5D06" w:rsidRDefault="000B69DD">
      <w:pPr>
        <w:divId w:val="1636914711"/>
        <w:rPr>
          <w:rFonts w:eastAsia="Times New Roman"/>
        </w:rPr>
      </w:pPr>
      <w:r>
        <w:rPr>
          <w:rFonts w:eastAsia="Times New Roman"/>
        </w:rPr>
        <w:t> </w:t>
      </w:r>
    </w:p>
    <w:p w14:paraId="4EE326EE" w14:textId="77777777" w:rsidR="002B5D06" w:rsidRDefault="002B5D06">
      <w:pPr>
        <w:rPr>
          <w:rFonts w:eastAsia="Times New Roman"/>
        </w:rPr>
      </w:pPr>
    </w:p>
    <w:p w14:paraId="7B594E7A" w14:textId="77777777" w:rsidR="002B5D06" w:rsidRDefault="000B69DD">
      <w:pPr>
        <w:pStyle w:val="NormalWeb"/>
        <w:spacing w:before="0" w:beforeAutospacing="0" w:after="0" w:afterAutospacing="0"/>
        <w:jc w:val="right"/>
        <w:divId w:val="770056009"/>
        <w:rPr>
          <w:sz w:val="20"/>
          <w:szCs w:val="20"/>
        </w:rPr>
      </w:pPr>
      <w:r>
        <w:rPr>
          <w:rStyle w:val="Strong"/>
          <w:sz w:val="20"/>
          <w:szCs w:val="20"/>
        </w:rPr>
        <w:t>EXHIBIT 32.1</w:t>
      </w:r>
    </w:p>
    <w:p w14:paraId="2C248C3E" w14:textId="77777777" w:rsidR="002B5D06" w:rsidRDefault="000B69DD">
      <w:pPr>
        <w:pStyle w:val="NormalWeb"/>
        <w:spacing w:before="0" w:beforeAutospacing="0" w:after="0" w:afterAutospacing="0"/>
        <w:jc w:val="right"/>
        <w:divId w:val="770056009"/>
        <w:rPr>
          <w:sz w:val="20"/>
          <w:szCs w:val="20"/>
        </w:rPr>
      </w:pPr>
      <w:r>
        <w:rPr>
          <w:sz w:val="20"/>
          <w:szCs w:val="20"/>
        </w:rPr>
        <w:t> </w:t>
      </w:r>
    </w:p>
    <w:p w14:paraId="1124EBFC" w14:textId="77777777" w:rsidR="002B5D06" w:rsidRDefault="000B69DD">
      <w:pPr>
        <w:pStyle w:val="NormalWeb"/>
        <w:spacing w:before="0" w:beforeAutospacing="0" w:after="0" w:afterAutospacing="0"/>
        <w:jc w:val="center"/>
        <w:divId w:val="770056009"/>
        <w:rPr>
          <w:sz w:val="20"/>
          <w:szCs w:val="20"/>
        </w:rPr>
      </w:pPr>
      <w:r>
        <w:rPr>
          <w:rStyle w:val="Strong"/>
          <w:sz w:val="20"/>
          <w:szCs w:val="20"/>
        </w:rPr>
        <w:t>CERTIFICATION PURSUANT TO</w:t>
      </w:r>
    </w:p>
    <w:p w14:paraId="507DE4A2" w14:textId="77777777" w:rsidR="002B5D06" w:rsidRDefault="000B69DD">
      <w:pPr>
        <w:pStyle w:val="NormalWeb"/>
        <w:spacing w:before="0" w:beforeAutospacing="0" w:after="0" w:afterAutospacing="0"/>
        <w:jc w:val="center"/>
        <w:divId w:val="770056009"/>
        <w:rPr>
          <w:sz w:val="20"/>
          <w:szCs w:val="20"/>
        </w:rPr>
      </w:pPr>
      <w:r>
        <w:rPr>
          <w:rStyle w:val="Strong"/>
          <w:sz w:val="20"/>
          <w:szCs w:val="20"/>
        </w:rPr>
        <w:t> </w:t>
      </w:r>
    </w:p>
    <w:p w14:paraId="08B8FCA3" w14:textId="77777777" w:rsidR="002B5D06" w:rsidRDefault="000B69DD">
      <w:pPr>
        <w:pStyle w:val="NormalWeb"/>
        <w:spacing w:before="0" w:beforeAutospacing="0" w:after="0" w:afterAutospacing="0"/>
        <w:jc w:val="center"/>
        <w:divId w:val="770056009"/>
        <w:rPr>
          <w:sz w:val="20"/>
          <w:szCs w:val="20"/>
        </w:rPr>
      </w:pPr>
      <w:r>
        <w:rPr>
          <w:rStyle w:val="Strong"/>
          <w:sz w:val="20"/>
          <w:szCs w:val="20"/>
        </w:rPr>
        <w:t>18 U.S.C. SECTION 1350,</w:t>
      </w:r>
    </w:p>
    <w:p w14:paraId="3BC0AE44" w14:textId="77777777" w:rsidR="002B5D06" w:rsidRDefault="000B69DD">
      <w:pPr>
        <w:pStyle w:val="NormalWeb"/>
        <w:spacing w:before="0" w:beforeAutospacing="0" w:after="0" w:afterAutospacing="0"/>
        <w:jc w:val="center"/>
        <w:divId w:val="770056009"/>
        <w:rPr>
          <w:sz w:val="20"/>
          <w:szCs w:val="20"/>
        </w:rPr>
      </w:pPr>
      <w:r>
        <w:rPr>
          <w:rStyle w:val="Strong"/>
          <w:sz w:val="20"/>
          <w:szCs w:val="20"/>
        </w:rPr>
        <w:t> </w:t>
      </w:r>
    </w:p>
    <w:p w14:paraId="69EA3141" w14:textId="77777777" w:rsidR="002B5D06" w:rsidRDefault="000B69DD">
      <w:pPr>
        <w:pStyle w:val="NormalWeb"/>
        <w:spacing w:before="0" w:beforeAutospacing="0" w:after="0" w:afterAutospacing="0"/>
        <w:jc w:val="center"/>
        <w:divId w:val="770056009"/>
        <w:rPr>
          <w:sz w:val="20"/>
          <w:szCs w:val="20"/>
        </w:rPr>
      </w:pPr>
      <w:r>
        <w:rPr>
          <w:rStyle w:val="Strong"/>
          <w:sz w:val="20"/>
          <w:szCs w:val="20"/>
        </w:rPr>
        <w:t xml:space="preserve">AS ADOPTED PURSUANT TO </w:t>
      </w:r>
    </w:p>
    <w:p w14:paraId="5870808D" w14:textId="77777777" w:rsidR="002B5D06" w:rsidRDefault="000B69DD">
      <w:pPr>
        <w:pStyle w:val="NormalWeb"/>
        <w:spacing w:before="0" w:beforeAutospacing="0" w:after="0" w:afterAutospacing="0"/>
        <w:jc w:val="center"/>
        <w:divId w:val="770056009"/>
        <w:rPr>
          <w:sz w:val="20"/>
          <w:szCs w:val="20"/>
        </w:rPr>
      </w:pPr>
      <w:r>
        <w:rPr>
          <w:rStyle w:val="Strong"/>
          <w:sz w:val="20"/>
          <w:szCs w:val="20"/>
        </w:rPr>
        <w:t> </w:t>
      </w:r>
    </w:p>
    <w:p w14:paraId="6F007750" w14:textId="77777777" w:rsidR="002B5D06" w:rsidRDefault="000B69DD">
      <w:pPr>
        <w:pStyle w:val="NormalWeb"/>
        <w:spacing w:before="0" w:beforeAutospacing="0" w:after="0" w:afterAutospacing="0"/>
        <w:jc w:val="center"/>
        <w:divId w:val="770056009"/>
        <w:rPr>
          <w:sz w:val="20"/>
          <w:szCs w:val="20"/>
        </w:rPr>
      </w:pPr>
      <w:r>
        <w:rPr>
          <w:rStyle w:val="Strong"/>
          <w:sz w:val="20"/>
          <w:szCs w:val="20"/>
        </w:rPr>
        <w:t>SECTION 906 OF THE SARBANES-OXLEY ACT OF 2002</w:t>
      </w:r>
      <w:r>
        <w:rPr>
          <w:sz w:val="20"/>
          <w:szCs w:val="20"/>
        </w:rPr>
        <w:t xml:space="preserve"> </w:t>
      </w:r>
    </w:p>
    <w:p w14:paraId="7FEE2CF2" w14:textId="77777777" w:rsidR="002B5D06" w:rsidRDefault="000B69DD">
      <w:pPr>
        <w:pStyle w:val="NormalWeb"/>
        <w:spacing w:before="0" w:beforeAutospacing="0" w:after="0" w:afterAutospacing="0"/>
        <w:jc w:val="center"/>
        <w:divId w:val="770056009"/>
        <w:rPr>
          <w:sz w:val="20"/>
          <w:szCs w:val="20"/>
        </w:rPr>
      </w:pPr>
      <w:r>
        <w:rPr>
          <w:sz w:val="20"/>
          <w:szCs w:val="20"/>
        </w:rPr>
        <w:t> </w:t>
      </w:r>
    </w:p>
    <w:p w14:paraId="6F3F4DE7" w14:textId="77777777" w:rsidR="002B5D06" w:rsidRDefault="000B69DD">
      <w:pPr>
        <w:pStyle w:val="NormalWeb"/>
        <w:spacing w:before="0" w:beforeAutospacing="0" w:after="0" w:afterAutospacing="0"/>
        <w:jc w:val="both"/>
        <w:divId w:val="770056009"/>
        <w:rPr>
          <w:sz w:val="20"/>
          <w:szCs w:val="20"/>
        </w:rPr>
      </w:pPr>
      <w:r>
        <w:rPr>
          <w:sz w:val="20"/>
          <w:szCs w:val="20"/>
        </w:rPr>
        <w:t xml:space="preserve">In connection with the Annual Report of Advanced Oxygen Technologies, Inc. (the “Company”) on Form 10-K for the 12 month period ended June 30, 2025 filed with the Securities and Exchange Commission on the date hereof (the “Report”), I, Robert Wolfe, certify, pursuant to 18 U.S.C. § 1350, as adopted pursuant to 906 of the Sarbanes-Oxley Act of 2002, that: </w:t>
      </w:r>
    </w:p>
    <w:p w14:paraId="6A9C78D9" w14:textId="77777777" w:rsidR="002B5D06" w:rsidRDefault="000B69DD">
      <w:pPr>
        <w:pStyle w:val="NormalWeb"/>
        <w:spacing w:before="0" w:beforeAutospacing="0" w:after="0" w:afterAutospacing="0"/>
        <w:jc w:val="both"/>
        <w:divId w:val="770056009"/>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2B5D06" w14:paraId="13D19736" w14:textId="77777777">
        <w:trPr>
          <w:divId w:val="770056009"/>
          <w:trHeight w:val="225"/>
          <w:tblCellSpacing w:w="15" w:type="dxa"/>
          <w:jc w:val="center"/>
        </w:trPr>
        <w:tc>
          <w:tcPr>
            <w:tcW w:w="200" w:type="pct"/>
            <w:vAlign w:val="center"/>
            <w:hideMark/>
          </w:tcPr>
          <w:p w14:paraId="0FD50642" w14:textId="77777777" w:rsidR="002B5D06" w:rsidRDefault="000B69DD">
            <w:pPr>
              <w:pStyle w:val="NormalWeb"/>
              <w:spacing w:before="0" w:beforeAutospacing="0" w:after="0" w:afterAutospacing="0"/>
              <w:jc w:val="both"/>
              <w:rPr>
                <w:sz w:val="20"/>
                <w:szCs w:val="20"/>
              </w:rPr>
            </w:pPr>
            <w:r>
              <w:rPr>
                <w:sz w:val="20"/>
                <w:szCs w:val="20"/>
              </w:rPr>
              <w:t> </w:t>
            </w:r>
          </w:p>
        </w:tc>
        <w:tc>
          <w:tcPr>
            <w:tcW w:w="200" w:type="pct"/>
            <w:hideMark/>
          </w:tcPr>
          <w:p w14:paraId="7A5DDB41" w14:textId="77777777" w:rsidR="002B5D06" w:rsidRDefault="000B69DD">
            <w:pPr>
              <w:jc w:val="both"/>
              <w:rPr>
                <w:rFonts w:eastAsia="Times New Roman"/>
                <w:sz w:val="20"/>
                <w:szCs w:val="20"/>
              </w:rPr>
            </w:pPr>
            <w:r>
              <w:rPr>
                <w:rFonts w:eastAsia="Times New Roman"/>
                <w:sz w:val="20"/>
                <w:szCs w:val="20"/>
              </w:rPr>
              <w:t>(1)</w:t>
            </w:r>
          </w:p>
        </w:tc>
        <w:tc>
          <w:tcPr>
            <w:tcW w:w="0" w:type="auto"/>
            <w:hideMark/>
          </w:tcPr>
          <w:p w14:paraId="7DB13F2D" w14:textId="77777777" w:rsidR="002B5D06" w:rsidRDefault="000B69DD">
            <w:pPr>
              <w:jc w:val="both"/>
              <w:rPr>
                <w:rFonts w:eastAsia="Times New Roman"/>
                <w:sz w:val="20"/>
                <w:szCs w:val="20"/>
              </w:rPr>
            </w:pPr>
            <w:r>
              <w:rPr>
                <w:rFonts w:eastAsia="Times New Roman"/>
                <w:sz w:val="20"/>
                <w:szCs w:val="20"/>
              </w:rPr>
              <w:t>The Report fully complies with the requirements of Section 13(a) or 15(d) of the Securities Exchange Act of 1934; and</w:t>
            </w:r>
          </w:p>
        </w:tc>
      </w:tr>
      <w:tr w:rsidR="002B5D06" w14:paraId="47312518" w14:textId="77777777">
        <w:trPr>
          <w:divId w:val="770056009"/>
          <w:trHeight w:val="225"/>
          <w:tblCellSpacing w:w="15" w:type="dxa"/>
          <w:jc w:val="center"/>
        </w:trPr>
        <w:tc>
          <w:tcPr>
            <w:tcW w:w="0" w:type="auto"/>
            <w:vAlign w:val="center"/>
            <w:hideMark/>
          </w:tcPr>
          <w:p w14:paraId="6AA2C1D0"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00F2488B"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69D5B943"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23CD11F3" w14:textId="77777777">
        <w:trPr>
          <w:divId w:val="770056009"/>
          <w:trHeight w:val="225"/>
          <w:tblCellSpacing w:w="15" w:type="dxa"/>
          <w:jc w:val="center"/>
        </w:trPr>
        <w:tc>
          <w:tcPr>
            <w:tcW w:w="0" w:type="auto"/>
            <w:vAlign w:val="center"/>
            <w:hideMark/>
          </w:tcPr>
          <w:p w14:paraId="4368E249"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hideMark/>
          </w:tcPr>
          <w:p w14:paraId="29BDD8D2" w14:textId="77777777" w:rsidR="002B5D06" w:rsidRDefault="000B69DD">
            <w:pPr>
              <w:jc w:val="both"/>
              <w:rPr>
                <w:rFonts w:eastAsia="Times New Roman"/>
                <w:sz w:val="20"/>
                <w:szCs w:val="20"/>
              </w:rPr>
            </w:pPr>
            <w:r>
              <w:rPr>
                <w:rFonts w:eastAsia="Times New Roman"/>
                <w:sz w:val="20"/>
                <w:szCs w:val="20"/>
              </w:rPr>
              <w:t>(2)</w:t>
            </w:r>
          </w:p>
        </w:tc>
        <w:tc>
          <w:tcPr>
            <w:tcW w:w="0" w:type="auto"/>
            <w:hideMark/>
          </w:tcPr>
          <w:p w14:paraId="7333C302" w14:textId="77777777" w:rsidR="002B5D06" w:rsidRDefault="000B69DD">
            <w:pPr>
              <w:jc w:val="both"/>
              <w:rPr>
                <w:rFonts w:eastAsia="Times New Roman"/>
                <w:sz w:val="20"/>
                <w:szCs w:val="20"/>
              </w:rPr>
            </w:pPr>
            <w:r>
              <w:rPr>
                <w:rFonts w:eastAsia="Times New Roman"/>
                <w:sz w:val="20"/>
                <w:szCs w:val="20"/>
              </w:rPr>
              <w:t xml:space="preserve">The information contained in the Report fairly presents, in all material respects, the financial condition and results of operations of the Company. </w:t>
            </w:r>
          </w:p>
        </w:tc>
      </w:tr>
    </w:tbl>
    <w:p w14:paraId="0D365240" w14:textId="77777777" w:rsidR="002B5D06" w:rsidRDefault="000B69DD">
      <w:pPr>
        <w:pStyle w:val="NormalWeb"/>
        <w:spacing w:before="0" w:beforeAutospacing="0" w:after="0" w:afterAutospacing="0"/>
        <w:jc w:val="both"/>
        <w:divId w:val="770056009"/>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45"/>
        <w:gridCol w:w="319"/>
        <w:gridCol w:w="3250"/>
        <w:gridCol w:w="1146"/>
      </w:tblGrid>
      <w:tr w:rsidR="002B5D06" w14:paraId="7DEB7236" w14:textId="77777777">
        <w:trPr>
          <w:divId w:val="770056009"/>
          <w:trHeight w:val="225"/>
          <w:tblCellSpacing w:w="15" w:type="dxa"/>
          <w:jc w:val="center"/>
        </w:trPr>
        <w:tc>
          <w:tcPr>
            <w:tcW w:w="2500" w:type="pct"/>
            <w:vAlign w:val="center"/>
            <w:hideMark/>
          </w:tcPr>
          <w:p w14:paraId="77FE12D9" w14:textId="77777777" w:rsidR="002B5D06" w:rsidRDefault="000B69DD">
            <w:pPr>
              <w:rPr>
                <w:rFonts w:eastAsia="Times New Roman"/>
                <w:sz w:val="20"/>
                <w:szCs w:val="20"/>
              </w:rPr>
            </w:pPr>
            <w:r>
              <w:rPr>
                <w:rFonts w:eastAsia="Times New Roman"/>
                <w:sz w:val="20"/>
                <w:szCs w:val="20"/>
              </w:rPr>
              <w:t> </w:t>
            </w:r>
          </w:p>
        </w:tc>
        <w:tc>
          <w:tcPr>
            <w:tcW w:w="150" w:type="pct"/>
            <w:vAlign w:val="center"/>
            <w:hideMark/>
          </w:tcPr>
          <w:p w14:paraId="69261879" w14:textId="77777777" w:rsidR="002B5D06" w:rsidRDefault="000B69DD">
            <w:pPr>
              <w:rPr>
                <w:rFonts w:eastAsia="Times New Roman"/>
                <w:sz w:val="20"/>
                <w:szCs w:val="20"/>
              </w:rPr>
            </w:pPr>
            <w:r>
              <w:rPr>
                <w:rFonts w:eastAsia="Times New Roman"/>
                <w:sz w:val="20"/>
                <w:szCs w:val="20"/>
              </w:rPr>
              <w:t> </w:t>
            </w:r>
          </w:p>
        </w:tc>
        <w:tc>
          <w:tcPr>
            <w:tcW w:w="1750" w:type="pct"/>
            <w:vAlign w:val="center"/>
            <w:hideMark/>
          </w:tcPr>
          <w:p w14:paraId="7585CDB8" w14:textId="77777777" w:rsidR="002B5D06" w:rsidRDefault="000B69DD">
            <w:pPr>
              <w:rPr>
                <w:rFonts w:eastAsia="Times New Roman"/>
                <w:sz w:val="20"/>
                <w:szCs w:val="20"/>
              </w:rPr>
            </w:pPr>
            <w:r>
              <w:rPr>
                <w:rFonts w:eastAsia="Times New Roman"/>
                <w:sz w:val="20"/>
                <w:szCs w:val="20"/>
              </w:rPr>
              <w:t> </w:t>
            </w:r>
          </w:p>
        </w:tc>
        <w:tc>
          <w:tcPr>
            <w:tcW w:w="600" w:type="pct"/>
            <w:vAlign w:val="center"/>
            <w:hideMark/>
          </w:tcPr>
          <w:p w14:paraId="2931FE09" w14:textId="77777777" w:rsidR="002B5D06" w:rsidRDefault="000B69DD">
            <w:pPr>
              <w:rPr>
                <w:rFonts w:eastAsia="Times New Roman"/>
                <w:sz w:val="20"/>
                <w:szCs w:val="20"/>
              </w:rPr>
            </w:pPr>
            <w:r>
              <w:rPr>
                <w:rFonts w:eastAsia="Times New Roman"/>
                <w:sz w:val="20"/>
                <w:szCs w:val="20"/>
              </w:rPr>
              <w:t> </w:t>
            </w:r>
          </w:p>
        </w:tc>
      </w:tr>
      <w:tr w:rsidR="002B5D06" w14:paraId="4C2C38F0" w14:textId="77777777">
        <w:trPr>
          <w:divId w:val="770056009"/>
          <w:trHeight w:val="225"/>
          <w:tblCellSpacing w:w="15" w:type="dxa"/>
          <w:jc w:val="center"/>
        </w:trPr>
        <w:tc>
          <w:tcPr>
            <w:tcW w:w="0" w:type="auto"/>
            <w:vAlign w:val="center"/>
            <w:hideMark/>
          </w:tcPr>
          <w:p w14:paraId="4C8984BE" w14:textId="77777777" w:rsidR="002B5D06" w:rsidRDefault="000B69DD">
            <w:pPr>
              <w:pStyle w:val="NormalWeb"/>
              <w:spacing w:before="0" w:beforeAutospacing="0" w:after="0" w:afterAutospacing="0"/>
              <w:rPr>
                <w:sz w:val="20"/>
                <w:szCs w:val="20"/>
              </w:rPr>
            </w:pPr>
            <w:r>
              <w:rPr>
                <w:sz w:val="20"/>
                <w:szCs w:val="20"/>
              </w:rPr>
              <w:t>Date: September 11, 2025</w:t>
            </w:r>
          </w:p>
        </w:tc>
        <w:tc>
          <w:tcPr>
            <w:tcW w:w="0" w:type="auto"/>
            <w:vAlign w:val="center"/>
            <w:hideMark/>
          </w:tcPr>
          <w:p w14:paraId="52B64211" w14:textId="77777777" w:rsidR="002B5D06" w:rsidRDefault="000B69DD">
            <w:pPr>
              <w:rPr>
                <w:rFonts w:eastAsia="Times New Roman"/>
                <w:sz w:val="20"/>
                <w:szCs w:val="20"/>
              </w:rPr>
            </w:pPr>
            <w:r>
              <w:rPr>
                <w:rFonts w:eastAsia="Times New Roman"/>
                <w:sz w:val="20"/>
                <w:szCs w:val="20"/>
              </w:rPr>
              <w:t>By:</w:t>
            </w:r>
          </w:p>
        </w:tc>
        <w:tc>
          <w:tcPr>
            <w:tcW w:w="0" w:type="auto"/>
            <w:tcBorders>
              <w:bottom w:val="single" w:sz="6" w:space="0" w:color="000000"/>
            </w:tcBorders>
            <w:vAlign w:val="center"/>
            <w:hideMark/>
          </w:tcPr>
          <w:p w14:paraId="3511663C" w14:textId="77777777" w:rsidR="002B5D06" w:rsidRDefault="000B69DD">
            <w:pPr>
              <w:rPr>
                <w:rFonts w:eastAsia="Times New Roman"/>
                <w:sz w:val="20"/>
                <w:szCs w:val="20"/>
              </w:rPr>
            </w:pPr>
            <w:r>
              <w:rPr>
                <w:rStyle w:val="Emphasis"/>
                <w:rFonts w:eastAsia="Times New Roman"/>
                <w:sz w:val="20"/>
                <w:szCs w:val="20"/>
              </w:rPr>
              <w:t>/s/ Robert Wolfe</w:t>
            </w:r>
          </w:p>
        </w:tc>
        <w:tc>
          <w:tcPr>
            <w:tcW w:w="0" w:type="auto"/>
            <w:vAlign w:val="center"/>
            <w:hideMark/>
          </w:tcPr>
          <w:p w14:paraId="778BE063" w14:textId="77777777" w:rsidR="002B5D06" w:rsidRDefault="002B5D06">
            <w:pPr>
              <w:rPr>
                <w:rFonts w:eastAsia="Times New Roman"/>
                <w:sz w:val="20"/>
                <w:szCs w:val="20"/>
              </w:rPr>
            </w:pPr>
          </w:p>
        </w:tc>
      </w:tr>
      <w:tr w:rsidR="002B5D06" w14:paraId="0D163A3A" w14:textId="77777777">
        <w:trPr>
          <w:divId w:val="770056009"/>
          <w:trHeight w:val="225"/>
          <w:tblCellSpacing w:w="15" w:type="dxa"/>
          <w:jc w:val="center"/>
        </w:trPr>
        <w:tc>
          <w:tcPr>
            <w:tcW w:w="0" w:type="auto"/>
            <w:vAlign w:val="center"/>
            <w:hideMark/>
          </w:tcPr>
          <w:p w14:paraId="57913C82"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79CB2196"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00D479F2" w14:textId="77777777" w:rsidR="002B5D06" w:rsidRDefault="000B69DD">
            <w:pPr>
              <w:rPr>
                <w:rFonts w:eastAsia="Times New Roman"/>
                <w:sz w:val="20"/>
                <w:szCs w:val="20"/>
              </w:rPr>
            </w:pPr>
            <w:r>
              <w:rPr>
                <w:rFonts w:eastAsia="Times New Roman"/>
                <w:sz w:val="20"/>
                <w:szCs w:val="20"/>
              </w:rPr>
              <w:t xml:space="preserve">Robert Wolfe </w:t>
            </w:r>
          </w:p>
        </w:tc>
        <w:tc>
          <w:tcPr>
            <w:tcW w:w="0" w:type="auto"/>
            <w:vAlign w:val="center"/>
            <w:hideMark/>
          </w:tcPr>
          <w:p w14:paraId="7256F587" w14:textId="77777777" w:rsidR="002B5D06" w:rsidRDefault="000B69DD">
            <w:pPr>
              <w:rPr>
                <w:rFonts w:eastAsia="Times New Roman"/>
                <w:sz w:val="20"/>
                <w:szCs w:val="20"/>
              </w:rPr>
            </w:pPr>
            <w:r>
              <w:rPr>
                <w:rFonts w:eastAsia="Times New Roman"/>
                <w:sz w:val="20"/>
                <w:szCs w:val="20"/>
              </w:rPr>
              <w:t> </w:t>
            </w:r>
          </w:p>
        </w:tc>
      </w:tr>
      <w:tr w:rsidR="002B5D06" w14:paraId="1AFA7FAF" w14:textId="77777777">
        <w:trPr>
          <w:divId w:val="770056009"/>
          <w:trHeight w:val="225"/>
          <w:tblCellSpacing w:w="15" w:type="dxa"/>
          <w:jc w:val="center"/>
        </w:trPr>
        <w:tc>
          <w:tcPr>
            <w:tcW w:w="0" w:type="auto"/>
            <w:vAlign w:val="center"/>
            <w:hideMark/>
          </w:tcPr>
          <w:p w14:paraId="28C47D97" w14:textId="77777777" w:rsidR="002B5D06" w:rsidRDefault="000B69DD">
            <w:pPr>
              <w:rPr>
                <w:rFonts w:eastAsia="Times New Roman"/>
                <w:sz w:val="20"/>
                <w:szCs w:val="20"/>
              </w:rPr>
            </w:pPr>
            <w:r>
              <w:rPr>
                <w:rFonts w:eastAsia="Times New Roman"/>
                <w:sz w:val="20"/>
                <w:szCs w:val="20"/>
              </w:rPr>
              <w:t> </w:t>
            </w:r>
          </w:p>
        </w:tc>
        <w:tc>
          <w:tcPr>
            <w:tcW w:w="0" w:type="auto"/>
            <w:vAlign w:val="center"/>
            <w:hideMark/>
          </w:tcPr>
          <w:p w14:paraId="1512DE61" w14:textId="77777777" w:rsidR="002B5D06" w:rsidRDefault="000B69DD">
            <w:pPr>
              <w:rPr>
                <w:rFonts w:eastAsia="Times New Roman"/>
                <w:sz w:val="20"/>
                <w:szCs w:val="20"/>
              </w:rPr>
            </w:pPr>
            <w:r>
              <w:rPr>
                <w:rFonts w:eastAsia="Times New Roman"/>
                <w:sz w:val="20"/>
                <w:szCs w:val="20"/>
              </w:rPr>
              <w:t> </w:t>
            </w:r>
          </w:p>
        </w:tc>
        <w:tc>
          <w:tcPr>
            <w:tcW w:w="0" w:type="auto"/>
            <w:vAlign w:val="center"/>
            <w:hideMark/>
          </w:tcPr>
          <w:p w14:paraId="0FE9DE85" w14:textId="77777777" w:rsidR="002B5D06" w:rsidRDefault="000B69DD">
            <w:pPr>
              <w:pStyle w:val="NormalWeb"/>
              <w:spacing w:before="0" w:beforeAutospacing="0" w:after="0" w:afterAutospacing="0"/>
              <w:rPr>
                <w:sz w:val="20"/>
                <w:szCs w:val="20"/>
              </w:rPr>
            </w:pPr>
            <w:r>
              <w:rPr>
                <w:sz w:val="20"/>
                <w:szCs w:val="20"/>
              </w:rPr>
              <w:t xml:space="preserve">Chief Executive Officer </w:t>
            </w:r>
          </w:p>
        </w:tc>
        <w:tc>
          <w:tcPr>
            <w:tcW w:w="0" w:type="auto"/>
            <w:vAlign w:val="center"/>
            <w:hideMark/>
          </w:tcPr>
          <w:p w14:paraId="1A0A5F66" w14:textId="77777777" w:rsidR="002B5D06" w:rsidRDefault="000B69DD">
            <w:pPr>
              <w:rPr>
                <w:rFonts w:eastAsia="Times New Roman"/>
                <w:sz w:val="20"/>
                <w:szCs w:val="20"/>
              </w:rPr>
            </w:pPr>
            <w:r>
              <w:rPr>
                <w:rFonts w:eastAsia="Times New Roman"/>
                <w:sz w:val="20"/>
                <w:szCs w:val="20"/>
              </w:rPr>
              <w:t> </w:t>
            </w:r>
          </w:p>
        </w:tc>
      </w:tr>
    </w:tbl>
    <w:p w14:paraId="170115D2" w14:textId="77777777" w:rsidR="002B5D06" w:rsidRDefault="000B69DD">
      <w:pPr>
        <w:pStyle w:val="NormalWeb"/>
        <w:spacing w:before="0" w:beforeAutospacing="0" w:after="0" w:afterAutospacing="0"/>
        <w:jc w:val="both"/>
        <w:divId w:val="770056009"/>
        <w:rPr>
          <w:sz w:val="20"/>
          <w:szCs w:val="20"/>
        </w:rPr>
      </w:pPr>
      <w:r>
        <w:rPr>
          <w:sz w:val="20"/>
          <w:szCs w:val="20"/>
        </w:rPr>
        <w:t> </w:t>
      </w:r>
    </w:p>
    <w:p w14:paraId="1FAEEA70" w14:textId="77777777" w:rsidR="002B5D06" w:rsidRDefault="000B69DD">
      <w:pPr>
        <w:divId w:val="1169296454"/>
        <w:rPr>
          <w:rFonts w:eastAsia="Times New Roman"/>
        </w:rPr>
      </w:pPr>
      <w:r>
        <w:rPr>
          <w:rFonts w:eastAsia="Times New Roman"/>
        </w:rPr>
        <w:t> </w:t>
      </w:r>
    </w:p>
    <w:p w14:paraId="146499AA" w14:textId="77777777" w:rsidR="002B5D06" w:rsidRDefault="002B5D06">
      <w:pPr>
        <w:rPr>
          <w:rFonts w:eastAsia="Times New Roman"/>
        </w:rPr>
      </w:pPr>
    </w:p>
    <w:p w14:paraId="7267D377" w14:textId="77777777" w:rsidR="002B5D06" w:rsidRDefault="000B69DD">
      <w:pPr>
        <w:pStyle w:val="NormalWeb"/>
        <w:spacing w:before="0" w:beforeAutospacing="0" w:after="0" w:afterAutospacing="0"/>
        <w:jc w:val="right"/>
        <w:divId w:val="1586260435"/>
        <w:rPr>
          <w:sz w:val="20"/>
          <w:szCs w:val="20"/>
        </w:rPr>
      </w:pPr>
      <w:r>
        <w:rPr>
          <w:rStyle w:val="Strong"/>
          <w:sz w:val="20"/>
          <w:szCs w:val="20"/>
        </w:rPr>
        <w:t>  EXHIBIT 32.2</w:t>
      </w:r>
    </w:p>
    <w:p w14:paraId="14286BBA" w14:textId="77777777" w:rsidR="002B5D06" w:rsidRDefault="000B69DD">
      <w:pPr>
        <w:pStyle w:val="NormalWeb"/>
        <w:spacing w:before="0" w:beforeAutospacing="0" w:after="0" w:afterAutospacing="0"/>
        <w:jc w:val="right"/>
        <w:divId w:val="1586260435"/>
        <w:rPr>
          <w:sz w:val="20"/>
          <w:szCs w:val="20"/>
        </w:rPr>
      </w:pPr>
      <w:r>
        <w:rPr>
          <w:sz w:val="20"/>
          <w:szCs w:val="20"/>
        </w:rPr>
        <w:t> </w:t>
      </w:r>
    </w:p>
    <w:p w14:paraId="6DB97CD5" w14:textId="77777777" w:rsidR="002B5D06" w:rsidRDefault="000B69DD">
      <w:pPr>
        <w:pStyle w:val="NormalWeb"/>
        <w:spacing w:before="0" w:beforeAutospacing="0" w:after="0" w:afterAutospacing="0"/>
        <w:jc w:val="center"/>
        <w:divId w:val="1586260435"/>
        <w:rPr>
          <w:sz w:val="20"/>
          <w:szCs w:val="20"/>
        </w:rPr>
      </w:pPr>
      <w:r>
        <w:rPr>
          <w:rStyle w:val="Strong"/>
          <w:sz w:val="20"/>
          <w:szCs w:val="20"/>
        </w:rPr>
        <w:t>CERTIFICATION PURSUANT TO</w:t>
      </w:r>
    </w:p>
    <w:p w14:paraId="7FF6F568" w14:textId="77777777" w:rsidR="002B5D06" w:rsidRDefault="000B69DD">
      <w:pPr>
        <w:pStyle w:val="NormalWeb"/>
        <w:spacing w:before="0" w:beforeAutospacing="0" w:after="0" w:afterAutospacing="0"/>
        <w:jc w:val="center"/>
        <w:divId w:val="1586260435"/>
        <w:rPr>
          <w:sz w:val="20"/>
          <w:szCs w:val="20"/>
        </w:rPr>
      </w:pPr>
      <w:r>
        <w:rPr>
          <w:sz w:val="20"/>
          <w:szCs w:val="20"/>
        </w:rPr>
        <w:t> </w:t>
      </w:r>
    </w:p>
    <w:p w14:paraId="403184B4" w14:textId="77777777" w:rsidR="002B5D06" w:rsidRDefault="000B69DD">
      <w:pPr>
        <w:pStyle w:val="NormalWeb"/>
        <w:spacing w:before="0" w:beforeAutospacing="0" w:after="0" w:afterAutospacing="0"/>
        <w:jc w:val="center"/>
        <w:divId w:val="1586260435"/>
        <w:rPr>
          <w:sz w:val="20"/>
          <w:szCs w:val="20"/>
        </w:rPr>
      </w:pPr>
      <w:r>
        <w:rPr>
          <w:rStyle w:val="Strong"/>
          <w:sz w:val="20"/>
          <w:szCs w:val="20"/>
        </w:rPr>
        <w:t>18 U.S.C. SECTION 1350,</w:t>
      </w:r>
    </w:p>
    <w:p w14:paraId="46BCB2D9" w14:textId="77777777" w:rsidR="002B5D06" w:rsidRDefault="000B69DD">
      <w:pPr>
        <w:pStyle w:val="NormalWeb"/>
        <w:spacing w:before="0" w:beforeAutospacing="0" w:after="0" w:afterAutospacing="0"/>
        <w:jc w:val="center"/>
        <w:divId w:val="1586260435"/>
        <w:rPr>
          <w:sz w:val="20"/>
          <w:szCs w:val="20"/>
        </w:rPr>
      </w:pPr>
      <w:r>
        <w:rPr>
          <w:sz w:val="20"/>
          <w:szCs w:val="20"/>
        </w:rPr>
        <w:t> </w:t>
      </w:r>
    </w:p>
    <w:p w14:paraId="50261748" w14:textId="77777777" w:rsidR="002B5D06" w:rsidRDefault="000B69DD">
      <w:pPr>
        <w:pStyle w:val="NormalWeb"/>
        <w:spacing w:before="0" w:beforeAutospacing="0" w:after="0" w:afterAutospacing="0"/>
        <w:jc w:val="center"/>
        <w:divId w:val="1586260435"/>
        <w:rPr>
          <w:sz w:val="20"/>
          <w:szCs w:val="20"/>
        </w:rPr>
      </w:pPr>
      <w:r>
        <w:rPr>
          <w:rStyle w:val="Strong"/>
          <w:sz w:val="20"/>
          <w:szCs w:val="20"/>
        </w:rPr>
        <w:t>AS ADOPTED PURSUANT TO</w:t>
      </w:r>
    </w:p>
    <w:p w14:paraId="605806F0" w14:textId="77777777" w:rsidR="002B5D06" w:rsidRDefault="000B69DD">
      <w:pPr>
        <w:pStyle w:val="NormalWeb"/>
        <w:spacing w:before="0" w:beforeAutospacing="0" w:after="0" w:afterAutospacing="0"/>
        <w:jc w:val="center"/>
        <w:divId w:val="1586260435"/>
        <w:rPr>
          <w:sz w:val="20"/>
          <w:szCs w:val="20"/>
        </w:rPr>
      </w:pPr>
      <w:r>
        <w:rPr>
          <w:sz w:val="20"/>
          <w:szCs w:val="20"/>
        </w:rPr>
        <w:t> </w:t>
      </w:r>
    </w:p>
    <w:p w14:paraId="2C0F009A" w14:textId="77777777" w:rsidR="002B5D06" w:rsidRDefault="000B69DD">
      <w:pPr>
        <w:pStyle w:val="NormalWeb"/>
        <w:spacing w:before="0" w:beforeAutospacing="0" w:after="0" w:afterAutospacing="0"/>
        <w:jc w:val="center"/>
        <w:divId w:val="1586260435"/>
        <w:rPr>
          <w:sz w:val="20"/>
          <w:szCs w:val="20"/>
        </w:rPr>
      </w:pPr>
      <w:r>
        <w:rPr>
          <w:rStyle w:val="Strong"/>
          <w:sz w:val="20"/>
          <w:szCs w:val="20"/>
        </w:rPr>
        <w:t>SECTION 906 OF THE SARBANES-OXLEY ACT OF 2002</w:t>
      </w:r>
    </w:p>
    <w:p w14:paraId="5696DE7F" w14:textId="77777777" w:rsidR="002B5D06" w:rsidRDefault="000B69DD">
      <w:pPr>
        <w:pStyle w:val="NormalWeb"/>
        <w:spacing w:before="0" w:beforeAutospacing="0" w:after="0" w:afterAutospacing="0"/>
        <w:jc w:val="center"/>
        <w:divId w:val="1586260435"/>
        <w:rPr>
          <w:sz w:val="20"/>
          <w:szCs w:val="20"/>
        </w:rPr>
      </w:pPr>
      <w:r>
        <w:rPr>
          <w:sz w:val="20"/>
          <w:szCs w:val="20"/>
        </w:rPr>
        <w:t> </w:t>
      </w:r>
    </w:p>
    <w:p w14:paraId="74E2A412" w14:textId="77777777" w:rsidR="002B5D06" w:rsidRDefault="000B69DD">
      <w:pPr>
        <w:pStyle w:val="NormalWeb"/>
        <w:spacing w:before="0" w:beforeAutospacing="0" w:after="0" w:afterAutospacing="0"/>
        <w:jc w:val="both"/>
        <w:divId w:val="1586260435"/>
        <w:rPr>
          <w:sz w:val="20"/>
          <w:szCs w:val="20"/>
        </w:rPr>
      </w:pPr>
      <w:r>
        <w:rPr>
          <w:sz w:val="20"/>
          <w:szCs w:val="20"/>
        </w:rPr>
        <w:t>In connection with the Annual Report of Advanced Oxygen Technologies, Inc. (the “Company”) on Form 10-K for the period ended June 30, 2025 filed with the Securities and Exchange Commission on the date hereof (the “Report”), I, Robert Wolfe, certify, pursuant to 18 U.S.C. § 1350, as adopted pursuant to 906 of the Sarbanes-Oxley Act of 2002, that:</w:t>
      </w:r>
    </w:p>
    <w:p w14:paraId="35BD42FF" w14:textId="77777777" w:rsidR="002B5D06" w:rsidRDefault="000B69DD">
      <w:pPr>
        <w:pStyle w:val="NormalWeb"/>
        <w:spacing w:before="0" w:beforeAutospacing="0" w:after="0" w:afterAutospacing="0"/>
        <w:jc w:val="both"/>
        <w:divId w:val="1586260435"/>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2B5D06" w14:paraId="65F3C191" w14:textId="77777777">
        <w:trPr>
          <w:divId w:val="1586260435"/>
          <w:trHeight w:val="225"/>
          <w:tblCellSpacing w:w="15" w:type="dxa"/>
          <w:jc w:val="center"/>
        </w:trPr>
        <w:tc>
          <w:tcPr>
            <w:tcW w:w="200" w:type="pct"/>
            <w:vAlign w:val="center"/>
            <w:hideMark/>
          </w:tcPr>
          <w:p w14:paraId="38BFFF3D" w14:textId="77777777" w:rsidR="002B5D06" w:rsidRDefault="000B69DD">
            <w:pPr>
              <w:pStyle w:val="NormalWeb"/>
              <w:spacing w:before="0" w:beforeAutospacing="0" w:after="0" w:afterAutospacing="0"/>
              <w:jc w:val="both"/>
              <w:rPr>
                <w:sz w:val="20"/>
                <w:szCs w:val="20"/>
              </w:rPr>
            </w:pPr>
            <w:r>
              <w:rPr>
                <w:sz w:val="20"/>
                <w:szCs w:val="20"/>
              </w:rPr>
              <w:t> </w:t>
            </w:r>
          </w:p>
        </w:tc>
        <w:tc>
          <w:tcPr>
            <w:tcW w:w="200" w:type="pct"/>
            <w:hideMark/>
          </w:tcPr>
          <w:p w14:paraId="38AF8F64" w14:textId="77777777" w:rsidR="002B5D06" w:rsidRDefault="000B69DD">
            <w:pPr>
              <w:jc w:val="both"/>
              <w:rPr>
                <w:rFonts w:eastAsia="Times New Roman"/>
                <w:sz w:val="20"/>
                <w:szCs w:val="20"/>
              </w:rPr>
            </w:pPr>
            <w:r>
              <w:rPr>
                <w:rFonts w:eastAsia="Times New Roman"/>
                <w:sz w:val="20"/>
                <w:szCs w:val="20"/>
              </w:rPr>
              <w:t>(1)</w:t>
            </w:r>
          </w:p>
        </w:tc>
        <w:tc>
          <w:tcPr>
            <w:tcW w:w="0" w:type="auto"/>
            <w:hideMark/>
          </w:tcPr>
          <w:p w14:paraId="421CCD10" w14:textId="77777777" w:rsidR="002B5D06" w:rsidRDefault="000B69DD">
            <w:pPr>
              <w:jc w:val="both"/>
              <w:rPr>
                <w:rFonts w:eastAsia="Times New Roman"/>
                <w:sz w:val="20"/>
                <w:szCs w:val="20"/>
              </w:rPr>
            </w:pPr>
            <w:r>
              <w:rPr>
                <w:rFonts w:eastAsia="Times New Roman"/>
                <w:sz w:val="20"/>
                <w:szCs w:val="20"/>
              </w:rPr>
              <w:t>The Report fully complies with the requirements of Section 13(a) or 15(d) of the Securities Exchange Act of 1934; and</w:t>
            </w:r>
          </w:p>
        </w:tc>
      </w:tr>
      <w:tr w:rsidR="002B5D06" w14:paraId="10BD5CF4" w14:textId="77777777">
        <w:trPr>
          <w:divId w:val="1586260435"/>
          <w:trHeight w:val="225"/>
          <w:tblCellSpacing w:w="15" w:type="dxa"/>
          <w:jc w:val="center"/>
        </w:trPr>
        <w:tc>
          <w:tcPr>
            <w:tcW w:w="0" w:type="auto"/>
            <w:vAlign w:val="center"/>
            <w:hideMark/>
          </w:tcPr>
          <w:p w14:paraId="5355C0F3"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1BD80BFD"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vAlign w:val="center"/>
            <w:hideMark/>
          </w:tcPr>
          <w:p w14:paraId="4A5096FE" w14:textId="77777777" w:rsidR="002B5D06" w:rsidRDefault="000B69DD">
            <w:pPr>
              <w:pStyle w:val="NormalWeb"/>
              <w:spacing w:before="0" w:beforeAutospacing="0" w:after="0" w:afterAutospacing="0"/>
              <w:jc w:val="both"/>
              <w:rPr>
                <w:sz w:val="20"/>
                <w:szCs w:val="20"/>
              </w:rPr>
            </w:pPr>
            <w:r>
              <w:rPr>
                <w:sz w:val="20"/>
                <w:szCs w:val="20"/>
              </w:rPr>
              <w:t> </w:t>
            </w:r>
          </w:p>
        </w:tc>
      </w:tr>
      <w:tr w:rsidR="002B5D06" w14:paraId="6E5C9F64" w14:textId="77777777">
        <w:trPr>
          <w:divId w:val="1586260435"/>
          <w:trHeight w:val="225"/>
          <w:tblCellSpacing w:w="15" w:type="dxa"/>
          <w:jc w:val="center"/>
        </w:trPr>
        <w:tc>
          <w:tcPr>
            <w:tcW w:w="0" w:type="auto"/>
            <w:vAlign w:val="center"/>
            <w:hideMark/>
          </w:tcPr>
          <w:p w14:paraId="4BA3A57A" w14:textId="77777777" w:rsidR="002B5D06" w:rsidRDefault="000B69DD">
            <w:pPr>
              <w:pStyle w:val="NormalWeb"/>
              <w:spacing w:before="0" w:beforeAutospacing="0" w:after="0" w:afterAutospacing="0"/>
              <w:jc w:val="both"/>
              <w:rPr>
                <w:sz w:val="20"/>
                <w:szCs w:val="20"/>
              </w:rPr>
            </w:pPr>
            <w:r>
              <w:rPr>
                <w:sz w:val="20"/>
                <w:szCs w:val="20"/>
              </w:rPr>
              <w:t> </w:t>
            </w:r>
          </w:p>
        </w:tc>
        <w:tc>
          <w:tcPr>
            <w:tcW w:w="0" w:type="auto"/>
            <w:hideMark/>
          </w:tcPr>
          <w:p w14:paraId="601012EF" w14:textId="77777777" w:rsidR="002B5D06" w:rsidRDefault="000B69DD">
            <w:pPr>
              <w:jc w:val="both"/>
              <w:rPr>
                <w:rFonts w:eastAsia="Times New Roman"/>
                <w:sz w:val="20"/>
                <w:szCs w:val="20"/>
              </w:rPr>
            </w:pPr>
            <w:r>
              <w:rPr>
                <w:rFonts w:eastAsia="Times New Roman"/>
                <w:sz w:val="20"/>
                <w:szCs w:val="20"/>
              </w:rPr>
              <w:t>(2)</w:t>
            </w:r>
          </w:p>
        </w:tc>
        <w:tc>
          <w:tcPr>
            <w:tcW w:w="0" w:type="auto"/>
            <w:hideMark/>
          </w:tcPr>
          <w:p w14:paraId="63B33DF4" w14:textId="77777777" w:rsidR="002B5D06" w:rsidRDefault="000B69DD">
            <w:pPr>
              <w:jc w:val="both"/>
              <w:rPr>
                <w:rFonts w:eastAsia="Times New Roman"/>
                <w:sz w:val="20"/>
                <w:szCs w:val="20"/>
              </w:rPr>
            </w:pPr>
            <w:r>
              <w:rPr>
                <w:rFonts w:eastAsia="Times New Roman"/>
                <w:sz w:val="20"/>
                <w:szCs w:val="20"/>
              </w:rPr>
              <w:t>The information contained in the Report fairly presents, in all material respects, the financial condition and results of operations of the Company.</w:t>
            </w:r>
          </w:p>
        </w:tc>
      </w:tr>
    </w:tbl>
    <w:p w14:paraId="725BB2CA" w14:textId="77777777" w:rsidR="002B5D06" w:rsidRDefault="000B69DD">
      <w:pPr>
        <w:pStyle w:val="NormalWeb"/>
        <w:spacing w:before="0" w:beforeAutospacing="0" w:after="0" w:afterAutospacing="0"/>
        <w:jc w:val="both"/>
        <w:divId w:val="1586260435"/>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45"/>
        <w:gridCol w:w="319"/>
        <w:gridCol w:w="3250"/>
        <w:gridCol w:w="1146"/>
      </w:tblGrid>
      <w:tr w:rsidR="002B5D06" w14:paraId="4968DF63" w14:textId="77777777">
        <w:trPr>
          <w:divId w:val="1586260435"/>
          <w:trHeight w:val="225"/>
          <w:tblCellSpacing w:w="15" w:type="dxa"/>
          <w:jc w:val="center"/>
        </w:trPr>
        <w:tc>
          <w:tcPr>
            <w:tcW w:w="2500" w:type="pct"/>
            <w:vAlign w:val="center"/>
            <w:hideMark/>
          </w:tcPr>
          <w:p w14:paraId="42E6EC23" w14:textId="77777777" w:rsidR="002B5D06" w:rsidRDefault="000B69DD">
            <w:pPr>
              <w:rPr>
                <w:rFonts w:eastAsia="Times New Roman"/>
                <w:sz w:val="20"/>
                <w:szCs w:val="20"/>
              </w:rPr>
            </w:pPr>
            <w:r>
              <w:rPr>
                <w:rFonts w:eastAsia="Times New Roman"/>
                <w:sz w:val="20"/>
                <w:szCs w:val="20"/>
              </w:rPr>
              <w:t> </w:t>
            </w:r>
          </w:p>
        </w:tc>
        <w:tc>
          <w:tcPr>
            <w:tcW w:w="150" w:type="pct"/>
            <w:vAlign w:val="center"/>
            <w:hideMark/>
          </w:tcPr>
          <w:p w14:paraId="2FFDE530" w14:textId="77777777" w:rsidR="002B5D06" w:rsidRDefault="000B69DD">
            <w:pPr>
              <w:rPr>
                <w:rFonts w:eastAsia="Times New Roman"/>
                <w:sz w:val="20"/>
                <w:szCs w:val="20"/>
              </w:rPr>
            </w:pPr>
            <w:r>
              <w:rPr>
                <w:rFonts w:eastAsia="Times New Roman"/>
                <w:sz w:val="20"/>
                <w:szCs w:val="20"/>
              </w:rPr>
              <w:t> </w:t>
            </w:r>
          </w:p>
        </w:tc>
        <w:tc>
          <w:tcPr>
            <w:tcW w:w="1750" w:type="pct"/>
            <w:vAlign w:val="center"/>
            <w:hideMark/>
          </w:tcPr>
          <w:p w14:paraId="3A4E408C" w14:textId="77777777" w:rsidR="002B5D06" w:rsidRDefault="000B69DD">
            <w:pPr>
              <w:rPr>
                <w:rFonts w:eastAsia="Times New Roman"/>
                <w:sz w:val="20"/>
                <w:szCs w:val="20"/>
              </w:rPr>
            </w:pPr>
            <w:r>
              <w:rPr>
                <w:rFonts w:eastAsia="Times New Roman"/>
                <w:sz w:val="20"/>
                <w:szCs w:val="20"/>
              </w:rPr>
              <w:t> </w:t>
            </w:r>
          </w:p>
        </w:tc>
        <w:tc>
          <w:tcPr>
            <w:tcW w:w="600" w:type="pct"/>
            <w:vAlign w:val="center"/>
            <w:hideMark/>
          </w:tcPr>
          <w:p w14:paraId="670F1A17" w14:textId="77777777" w:rsidR="002B5D06" w:rsidRDefault="000B69DD">
            <w:pPr>
              <w:rPr>
                <w:rFonts w:eastAsia="Times New Roman"/>
                <w:sz w:val="20"/>
                <w:szCs w:val="20"/>
              </w:rPr>
            </w:pPr>
            <w:r>
              <w:rPr>
                <w:rFonts w:eastAsia="Times New Roman"/>
                <w:sz w:val="20"/>
                <w:szCs w:val="20"/>
              </w:rPr>
              <w:t> </w:t>
            </w:r>
          </w:p>
        </w:tc>
      </w:tr>
      <w:tr w:rsidR="002B5D06" w14:paraId="7FF29FD9" w14:textId="77777777">
        <w:trPr>
          <w:divId w:val="1586260435"/>
          <w:trHeight w:val="225"/>
          <w:tblCellSpacing w:w="15" w:type="dxa"/>
          <w:jc w:val="center"/>
        </w:trPr>
        <w:tc>
          <w:tcPr>
            <w:tcW w:w="0" w:type="auto"/>
            <w:vAlign w:val="center"/>
            <w:hideMark/>
          </w:tcPr>
          <w:p w14:paraId="574EBC8B" w14:textId="77777777" w:rsidR="002B5D06" w:rsidRDefault="000B69DD">
            <w:pPr>
              <w:rPr>
                <w:rFonts w:eastAsia="Times New Roman"/>
                <w:sz w:val="20"/>
                <w:szCs w:val="20"/>
              </w:rPr>
            </w:pPr>
            <w:r>
              <w:rPr>
                <w:rFonts w:eastAsia="Times New Roman"/>
                <w:sz w:val="20"/>
                <w:szCs w:val="20"/>
              </w:rPr>
              <w:t>Date: September 11, 2025</w:t>
            </w:r>
          </w:p>
        </w:tc>
        <w:tc>
          <w:tcPr>
            <w:tcW w:w="0" w:type="auto"/>
            <w:vAlign w:val="center"/>
            <w:hideMark/>
          </w:tcPr>
          <w:p w14:paraId="02A409B3" w14:textId="77777777" w:rsidR="002B5D06" w:rsidRDefault="000B69DD">
            <w:pPr>
              <w:rPr>
                <w:rFonts w:eastAsia="Times New Roman"/>
                <w:sz w:val="20"/>
                <w:szCs w:val="20"/>
              </w:rPr>
            </w:pPr>
            <w:r>
              <w:rPr>
                <w:rFonts w:eastAsia="Times New Roman"/>
                <w:sz w:val="20"/>
                <w:szCs w:val="20"/>
              </w:rPr>
              <w:t>By:</w:t>
            </w:r>
          </w:p>
        </w:tc>
        <w:tc>
          <w:tcPr>
            <w:tcW w:w="0" w:type="auto"/>
            <w:tcBorders>
              <w:bottom w:val="single" w:sz="6" w:space="0" w:color="000000"/>
            </w:tcBorders>
            <w:vAlign w:val="center"/>
            <w:hideMark/>
          </w:tcPr>
          <w:p w14:paraId="6A14CC66" w14:textId="77777777" w:rsidR="002B5D06" w:rsidRDefault="000B69DD">
            <w:pPr>
              <w:rPr>
                <w:rFonts w:eastAsia="Times New Roman"/>
                <w:sz w:val="20"/>
                <w:szCs w:val="20"/>
              </w:rPr>
            </w:pPr>
            <w:r>
              <w:rPr>
                <w:rStyle w:val="Emphasis"/>
                <w:rFonts w:eastAsia="Times New Roman"/>
                <w:sz w:val="20"/>
                <w:szCs w:val="20"/>
              </w:rPr>
              <w:t>/s/ Robert Wolfe</w:t>
            </w:r>
          </w:p>
        </w:tc>
        <w:tc>
          <w:tcPr>
            <w:tcW w:w="0" w:type="auto"/>
            <w:vAlign w:val="center"/>
            <w:hideMark/>
          </w:tcPr>
          <w:p w14:paraId="3AF263FC" w14:textId="77777777" w:rsidR="002B5D06" w:rsidRDefault="002B5D06">
            <w:pPr>
              <w:rPr>
                <w:rFonts w:eastAsia="Times New Roman"/>
                <w:sz w:val="20"/>
                <w:szCs w:val="20"/>
              </w:rPr>
            </w:pPr>
          </w:p>
        </w:tc>
      </w:tr>
      <w:tr w:rsidR="002B5D06" w14:paraId="3CA21549" w14:textId="77777777">
        <w:trPr>
          <w:divId w:val="1586260435"/>
          <w:trHeight w:val="225"/>
          <w:tblCellSpacing w:w="15" w:type="dxa"/>
          <w:jc w:val="center"/>
        </w:trPr>
        <w:tc>
          <w:tcPr>
            <w:tcW w:w="0" w:type="auto"/>
            <w:vAlign w:val="center"/>
            <w:hideMark/>
          </w:tcPr>
          <w:p w14:paraId="19EB37DA"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6FCA6EF3" w14:textId="77777777" w:rsidR="002B5D06" w:rsidRDefault="000B69DD">
            <w:pPr>
              <w:pStyle w:val="NormalWeb"/>
              <w:spacing w:before="0" w:beforeAutospacing="0" w:after="0" w:afterAutospacing="0"/>
              <w:rPr>
                <w:sz w:val="20"/>
                <w:szCs w:val="20"/>
              </w:rPr>
            </w:pPr>
            <w:r>
              <w:rPr>
                <w:sz w:val="20"/>
                <w:szCs w:val="20"/>
              </w:rPr>
              <w:t> </w:t>
            </w:r>
          </w:p>
        </w:tc>
        <w:tc>
          <w:tcPr>
            <w:tcW w:w="0" w:type="auto"/>
            <w:vAlign w:val="center"/>
            <w:hideMark/>
          </w:tcPr>
          <w:p w14:paraId="440F486E" w14:textId="77777777" w:rsidR="002B5D06" w:rsidRDefault="000B69DD">
            <w:pPr>
              <w:rPr>
                <w:rFonts w:eastAsia="Times New Roman"/>
                <w:sz w:val="20"/>
                <w:szCs w:val="20"/>
              </w:rPr>
            </w:pPr>
            <w:r>
              <w:rPr>
                <w:rFonts w:eastAsia="Times New Roman"/>
                <w:sz w:val="20"/>
                <w:szCs w:val="20"/>
              </w:rPr>
              <w:t>Robert Wolfe</w:t>
            </w:r>
          </w:p>
        </w:tc>
        <w:tc>
          <w:tcPr>
            <w:tcW w:w="0" w:type="auto"/>
            <w:vAlign w:val="center"/>
            <w:hideMark/>
          </w:tcPr>
          <w:p w14:paraId="195A6A06" w14:textId="77777777" w:rsidR="002B5D06" w:rsidRDefault="000B69DD">
            <w:pPr>
              <w:rPr>
                <w:rFonts w:eastAsia="Times New Roman"/>
                <w:sz w:val="20"/>
                <w:szCs w:val="20"/>
              </w:rPr>
            </w:pPr>
            <w:r>
              <w:rPr>
                <w:rFonts w:eastAsia="Times New Roman"/>
                <w:sz w:val="20"/>
                <w:szCs w:val="20"/>
              </w:rPr>
              <w:t> </w:t>
            </w:r>
          </w:p>
        </w:tc>
      </w:tr>
      <w:tr w:rsidR="002B5D06" w14:paraId="75FD985B" w14:textId="77777777">
        <w:trPr>
          <w:divId w:val="1586260435"/>
          <w:trHeight w:val="225"/>
          <w:tblCellSpacing w:w="15" w:type="dxa"/>
          <w:jc w:val="center"/>
        </w:trPr>
        <w:tc>
          <w:tcPr>
            <w:tcW w:w="0" w:type="auto"/>
            <w:vAlign w:val="center"/>
            <w:hideMark/>
          </w:tcPr>
          <w:p w14:paraId="311778B2" w14:textId="77777777" w:rsidR="002B5D06" w:rsidRDefault="000B69DD">
            <w:pPr>
              <w:rPr>
                <w:rFonts w:eastAsia="Times New Roman"/>
                <w:sz w:val="20"/>
                <w:szCs w:val="20"/>
              </w:rPr>
            </w:pPr>
            <w:r>
              <w:rPr>
                <w:rFonts w:eastAsia="Times New Roman"/>
                <w:sz w:val="20"/>
                <w:szCs w:val="20"/>
              </w:rPr>
              <w:t> </w:t>
            </w:r>
          </w:p>
        </w:tc>
        <w:tc>
          <w:tcPr>
            <w:tcW w:w="0" w:type="auto"/>
            <w:vAlign w:val="center"/>
            <w:hideMark/>
          </w:tcPr>
          <w:p w14:paraId="6C7E2312" w14:textId="77777777" w:rsidR="002B5D06" w:rsidRDefault="000B69DD">
            <w:pPr>
              <w:rPr>
                <w:rFonts w:eastAsia="Times New Roman"/>
                <w:sz w:val="20"/>
                <w:szCs w:val="20"/>
              </w:rPr>
            </w:pPr>
            <w:r>
              <w:rPr>
                <w:rFonts w:eastAsia="Times New Roman"/>
                <w:sz w:val="20"/>
                <w:szCs w:val="20"/>
              </w:rPr>
              <w:t> </w:t>
            </w:r>
          </w:p>
        </w:tc>
        <w:tc>
          <w:tcPr>
            <w:tcW w:w="0" w:type="auto"/>
            <w:vAlign w:val="center"/>
            <w:hideMark/>
          </w:tcPr>
          <w:p w14:paraId="3E1464A6" w14:textId="77777777" w:rsidR="002B5D06" w:rsidRDefault="000B69DD">
            <w:pPr>
              <w:rPr>
                <w:rFonts w:eastAsia="Times New Roman"/>
                <w:sz w:val="20"/>
                <w:szCs w:val="20"/>
              </w:rPr>
            </w:pPr>
            <w:r>
              <w:rPr>
                <w:rFonts w:eastAsia="Times New Roman"/>
                <w:sz w:val="20"/>
                <w:szCs w:val="20"/>
              </w:rPr>
              <w:t>Chief Financial Officer</w:t>
            </w:r>
          </w:p>
        </w:tc>
        <w:tc>
          <w:tcPr>
            <w:tcW w:w="0" w:type="auto"/>
            <w:vAlign w:val="center"/>
            <w:hideMark/>
          </w:tcPr>
          <w:p w14:paraId="2F65F891" w14:textId="77777777" w:rsidR="002B5D06" w:rsidRDefault="000B69DD">
            <w:pPr>
              <w:rPr>
                <w:rFonts w:eastAsia="Times New Roman"/>
                <w:sz w:val="20"/>
                <w:szCs w:val="20"/>
              </w:rPr>
            </w:pPr>
            <w:r>
              <w:rPr>
                <w:rFonts w:eastAsia="Times New Roman"/>
                <w:sz w:val="20"/>
                <w:szCs w:val="20"/>
              </w:rPr>
              <w:t> </w:t>
            </w:r>
          </w:p>
        </w:tc>
      </w:tr>
    </w:tbl>
    <w:p w14:paraId="1CCAD86B" w14:textId="77777777" w:rsidR="002B5D06" w:rsidRDefault="000B69DD">
      <w:pPr>
        <w:pStyle w:val="NormalWeb"/>
        <w:spacing w:before="0" w:beforeAutospacing="0" w:after="0" w:afterAutospacing="0"/>
        <w:jc w:val="both"/>
        <w:divId w:val="1586260435"/>
        <w:rPr>
          <w:sz w:val="20"/>
          <w:szCs w:val="20"/>
        </w:rPr>
      </w:pPr>
      <w:r>
        <w:rPr>
          <w:sz w:val="20"/>
          <w:szCs w:val="20"/>
        </w:rPr>
        <w:t> </w:t>
      </w:r>
    </w:p>
    <w:p w14:paraId="2CDD3001" w14:textId="77777777" w:rsidR="002B5D06" w:rsidRDefault="000B69DD">
      <w:pPr>
        <w:divId w:val="2108189306"/>
        <w:rPr>
          <w:rFonts w:eastAsia="Times New Roman"/>
        </w:rPr>
      </w:pPr>
      <w:r>
        <w:rPr>
          <w:rFonts w:eastAsia="Times New Roman"/>
        </w:rPr>
        <w:t> </w:t>
      </w:r>
    </w:p>
    <w:p w14:paraId="3C875381" w14:textId="77777777" w:rsidR="002B5D06" w:rsidRDefault="000B69DD">
      <w:pPr>
        <w:jc w:val="center"/>
        <w:divId w:val="1696686710"/>
        <w:rPr>
          <w:rFonts w:eastAsia="Times New Roman"/>
          <w:sz w:val="30"/>
          <w:szCs w:val="30"/>
        </w:rPr>
      </w:pPr>
      <w:r>
        <w:rPr>
          <w:rFonts w:eastAsia="Times New Roman"/>
          <w:sz w:val="30"/>
          <w:szCs w:val="30"/>
        </w:rPr>
        <w:t>THIS PAGE IS INTENTIONALLY LEFT BLANK</w:t>
      </w:r>
      <w:r>
        <w:rPr>
          <w:rFonts w:eastAsia="Times New Roman"/>
          <w:sz w:val="30"/>
          <w:szCs w:val="30"/>
        </w:rPr>
        <w:br/>
        <w:t>IT IS NOT A PART OF EDGAR SUBMISSION</w:t>
      </w:r>
    </w:p>
    <w:p w14:paraId="2E9B5E18" w14:textId="77777777" w:rsidR="002B5D06" w:rsidRDefault="000B69DD">
      <w:pPr>
        <w:pStyle w:val="Heading4"/>
        <w:divId w:val="1988975672"/>
        <w:rPr>
          <w:rFonts w:eastAsia="Times New Roman"/>
          <w:vanish/>
        </w:rPr>
      </w:pPr>
      <w:r>
        <w:rPr>
          <w:rFonts w:eastAsia="Times New Roman"/>
          <w:vanish/>
        </w:rPr>
        <w:t>View &amp; Add Comments</w:t>
      </w:r>
    </w:p>
    <w:p w14:paraId="19759D95" w14:textId="77777777" w:rsidR="002B5D06" w:rsidRDefault="000B69DD">
      <w:pPr>
        <w:divId w:val="1750419921"/>
        <w:rPr>
          <w:rFonts w:eastAsia="Times New Roman"/>
          <w:vanish/>
        </w:rPr>
      </w:pPr>
      <w:r>
        <w:rPr>
          <w:rFonts w:eastAsia="Times New Roman"/>
          <w:vanish/>
        </w:rPr>
        <w:object w:dxaOrig="1440" w:dyaOrig="1440" w14:anchorId="20FC6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18" o:title=""/>
          </v:shape>
          <w:control r:id="rId19" w:name="DefaultOcxName" w:shapeid="_x0000_i1034"/>
        </w:object>
      </w:r>
    </w:p>
    <w:p w14:paraId="502B0EF5" w14:textId="77777777" w:rsidR="002B5D06" w:rsidRDefault="000B69DD">
      <w:pPr>
        <w:divId w:val="1736275858"/>
        <w:rPr>
          <w:rFonts w:eastAsia="Times New Roman"/>
          <w:vanish/>
        </w:rPr>
      </w:pPr>
      <w:r>
        <w:rPr>
          <w:rFonts w:eastAsia="Times New Roman"/>
          <w:vanish/>
        </w:rPr>
        <w:t>Page No.:</w:t>
      </w:r>
      <w:r>
        <w:rPr>
          <w:rFonts w:eastAsia="Times New Roman"/>
          <w:vanish/>
        </w:rPr>
        <w:object w:dxaOrig="1440" w:dyaOrig="1440" w14:anchorId="0E4413FD">
          <v:shape id="_x0000_i1038" type="#_x0000_t75" style="width:55.2pt;height:18pt" o:ole="">
            <v:imagedata r:id="rId20" o:title=""/>
          </v:shape>
          <w:control r:id="rId21" w:name="DefaultOcxName1" w:shapeid="_x0000_i1038"/>
        </w:object>
      </w:r>
    </w:p>
    <w:p w14:paraId="1EE99ED4" w14:textId="77777777" w:rsidR="002B5D06" w:rsidRDefault="000B69DD">
      <w:pPr>
        <w:divId w:val="1036009846"/>
        <w:rPr>
          <w:rFonts w:eastAsia="Times New Roman"/>
          <w:vanish/>
        </w:rPr>
      </w:pPr>
      <w:r>
        <w:rPr>
          <w:rFonts w:eastAsia="Times New Roman"/>
          <w:vanish/>
        </w:rPr>
        <w:t>Reviewer:</w:t>
      </w:r>
      <w:r>
        <w:rPr>
          <w:rFonts w:eastAsia="Times New Roman"/>
          <w:vanish/>
        </w:rPr>
        <w:object w:dxaOrig="1440" w:dyaOrig="1440" w14:anchorId="64BF82CF">
          <v:shape id="_x0000_i1042" type="#_x0000_t75" style="width:55.2pt;height:18pt" o:ole="">
            <v:imagedata r:id="rId20" o:title=""/>
          </v:shape>
          <w:control r:id="rId22" w:name="DefaultOcxName2" w:shapeid="_x0000_i1042"/>
        </w:object>
      </w:r>
    </w:p>
    <w:p w14:paraId="037EEBFC" w14:textId="77777777" w:rsidR="002B5D06" w:rsidRDefault="000B69DD">
      <w:pPr>
        <w:divId w:val="1778983263"/>
        <w:rPr>
          <w:rFonts w:eastAsia="Times New Roman"/>
          <w:vanish/>
        </w:rPr>
      </w:pPr>
      <w:r>
        <w:rPr>
          <w:rFonts w:eastAsia="Times New Roman"/>
          <w:vanish/>
        </w:rPr>
        <w:object w:dxaOrig="1440" w:dyaOrig="1440" w14:anchorId="220A3E5B">
          <v:shape id="_x0000_i1046" type="#_x0000_t75" style="width:55.2pt;height:18pt" o:ole="">
            <v:imagedata r:id="rId20" o:title=""/>
          </v:shape>
          <w:control r:id="rId23" w:name="DefaultOcxName3" w:shapeid="_x0000_i1046"/>
        </w:object>
      </w:r>
    </w:p>
    <w:p w14:paraId="372FC22B" w14:textId="77777777" w:rsidR="002B5D06" w:rsidRDefault="000B69DD">
      <w:pPr>
        <w:pStyle w:val="Heading4"/>
        <w:divId w:val="1435401203"/>
        <w:rPr>
          <w:rFonts w:eastAsia="Times New Roman"/>
          <w:vanish/>
        </w:rPr>
      </w:pPr>
      <w:r>
        <w:rPr>
          <w:rFonts w:eastAsia="Times New Roman"/>
          <w:vanish/>
        </w:rPr>
        <w:t>View All Comments</w:t>
      </w:r>
    </w:p>
    <w:p w14:paraId="3E38B820" w14:textId="77777777" w:rsidR="002B5D06" w:rsidRDefault="002B5D06">
      <w:pPr>
        <w:rPr>
          <w:rFonts w:eastAsia="Times New Roman"/>
        </w:rPr>
      </w:pPr>
    </w:p>
    <w:sectPr w:rsidR="002B5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39"/>
    <w:rsid w:val="000B69DD"/>
    <w:rsid w:val="002B5D06"/>
    <w:rsid w:val="0038586D"/>
    <w:rsid w:val="00CA5AE0"/>
    <w:rsid w:val="00FB0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31F3FC8B"/>
  <w15:docId w15:val="{D69FA000-A7D9-4A74-815D-13B16475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atag">
    <w:name w:val="atag"/>
    <w:basedOn w:val="DefaultParagraphFont"/>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97026">
      <w:marLeft w:val="0"/>
      <w:marRight w:val="0"/>
      <w:marTop w:val="0"/>
      <w:marBottom w:val="0"/>
      <w:divBdr>
        <w:top w:val="none" w:sz="0" w:space="0" w:color="auto"/>
        <w:left w:val="none" w:sz="0" w:space="0" w:color="auto"/>
        <w:bottom w:val="none" w:sz="0" w:space="0" w:color="auto"/>
        <w:right w:val="none" w:sz="0" w:space="0" w:color="auto"/>
      </w:divBdr>
    </w:div>
    <w:div w:id="376710317">
      <w:marLeft w:val="-105"/>
      <w:marRight w:val="-105"/>
      <w:marTop w:val="0"/>
      <w:marBottom w:val="0"/>
      <w:divBdr>
        <w:top w:val="none" w:sz="0" w:space="0" w:color="auto"/>
        <w:left w:val="none" w:sz="0" w:space="0" w:color="auto"/>
        <w:bottom w:val="none" w:sz="0" w:space="0" w:color="auto"/>
        <w:right w:val="none" w:sz="0" w:space="0" w:color="auto"/>
      </w:divBdr>
    </w:div>
    <w:div w:id="399594190">
      <w:marLeft w:val="0"/>
      <w:marRight w:val="0"/>
      <w:marTop w:val="0"/>
      <w:marBottom w:val="0"/>
      <w:divBdr>
        <w:top w:val="none" w:sz="0" w:space="0" w:color="auto"/>
        <w:left w:val="none" w:sz="0" w:space="0" w:color="auto"/>
        <w:bottom w:val="none" w:sz="0" w:space="0" w:color="auto"/>
        <w:right w:val="none" w:sz="0" w:space="0" w:color="auto"/>
      </w:divBdr>
    </w:div>
    <w:div w:id="635843768">
      <w:marLeft w:val="0"/>
      <w:marRight w:val="0"/>
      <w:marTop w:val="0"/>
      <w:marBottom w:val="0"/>
      <w:divBdr>
        <w:top w:val="none" w:sz="0" w:space="0" w:color="auto"/>
        <w:left w:val="none" w:sz="0" w:space="0" w:color="auto"/>
        <w:bottom w:val="none" w:sz="0" w:space="0" w:color="auto"/>
        <w:right w:val="none" w:sz="0" w:space="0" w:color="auto"/>
      </w:divBdr>
    </w:div>
    <w:div w:id="770056009">
      <w:marLeft w:val="0"/>
      <w:marRight w:val="0"/>
      <w:marTop w:val="0"/>
      <w:marBottom w:val="0"/>
      <w:divBdr>
        <w:top w:val="none" w:sz="0" w:space="0" w:color="auto"/>
        <w:left w:val="none" w:sz="0" w:space="0" w:color="auto"/>
        <w:bottom w:val="none" w:sz="0" w:space="0" w:color="auto"/>
        <w:right w:val="none" w:sz="0" w:space="0" w:color="auto"/>
      </w:divBdr>
    </w:div>
    <w:div w:id="789544171">
      <w:marLeft w:val="0"/>
      <w:marRight w:val="0"/>
      <w:marTop w:val="0"/>
      <w:marBottom w:val="0"/>
      <w:divBdr>
        <w:top w:val="none" w:sz="0" w:space="0" w:color="auto"/>
        <w:left w:val="none" w:sz="0" w:space="0" w:color="auto"/>
        <w:bottom w:val="none" w:sz="0" w:space="0" w:color="auto"/>
        <w:right w:val="none" w:sz="0" w:space="0" w:color="auto"/>
      </w:divBdr>
    </w:div>
    <w:div w:id="965618175">
      <w:marLeft w:val="0"/>
      <w:marRight w:val="0"/>
      <w:marTop w:val="0"/>
      <w:marBottom w:val="0"/>
      <w:divBdr>
        <w:top w:val="none" w:sz="0" w:space="0" w:color="auto"/>
        <w:left w:val="none" w:sz="0" w:space="0" w:color="auto"/>
        <w:bottom w:val="none" w:sz="0" w:space="0" w:color="auto"/>
        <w:right w:val="none" w:sz="0" w:space="0" w:color="auto"/>
      </w:divBdr>
    </w:div>
    <w:div w:id="976422095">
      <w:marLeft w:val="0"/>
      <w:marRight w:val="0"/>
      <w:marTop w:val="0"/>
      <w:marBottom w:val="0"/>
      <w:divBdr>
        <w:top w:val="none" w:sz="0" w:space="0" w:color="auto"/>
        <w:left w:val="none" w:sz="0" w:space="0" w:color="auto"/>
        <w:bottom w:val="none" w:sz="0" w:space="0" w:color="auto"/>
        <w:right w:val="none" w:sz="0" w:space="0" w:color="auto"/>
      </w:divBdr>
      <w:divsChild>
        <w:div w:id="219943311">
          <w:marLeft w:val="0"/>
          <w:marRight w:val="0"/>
          <w:marTop w:val="0"/>
          <w:marBottom w:val="0"/>
          <w:divBdr>
            <w:top w:val="none" w:sz="0" w:space="0" w:color="auto"/>
            <w:left w:val="none" w:sz="0" w:space="0" w:color="auto"/>
            <w:bottom w:val="none" w:sz="0" w:space="0" w:color="auto"/>
            <w:right w:val="none" w:sz="0" w:space="0" w:color="auto"/>
          </w:divBdr>
          <w:divsChild>
            <w:div w:id="945888555">
              <w:marLeft w:val="0"/>
              <w:marRight w:val="0"/>
              <w:marTop w:val="0"/>
              <w:marBottom w:val="0"/>
              <w:divBdr>
                <w:top w:val="none" w:sz="0" w:space="0" w:color="auto"/>
                <w:left w:val="none" w:sz="0" w:space="0" w:color="auto"/>
                <w:bottom w:val="none" w:sz="0" w:space="0" w:color="auto"/>
                <w:right w:val="none" w:sz="0" w:space="0" w:color="auto"/>
              </w:divBdr>
              <w:divsChild>
                <w:div w:id="143540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55181">
      <w:marLeft w:val="0"/>
      <w:marRight w:val="0"/>
      <w:marTop w:val="0"/>
      <w:marBottom w:val="0"/>
      <w:divBdr>
        <w:top w:val="none" w:sz="0" w:space="0" w:color="auto"/>
        <w:left w:val="none" w:sz="0" w:space="0" w:color="auto"/>
        <w:bottom w:val="none" w:sz="0" w:space="0" w:color="auto"/>
        <w:right w:val="none" w:sz="0" w:space="0" w:color="auto"/>
      </w:divBdr>
    </w:div>
    <w:div w:id="1012218905">
      <w:marLeft w:val="0"/>
      <w:marRight w:val="0"/>
      <w:marTop w:val="0"/>
      <w:marBottom w:val="0"/>
      <w:divBdr>
        <w:top w:val="none" w:sz="0" w:space="0" w:color="auto"/>
        <w:left w:val="none" w:sz="0" w:space="0" w:color="auto"/>
        <w:bottom w:val="none" w:sz="0" w:space="0" w:color="auto"/>
        <w:right w:val="none" w:sz="0" w:space="0" w:color="auto"/>
      </w:divBdr>
    </w:div>
    <w:div w:id="1169296454">
      <w:marLeft w:val="0"/>
      <w:marRight w:val="0"/>
      <w:marTop w:val="0"/>
      <w:marBottom w:val="0"/>
      <w:divBdr>
        <w:top w:val="none" w:sz="0" w:space="0" w:color="auto"/>
        <w:left w:val="none" w:sz="0" w:space="0" w:color="auto"/>
        <w:bottom w:val="none" w:sz="0" w:space="0" w:color="auto"/>
        <w:right w:val="none" w:sz="0" w:space="0" w:color="auto"/>
      </w:divBdr>
    </w:div>
    <w:div w:id="1339456045">
      <w:marLeft w:val="0"/>
      <w:marRight w:val="0"/>
      <w:marTop w:val="0"/>
      <w:marBottom w:val="0"/>
      <w:divBdr>
        <w:top w:val="none" w:sz="0" w:space="0" w:color="auto"/>
        <w:left w:val="none" w:sz="0" w:space="0" w:color="auto"/>
        <w:bottom w:val="none" w:sz="0" w:space="0" w:color="auto"/>
        <w:right w:val="none" w:sz="0" w:space="0" w:color="auto"/>
      </w:divBdr>
    </w:div>
    <w:div w:id="1586260435">
      <w:marLeft w:val="0"/>
      <w:marRight w:val="0"/>
      <w:marTop w:val="0"/>
      <w:marBottom w:val="0"/>
      <w:divBdr>
        <w:top w:val="none" w:sz="0" w:space="0" w:color="auto"/>
        <w:left w:val="none" w:sz="0" w:space="0" w:color="auto"/>
        <w:bottom w:val="none" w:sz="0" w:space="0" w:color="auto"/>
        <w:right w:val="none" w:sz="0" w:space="0" w:color="auto"/>
      </w:divBdr>
    </w:div>
    <w:div w:id="1636914711">
      <w:marLeft w:val="0"/>
      <w:marRight w:val="0"/>
      <w:marTop w:val="0"/>
      <w:marBottom w:val="0"/>
      <w:divBdr>
        <w:top w:val="none" w:sz="0" w:space="0" w:color="auto"/>
        <w:left w:val="none" w:sz="0" w:space="0" w:color="auto"/>
        <w:bottom w:val="none" w:sz="0" w:space="0" w:color="auto"/>
        <w:right w:val="none" w:sz="0" w:space="0" w:color="auto"/>
      </w:divBdr>
    </w:div>
    <w:div w:id="1684360448">
      <w:marLeft w:val="0"/>
      <w:marRight w:val="0"/>
      <w:marTop w:val="0"/>
      <w:marBottom w:val="0"/>
      <w:divBdr>
        <w:top w:val="none" w:sz="0" w:space="0" w:color="auto"/>
        <w:left w:val="none" w:sz="0" w:space="0" w:color="auto"/>
        <w:bottom w:val="none" w:sz="0" w:space="0" w:color="auto"/>
        <w:right w:val="none" w:sz="0" w:space="0" w:color="auto"/>
      </w:divBdr>
      <w:divsChild>
        <w:div w:id="1981763562">
          <w:marLeft w:val="7"/>
          <w:marRight w:val="7"/>
          <w:marTop w:val="0"/>
          <w:marBottom w:val="0"/>
          <w:divBdr>
            <w:top w:val="none" w:sz="0" w:space="0" w:color="auto"/>
            <w:left w:val="none" w:sz="0" w:space="0" w:color="auto"/>
            <w:bottom w:val="none" w:sz="0" w:space="0" w:color="auto"/>
            <w:right w:val="none" w:sz="0" w:space="0" w:color="auto"/>
          </w:divBdr>
        </w:div>
      </w:divsChild>
    </w:div>
    <w:div w:id="1696686710">
      <w:marLeft w:val="0"/>
      <w:marRight w:val="0"/>
      <w:marTop w:val="1500"/>
      <w:marBottom w:val="1500"/>
      <w:divBdr>
        <w:top w:val="none" w:sz="0" w:space="0" w:color="auto"/>
        <w:left w:val="none" w:sz="0" w:space="0" w:color="auto"/>
        <w:bottom w:val="none" w:sz="0" w:space="0" w:color="auto"/>
        <w:right w:val="none" w:sz="0" w:space="0" w:color="auto"/>
      </w:divBdr>
    </w:div>
    <w:div w:id="1713310383">
      <w:marLeft w:val="0"/>
      <w:marRight w:val="0"/>
      <w:marTop w:val="0"/>
      <w:marBottom w:val="0"/>
      <w:divBdr>
        <w:top w:val="none" w:sz="0" w:space="0" w:color="auto"/>
        <w:left w:val="none" w:sz="0" w:space="0" w:color="auto"/>
        <w:bottom w:val="none" w:sz="0" w:space="0" w:color="auto"/>
        <w:right w:val="none" w:sz="0" w:space="0" w:color="auto"/>
      </w:divBdr>
      <w:divsChild>
        <w:div w:id="1965034409">
          <w:marLeft w:val="0"/>
          <w:marRight w:val="0"/>
          <w:marTop w:val="0"/>
          <w:marBottom w:val="0"/>
          <w:divBdr>
            <w:top w:val="none" w:sz="0" w:space="0" w:color="auto"/>
            <w:left w:val="none" w:sz="0" w:space="0" w:color="auto"/>
            <w:bottom w:val="none" w:sz="0" w:space="0" w:color="auto"/>
            <w:right w:val="none" w:sz="0" w:space="0" w:color="auto"/>
          </w:divBdr>
          <w:divsChild>
            <w:div w:id="502167140">
              <w:marLeft w:val="0"/>
              <w:marRight w:val="0"/>
              <w:marTop w:val="0"/>
              <w:marBottom w:val="0"/>
              <w:divBdr>
                <w:top w:val="none" w:sz="0" w:space="0" w:color="auto"/>
                <w:left w:val="none" w:sz="0" w:space="0" w:color="auto"/>
                <w:bottom w:val="none" w:sz="0" w:space="0" w:color="auto"/>
                <w:right w:val="none" w:sz="0" w:space="0" w:color="auto"/>
              </w:divBdr>
              <w:divsChild>
                <w:div w:id="1988975672">
                  <w:marLeft w:val="0"/>
                  <w:marRight w:val="0"/>
                  <w:marTop w:val="0"/>
                  <w:marBottom w:val="0"/>
                  <w:divBdr>
                    <w:top w:val="none" w:sz="0" w:space="0" w:color="auto"/>
                    <w:left w:val="none" w:sz="0" w:space="0" w:color="auto"/>
                    <w:bottom w:val="none" w:sz="0" w:space="0" w:color="auto"/>
                    <w:right w:val="none" w:sz="0" w:space="0" w:color="auto"/>
                  </w:divBdr>
                </w:div>
                <w:div w:id="1094126150">
                  <w:marLeft w:val="0"/>
                  <w:marRight w:val="0"/>
                  <w:marTop w:val="0"/>
                  <w:marBottom w:val="0"/>
                  <w:divBdr>
                    <w:top w:val="none" w:sz="0" w:space="0" w:color="auto"/>
                    <w:left w:val="none" w:sz="0" w:space="0" w:color="auto"/>
                    <w:bottom w:val="none" w:sz="0" w:space="0" w:color="auto"/>
                    <w:right w:val="none" w:sz="0" w:space="0" w:color="auto"/>
                  </w:divBdr>
                  <w:divsChild>
                    <w:div w:id="1750419921">
                      <w:marLeft w:val="0"/>
                      <w:marRight w:val="0"/>
                      <w:marTop w:val="0"/>
                      <w:marBottom w:val="120"/>
                      <w:divBdr>
                        <w:top w:val="none" w:sz="0" w:space="0" w:color="auto"/>
                        <w:left w:val="none" w:sz="0" w:space="0" w:color="auto"/>
                        <w:bottom w:val="none" w:sz="0" w:space="0" w:color="auto"/>
                        <w:right w:val="none" w:sz="0" w:space="0" w:color="auto"/>
                      </w:divBdr>
                      <w:divsChild>
                        <w:div w:id="1736275858">
                          <w:marLeft w:val="0"/>
                          <w:marRight w:val="0"/>
                          <w:marTop w:val="0"/>
                          <w:marBottom w:val="0"/>
                          <w:divBdr>
                            <w:top w:val="none" w:sz="0" w:space="0" w:color="auto"/>
                            <w:left w:val="none" w:sz="0" w:space="0" w:color="auto"/>
                            <w:bottom w:val="none" w:sz="0" w:space="0" w:color="auto"/>
                            <w:right w:val="none" w:sz="0" w:space="0" w:color="auto"/>
                          </w:divBdr>
                        </w:div>
                        <w:div w:id="1036009846">
                          <w:marLeft w:val="0"/>
                          <w:marRight w:val="0"/>
                          <w:marTop w:val="0"/>
                          <w:marBottom w:val="0"/>
                          <w:divBdr>
                            <w:top w:val="none" w:sz="0" w:space="0" w:color="auto"/>
                            <w:left w:val="none" w:sz="0" w:space="0" w:color="auto"/>
                            <w:bottom w:val="none" w:sz="0" w:space="0" w:color="auto"/>
                            <w:right w:val="none" w:sz="0" w:space="0" w:color="auto"/>
                          </w:divBdr>
                        </w:div>
                      </w:divsChild>
                    </w:div>
                    <w:div w:id="1579241306">
                      <w:marLeft w:val="0"/>
                      <w:marRight w:val="0"/>
                      <w:marTop w:val="0"/>
                      <w:marBottom w:val="120"/>
                      <w:divBdr>
                        <w:top w:val="none" w:sz="0" w:space="0" w:color="auto"/>
                        <w:left w:val="none" w:sz="0" w:space="0" w:color="auto"/>
                        <w:bottom w:val="none" w:sz="0" w:space="0" w:color="auto"/>
                        <w:right w:val="none" w:sz="0" w:space="0" w:color="auto"/>
                      </w:divBdr>
                      <w:divsChild>
                        <w:div w:id="177898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1893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Inet\DocViewServlet%3fjobNumber=44720&amp;docName=aoxy_ex211.htm" TargetMode="External"/><Relationship Id="rId13" Type="http://schemas.openxmlformats.org/officeDocument/2006/relationships/hyperlink" Target="file:///C:\Inet\DocViewServlet%3fjobNumber=44720&amp;docName=aoxy_ex312.htm" TargetMode="External"/><Relationship Id="rId18" Type="http://schemas.openxmlformats.org/officeDocument/2006/relationships/image" Target="media/image1.wmf"/><Relationship Id="rId3" Type="http://schemas.openxmlformats.org/officeDocument/2006/relationships/webSettings" Target="webSettings.xml"/><Relationship Id="rId21" Type="http://schemas.openxmlformats.org/officeDocument/2006/relationships/control" Target="activeX/activeX2.xml"/><Relationship Id="rId7" Type="http://schemas.openxmlformats.org/officeDocument/2006/relationships/hyperlink" Target="http://www.sec.gov/Archives/edgar/data/352991/000147793222007245/aoxy_ex32.htm" TargetMode="External"/><Relationship Id="rId12" Type="http://schemas.openxmlformats.org/officeDocument/2006/relationships/hyperlink" Target="file:///C:\Inet\DocViewServlet%3fjobNumber=44720&amp;docName=aoxy_ex312.htm" TargetMode="External"/><Relationship Id="rId17" Type="http://schemas.openxmlformats.org/officeDocument/2006/relationships/hyperlink" Target="file:///C:\Inet\DocViewServlet%3fjobNumber=44720&amp;docName=aoxy_ex322.ht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C:\Inet\DocViewServlet%3fjobNumber=44720&amp;docName=aoxy_ex322.htm" TargetMode="External"/><Relationship Id="rId20" Type="http://schemas.openxmlformats.org/officeDocument/2006/relationships/image" Target="media/image2.wmf"/><Relationship Id="rId1" Type="http://schemas.openxmlformats.org/officeDocument/2006/relationships/styles" Target="styles.xml"/><Relationship Id="rId6" Type="http://schemas.openxmlformats.org/officeDocument/2006/relationships/hyperlink" Target="http://www.sec.gov/Archives/edgar/data/352991/000147793222007245/aoxy_ex32.htm" TargetMode="External"/><Relationship Id="rId11" Type="http://schemas.openxmlformats.org/officeDocument/2006/relationships/hyperlink" Target="file:///C:\Inet\DocViewServlet%3fjobNumber=44720&amp;docName=aoxy_ex311.htm" TargetMode="External"/><Relationship Id="rId24" Type="http://schemas.openxmlformats.org/officeDocument/2006/relationships/fontTable" Target="fontTable.xml"/><Relationship Id="rId5" Type="http://schemas.openxmlformats.org/officeDocument/2006/relationships/hyperlink" Target="http://www.sec.gov/Archives/edgar/data/352991/000147793214006952/aoxy_ex31.htm" TargetMode="External"/><Relationship Id="rId15" Type="http://schemas.openxmlformats.org/officeDocument/2006/relationships/hyperlink" Target="file:///C:\Inet\DocViewServlet%3fjobNumber=44720&amp;docName=aoxy_ex321.htm" TargetMode="External"/><Relationship Id="rId23" Type="http://schemas.openxmlformats.org/officeDocument/2006/relationships/control" Target="activeX/activeX4.xml"/><Relationship Id="rId10" Type="http://schemas.openxmlformats.org/officeDocument/2006/relationships/hyperlink" Target="file:///C:\Inet\DocViewServlet%3fjobNumber=44720&amp;docName=aoxy_ex311.htm" TargetMode="External"/><Relationship Id="rId19" Type="http://schemas.openxmlformats.org/officeDocument/2006/relationships/control" Target="activeX/activeX1.xml"/><Relationship Id="rId4" Type="http://schemas.openxmlformats.org/officeDocument/2006/relationships/hyperlink" Target="http://www.sec.gov/Archives/edgar/data/352991/000147793214006952/aoxy_ex31.htm" TargetMode="External"/><Relationship Id="rId9" Type="http://schemas.openxmlformats.org/officeDocument/2006/relationships/hyperlink" Target="file:///C:\Inet\DocViewServlet%3fjobNumber=44720&amp;docName=aoxy_ex211.htm" TargetMode="External"/><Relationship Id="rId14" Type="http://schemas.openxmlformats.org/officeDocument/2006/relationships/hyperlink" Target="file:///C:\Inet\DocViewServlet%3fjobNumber=44720&amp;docName=aoxy_ex321.htm" TargetMode="External"/><Relationship Id="rId22"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18739</Words>
  <Characters>106816</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NAYAN NIDHI</dc:creator>
  <cp:lastModifiedBy>Eric Patricelli</cp:lastModifiedBy>
  <cp:revision>2</cp:revision>
  <dcterms:created xsi:type="dcterms:W3CDTF">2025-09-11T22:14:00Z</dcterms:created>
  <dcterms:modified xsi:type="dcterms:W3CDTF">2025-09-11T22:14:00Z</dcterms:modified>
</cp:coreProperties>
</file>