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2754D">
      <w:pPr>
        <w:rPr>
          <w:rFonts w:eastAsia="Times New Roman"/>
        </w:rPr>
      </w:pPr>
    </w:p>
    <w:p w:rsidR="00000000" w:rsidRDefault="00D2754D">
      <w:pPr>
        <w:jc w:val="both"/>
        <w:divId w:val="851261043"/>
        <w:rPr>
          <w:rFonts w:eastAsia="Times New Roman"/>
          <w:vanish/>
          <w:sz w:val="20"/>
          <w:szCs w:val="20"/>
        </w:rPr>
      </w:pPr>
      <w:r>
        <w:rPr>
          <w:rFonts w:eastAsia="Times New Roman"/>
          <w:vanish/>
          <w:sz w:val="20"/>
          <w:szCs w:val="20"/>
        </w:rPr>
        <w:t>000035299</w:t>
      </w:r>
      <w:r>
        <w:rPr>
          <w:rFonts w:eastAsia="Times New Roman"/>
          <w:vanish/>
          <w:sz w:val="20"/>
          <w:szCs w:val="20"/>
        </w:rPr>
        <w:t>1</w:t>
      </w:r>
      <w:r>
        <w:rPr>
          <w:rFonts w:eastAsia="Times New Roman"/>
          <w:vanish/>
          <w:sz w:val="20"/>
          <w:szCs w:val="20"/>
        </w:rPr>
        <w:t>fals</w:t>
      </w:r>
      <w:r>
        <w:rPr>
          <w:rFonts w:eastAsia="Times New Roman"/>
          <w:vanish/>
          <w:sz w:val="20"/>
          <w:szCs w:val="20"/>
        </w:rPr>
        <w:t>e</w:t>
      </w:r>
      <w:r>
        <w:rPr>
          <w:rFonts w:eastAsia="Times New Roman"/>
          <w:vanish/>
          <w:sz w:val="20"/>
          <w:szCs w:val="20"/>
        </w:rPr>
        <w:t>--06-3</w:t>
      </w:r>
      <w:r>
        <w:rPr>
          <w:rFonts w:eastAsia="Times New Roman"/>
          <w:vanish/>
          <w:sz w:val="20"/>
          <w:szCs w:val="20"/>
        </w:rPr>
        <w:t>0</w:t>
      </w:r>
      <w:r>
        <w:rPr>
          <w:rFonts w:eastAsia="Times New Roman"/>
          <w:vanish/>
          <w:sz w:val="20"/>
          <w:szCs w:val="20"/>
        </w:rPr>
        <w:t>Q</w:t>
      </w:r>
      <w:r>
        <w:rPr>
          <w:rFonts w:eastAsia="Times New Roman"/>
          <w:vanish/>
          <w:sz w:val="20"/>
          <w:szCs w:val="20"/>
        </w:rPr>
        <w:t>2</w:t>
      </w:r>
      <w:r>
        <w:rPr>
          <w:rFonts w:eastAsia="Times New Roman"/>
          <w:vanish/>
          <w:sz w:val="20"/>
          <w:szCs w:val="20"/>
        </w:rPr>
        <w:t>202</w:t>
      </w:r>
      <w:r>
        <w:rPr>
          <w:rFonts w:eastAsia="Times New Roman"/>
          <w:vanish/>
          <w:sz w:val="20"/>
          <w:szCs w:val="20"/>
        </w:rPr>
        <w:t>3</w:t>
      </w:r>
      <w:r>
        <w:rPr>
          <w:rFonts w:eastAsia="Times New Roman"/>
          <w:vanish/>
          <w:sz w:val="20"/>
          <w:szCs w:val="20"/>
        </w:rPr>
        <w:t>0.0</w:t>
      </w:r>
      <w:r>
        <w:rPr>
          <w:rFonts w:eastAsia="Times New Roman"/>
          <w:vanish/>
          <w:sz w:val="20"/>
          <w:szCs w:val="20"/>
        </w:rPr>
        <w:t>1</w:t>
      </w:r>
      <w:r>
        <w:rPr>
          <w:rFonts w:eastAsia="Times New Roman"/>
          <w:vanish/>
          <w:sz w:val="20"/>
          <w:szCs w:val="20"/>
        </w:rPr>
        <w:t>6000000</w:t>
      </w:r>
      <w:r>
        <w:rPr>
          <w:rFonts w:eastAsia="Times New Roman"/>
          <w:vanish/>
          <w:sz w:val="20"/>
          <w:szCs w:val="20"/>
        </w:rPr>
        <w:t>0</w:t>
      </w:r>
      <w:r>
        <w:rPr>
          <w:rFonts w:eastAsia="Times New Roman"/>
          <w:vanish/>
          <w:sz w:val="20"/>
          <w:szCs w:val="20"/>
        </w:rPr>
        <w:t>329294</w:t>
      </w:r>
      <w:r>
        <w:rPr>
          <w:rFonts w:eastAsia="Times New Roman"/>
          <w:vanish/>
          <w:sz w:val="20"/>
          <w:szCs w:val="20"/>
        </w:rPr>
        <w:t>5</w:t>
      </w:r>
      <w:r>
        <w:rPr>
          <w:rFonts w:eastAsia="Times New Roman"/>
          <w:vanish/>
          <w:sz w:val="20"/>
          <w:szCs w:val="20"/>
        </w:rPr>
        <w:t>329294</w:t>
      </w:r>
      <w:r>
        <w:rPr>
          <w:rFonts w:eastAsia="Times New Roman"/>
          <w:vanish/>
          <w:sz w:val="20"/>
          <w:szCs w:val="20"/>
        </w:rPr>
        <w:t>5</w:t>
      </w:r>
      <w:r>
        <w:rPr>
          <w:rFonts w:eastAsia="Times New Roman"/>
          <w:vanish/>
          <w:sz w:val="20"/>
          <w:szCs w:val="20"/>
        </w:rPr>
        <w:t>0.0</w:t>
      </w:r>
      <w:r>
        <w:rPr>
          <w:rFonts w:eastAsia="Times New Roman"/>
          <w:vanish/>
          <w:sz w:val="20"/>
          <w:szCs w:val="20"/>
        </w:rPr>
        <w:t>1</w:t>
      </w:r>
      <w:r>
        <w:rPr>
          <w:rFonts w:eastAsia="Times New Roman"/>
          <w:vanish/>
          <w:sz w:val="20"/>
          <w:szCs w:val="20"/>
        </w:rPr>
        <w:t>0.0</w:t>
      </w:r>
      <w:r>
        <w:rPr>
          <w:rFonts w:eastAsia="Times New Roman"/>
          <w:vanish/>
          <w:sz w:val="20"/>
          <w:szCs w:val="20"/>
        </w:rPr>
        <w:t>1</w:t>
      </w:r>
      <w:r>
        <w:rPr>
          <w:rFonts w:eastAsia="Times New Roman"/>
          <w:vanish/>
          <w:sz w:val="20"/>
          <w:szCs w:val="20"/>
        </w:rPr>
        <w:t>167000</w:t>
      </w:r>
      <w:r>
        <w:rPr>
          <w:rFonts w:eastAsia="Times New Roman"/>
          <w:vanish/>
          <w:sz w:val="20"/>
          <w:szCs w:val="20"/>
        </w:rPr>
        <w:t>0</w:t>
      </w:r>
      <w:r>
        <w:rPr>
          <w:rFonts w:eastAsia="Times New Roman"/>
          <w:vanish/>
          <w:sz w:val="20"/>
          <w:szCs w:val="20"/>
        </w:rPr>
        <w:t>1000000</w:t>
      </w:r>
      <w:r>
        <w:rPr>
          <w:rFonts w:eastAsia="Times New Roman"/>
          <w:vanish/>
          <w:sz w:val="20"/>
          <w:szCs w:val="20"/>
        </w:rPr>
        <w:t>0</w:t>
      </w:r>
      <w:r>
        <w:rPr>
          <w:rFonts w:eastAsia="Times New Roman"/>
          <w:vanish/>
          <w:sz w:val="20"/>
          <w:szCs w:val="20"/>
        </w:rPr>
        <w:t>0</w:t>
      </w:r>
      <w:r>
        <w:rPr>
          <w:rFonts w:eastAsia="Times New Roman"/>
          <w:vanish/>
          <w:sz w:val="20"/>
          <w:szCs w:val="20"/>
        </w:rPr>
        <w:t>1</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w:t>
      </w:r>
      <w:r>
        <w:rPr>
          <w:rFonts w:eastAsia="Times New Roman"/>
          <w:vanish/>
          <w:sz w:val="20"/>
          <w:szCs w:val="20"/>
        </w:rPr>
        <w:t>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w:t>
      </w:r>
      <w:r>
        <w:rPr>
          <w:rFonts w:eastAsia="Times New Roman"/>
          <w:vanish/>
          <w:sz w:val="20"/>
          <w:szCs w:val="20"/>
        </w:rPr>
        <w:t>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w:t>
      </w:r>
      <w:r>
        <w:rPr>
          <w:rFonts w:eastAsia="Times New Roman"/>
          <w:vanish/>
          <w:sz w:val="20"/>
          <w:szCs w:val="20"/>
        </w:rPr>
        <w:t>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w:t>
      </w:r>
      <w:r>
        <w:rPr>
          <w:rFonts w:eastAsia="Times New Roman"/>
          <w:vanish/>
          <w:sz w:val="20"/>
          <w:szCs w:val="20"/>
        </w:rPr>
        <w:t>xy:SharxMembe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w:t>
      </w:r>
      <w:r>
        <w:rPr>
          <w:rFonts w:eastAsia="Times New Roman"/>
          <w:vanish/>
          <w:sz w:val="20"/>
          <w:szCs w:val="20"/>
        </w:rPr>
        <w:t>y:DenmarkMembe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w:t>
      </w:r>
      <w:r>
        <w:rPr>
          <w:rFonts w:eastAsia="Times New Roman"/>
          <w:vanish/>
          <w:sz w:val="20"/>
          <w:szCs w:val="20"/>
        </w:rPr>
        <w:t>tesMembe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w:t>
      </w:r>
      <w:r>
        <w:rPr>
          <w:rFonts w:eastAsia="Times New Roman"/>
          <w:vanish/>
          <w:sz w:val="20"/>
          <w:szCs w:val="20"/>
        </w:rPr>
        <w:t>gmentProfitabilityMembe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w:t>
      </w:r>
      <w:r>
        <w:rPr>
          <w:rFonts w:eastAsia="Times New Roman"/>
          <w:vanish/>
          <w:sz w:val="20"/>
          <w:szCs w:val="20"/>
        </w:rPr>
        <w:t>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aoxy:SeriesFiveConvertiblePreferredStockMembe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w:t>
      </w:r>
      <w:r>
        <w:rPr>
          <w:rFonts w:eastAsia="Times New Roman"/>
          <w:vanish/>
          <w:sz w:val="20"/>
          <w:szCs w:val="20"/>
        </w:rPr>
        <w:t>rredStockMembe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us-gaap:CommitmentsMembe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aoxy:DanishKroneMembe</w:t>
      </w:r>
      <w:r>
        <w:rPr>
          <w:rFonts w:eastAsia="Times New Roman"/>
          <w:vanish/>
          <w:sz w:val="20"/>
          <w:szCs w:val="20"/>
        </w:rPr>
        <w:t>r</w:t>
      </w:r>
      <w:r>
        <w:rPr>
          <w:rFonts w:eastAsia="Times New Roman"/>
          <w:vanish/>
          <w:sz w:val="20"/>
          <w:szCs w:val="20"/>
        </w:rPr>
        <w:t>aoxy:NotesPa</w:t>
      </w:r>
      <w:r>
        <w:rPr>
          <w:rFonts w:eastAsia="Times New Roman"/>
          <w:vanish/>
          <w:sz w:val="20"/>
          <w:szCs w:val="20"/>
        </w:rPr>
        <w:t>yableToBanksOneMembe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aoxy:BorkwoodDevelopmentLtdMembe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aoxy:DanishKroneMembe</w:t>
      </w:r>
      <w:r>
        <w:rPr>
          <w:rFonts w:eastAsia="Times New Roman"/>
          <w:vanish/>
          <w:sz w:val="20"/>
          <w:szCs w:val="20"/>
        </w:rPr>
        <w:t>r</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aoxy:BorkwoodD</w:t>
      </w:r>
      <w:r>
        <w:rPr>
          <w:rFonts w:eastAsia="Times New Roman"/>
          <w:vanish/>
          <w:sz w:val="20"/>
          <w:szCs w:val="20"/>
        </w:rPr>
        <w:t>evelopmentLtdMembe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w:t>
      </w:r>
      <w:r>
        <w:rPr>
          <w:rFonts w:eastAsia="Times New Roman"/>
          <w:vanish/>
          <w:sz w:val="20"/>
          <w:szCs w:val="20"/>
        </w:rPr>
        <w:t>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w:t>
      </w:r>
      <w:r>
        <w:rPr>
          <w:rFonts w:eastAsia="Times New Roman"/>
          <w:vanish/>
          <w:sz w:val="20"/>
          <w:szCs w:val="20"/>
        </w:rPr>
        <w:t>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aoxy:RealEstateRentalMembe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aoxy:RealEstateRentalMembe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aoxy:RealEstateRentalMembe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aoxy:RealEstateRentalMembe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w:t>
      </w:r>
      <w:r>
        <w:rPr>
          <w:rFonts w:eastAsia="Times New Roman"/>
          <w:vanish/>
          <w:sz w:val="20"/>
          <w:szCs w:val="20"/>
        </w:rPr>
        <w:t>-gaap:AdditionalPaidInCapitalMembe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2022-09-3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w:t>
      </w:r>
      <w:r>
        <w:rPr>
          <w:rFonts w:eastAsia="Times New Roman"/>
          <w:vanish/>
          <w:sz w:val="20"/>
          <w:szCs w:val="20"/>
        </w:rPr>
        <w:t>omeMembe</w:t>
      </w:r>
      <w:r>
        <w:rPr>
          <w:rFonts w:eastAsia="Times New Roman"/>
          <w:vanish/>
          <w:sz w:val="20"/>
          <w:szCs w:val="20"/>
        </w:rPr>
        <w:t>r</w:t>
      </w:r>
      <w:r>
        <w:rPr>
          <w:rFonts w:eastAsia="Times New Roman"/>
          <w:vanish/>
          <w:sz w:val="20"/>
          <w:szCs w:val="20"/>
        </w:rPr>
        <w:t>2022-09-3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2022-09-3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2022-09-3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w:t>
      </w:r>
      <w:r>
        <w:rPr>
          <w:rFonts w:eastAsia="Times New Roman"/>
          <w:vanish/>
          <w:sz w:val="20"/>
          <w:szCs w:val="20"/>
        </w:rPr>
        <w:t>ccumulatedOtherComprehensiveIncomeMembe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w:t>
      </w:r>
      <w:r>
        <w:rPr>
          <w:rFonts w:eastAsia="Times New Roman"/>
          <w:vanish/>
          <w:sz w:val="20"/>
          <w:szCs w:val="20"/>
        </w:rPr>
        <w:t>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w:t>
      </w:r>
      <w:r>
        <w:rPr>
          <w:rFonts w:eastAsia="Times New Roman"/>
          <w:vanish/>
          <w:sz w:val="20"/>
          <w:szCs w:val="20"/>
        </w:rPr>
        <w:t>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w:t>
      </w:r>
      <w:r>
        <w:rPr>
          <w:rFonts w:eastAsia="Times New Roman"/>
          <w:vanish/>
          <w:sz w:val="20"/>
          <w:szCs w:val="20"/>
        </w:rPr>
        <w:t>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w:t>
      </w:r>
      <w:r>
        <w:rPr>
          <w:rFonts w:eastAsia="Times New Roman"/>
          <w:vanish/>
          <w:sz w:val="20"/>
          <w:szCs w:val="20"/>
        </w:rPr>
        <w:t>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w:t>
      </w:r>
      <w:r>
        <w:rPr>
          <w:rFonts w:eastAsia="Times New Roman"/>
          <w:vanish/>
          <w:sz w:val="20"/>
          <w:szCs w:val="20"/>
        </w:rPr>
        <w:t>herComprehensiveIncomeMembe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w:t>
      </w:r>
      <w:r>
        <w:rPr>
          <w:rFonts w:eastAsia="Times New Roman"/>
          <w:vanish/>
          <w:sz w:val="20"/>
          <w:szCs w:val="20"/>
        </w:rPr>
        <w:t>PreferredStocksConvertibleSeriesTwoMembe</w:t>
      </w:r>
      <w:r>
        <w:rPr>
          <w:rFonts w:eastAsia="Times New Roman"/>
          <w:vanish/>
          <w:sz w:val="20"/>
          <w:szCs w:val="20"/>
        </w:rPr>
        <w:t>r</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w:t>
      </w:r>
      <w:r>
        <w:rPr>
          <w:rFonts w:eastAsia="Times New Roman"/>
          <w:vanish/>
          <w:sz w:val="20"/>
          <w:szCs w:val="20"/>
        </w:rPr>
        <w:t>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2021-07-0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2021-10-0</w:t>
      </w:r>
      <w:r>
        <w:rPr>
          <w:rFonts w:eastAsia="Times New Roman"/>
          <w:vanish/>
          <w:sz w:val="20"/>
          <w:szCs w:val="20"/>
        </w:rPr>
        <w:t>1</w:t>
      </w:r>
      <w:r>
        <w:rPr>
          <w:rFonts w:eastAsia="Times New Roman"/>
          <w:vanish/>
          <w:sz w:val="20"/>
          <w:szCs w:val="20"/>
        </w:rPr>
        <w:t>2021-12-3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w:t>
      </w:r>
      <w:r>
        <w:rPr>
          <w:rFonts w:eastAsia="Times New Roman"/>
          <w:vanish/>
          <w:sz w:val="20"/>
          <w:szCs w:val="20"/>
        </w:rPr>
        <w:t>2-10-0</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aoxy:Series5ConvertiblePreferredStockMembe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aoxy:Series5ConvertiblePreferredStockMembe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aoxy:Series3ConvertiblePreferredStockMembe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aoxy:Series3ConvertiblePreferredStockMem</w:t>
      </w:r>
      <w:r>
        <w:rPr>
          <w:rFonts w:eastAsia="Times New Roman"/>
          <w:vanish/>
          <w:sz w:val="20"/>
          <w:szCs w:val="20"/>
        </w:rPr>
        <w:t>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aoxy:SeriesFiveConvertiblePreferredStockMembe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aoxy:SeriesFiveConvertiblePreferredStockMembe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w:t>
      </w:r>
      <w:r>
        <w:rPr>
          <w:rFonts w:eastAsia="Times New Roman"/>
          <w:vanish/>
          <w:sz w:val="20"/>
          <w:szCs w:val="20"/>
        </w:rPr>
        <w:t>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000035299</w:t>
      </w:r>
      <w:r>
        <w:rPr>
          <w:rFonts w:eastAsia="Times New Roman"/>
          <w:vanish/>
          <w:sz w:val="20"/>
          <w:szCs w:val="20"/>
        </w:rPr>
        <w:t>1</w:t>
      </w:r>
      <w:r>
        <w:rPr>
          <w:rFonts w:eastAsia="Times New Roman"/>
          <w:vanish/>
          <w:sz w:val="20"/>
          <w:szCs w:val="20"/>
        </w:rPr>
        <w:t>2023-02-1</w:t>
      </w:r>
      <w:r>
        <w:rPr>
          <w:rFonts w:eastAsia="Times New Roman"/>
          <w:vanish/>
          <w:sz w:val="20"/>
          <w:szCs w:val="20"/>
        </w:rPr>
        <w:t>3</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xbrli:pur</w:t>
      </w:r>
      <w:r>
        <w:rPr>
          <w:rFonts w:eastAsia="Times New Roman"/>
          <w:vanish/>
          <w:sz w:val="20"/>
          <w:szCs w:val="20"/>
        </w:rPr>
        <w:t>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divId w:val="855849836"/>
          <w:tblCellSpacing w:w="15" w:type="dxa"/>
          <w:jc w:val="center"/>
          <w:hidden/>
        </w:trPr>
        <w:tc>
          <w:tcPr>
            <w:tcW w:w="0" w:type="auto"/>
            <w:tcBorders>
              <w:bottom w:val="single" w:sz="36" w:space="0" w:color="auto"/>
            </w:tcBorders>
            <w:vAlign w:val="center"/>
            <w:hideMark/>
          </w:tcPr>
          <w:p w:rsidR="00000000" w:rsidRDefault="00D2754D">
            <w:pPr>
              <w:jc w:val="both"/>
              <w:rPr>
                <w:rFonts w:eastAsia="Times New Roman"/>
                <w:vanish/>
                <w:sz w:val="20"/>
                <w:szCs w:val="20"/>
              </w:rPr>
            </w:pPr>
          </w:p>
        </w:tc>
      </w:tr>
      <w:tr w:rsidR="00000000">
        <w:trPr>
          <w:divId w:val="855849836"/>
          <w:tblCellSpacing w:w="15" w:type="dxa"/>
          <w:jc w:val="center"/>
        </w:trPr>
        <w:tc>
          <w:tcPr>
            <w:tcW w:w="0" w:type="auto"/>
            <w:tcBorders>
              <w:bottom w:val="single" w:sz="12" w:space="0" w:color="auto"/>
            </w:tcBorders>
            <w:vAlign w:val="center"/>
            <w:hideMark/>
          </w:tcPr>
          <w:p w:rsidR="00000000" w:rsidRDefault="00D2754D">
            <w:pPr>
              <w:rPr>
                <w:rFonts w:eastAsia="Times New Roman"/>
                <w:sz w:val="20"/>
                <w:szCs w:val="20"/>
              </w:rPr>
            </w:pPr>
          </w:p>
        </w:tc>
      </w:tr>
    </w:tbl>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center"/>
        <w:divId w:val="855849836"/>
        <w:rPr>
          <w:sz w:val="20"/>
          <w:szCs w:val="20"/>
        </w:rPr>
      </w:pPr>
      <w:r>
        <w:rPr>
          <w:rStyle w:val="Strong"/>
          <w:sz w:val="20"/>
          <w:szCs w:val="20"/>
        </w:rPr>
        <w:t>UNITED STATES</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SECURITIES AND EXCHANGE COMMISSION</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Washington, D.C. 20549</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21"/>
        <w:jc w:val="center"/>
        <w:divId w:val="855849836"/>
        <w:rPr>
          <w:sz w:val="20"/>
          <w:szCs w:val="20"/>
        </w:rPr>
      </w:pPr>
      <w:r>
        <w:rPr>
          <w:rStyle w:val="Strong"/>
          <w:sz w:val="36"/>
          <w:szCs w:val="36"/>
        </w:rPr>
        <w:t>FORM</w:t>
      </w:r>
      <w:r>
        <w:rPr>
          <w:rStyle w:val="Strong"/>
          <w:sz w:val="36"/>
          <w:szCs w:val="36"/>
        </w:rPr>
        <w:t xml:space="preserve"> </w:t>
      </w:r>
      <w:r>
        <w:rPr>
          <w:rStyle w:val="Strong"/>
          <w:sz w:val="36"/>
          <w:szCs w:val="36"/>
        </w:rPr>
        <w:t>10-</w:t>
      </w:r>
      <w:r>
        <w:rPr>
          <w:rStyle w:val="Strong"/>
          <w:sz w:val="36"/>
          <w:szCs w:val="36"/>
        </w:rPr>
        <w:t>Q</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sz w:val="20"/>
          <w:szCs w:val="20"/>
        </w:rPr>
        <w:t>(Mark One)</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trPr>
          <w:divId w:val="855849836"/>
          <w:trHeight w:val="225"/>
          <w:tblCellSpacing w:w="15" w:type="dxa"/>
          <w:jc w:val="center"/>
        </w:trPr>
        <w:tc>
          <w:tcPr>
            <w:tcW w:w="200" w:type="pct"/>
            <w:hideMark/>
          </w:tcPr>
          <w:p w:rsidR="00000000" w:rsidRDefault="00D2754D">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rsidR="00000000" w:rsidRDefault="00D2754D">
            <w:pPr>
              <w:pStyle w:val="NormalWeb"/>
              <w:spacing w:before="0" w:beforeAutospacing="0" w:after="0" w:afterAutospacing="0"/>
              <w:jc w:val="both"/>
              <w:rPr>
                <w:sz w:val="20"/>
                <w:szCs w:val="20"/>
              </w:rPr>
            </w:pPr>
            <w:r>
              <w:rPr>
                <w:rStyle w:val="Strong"/>
                <w:sz w:val="20"/>
                <w:szCs w:val="20"/>
              </w:rPr>
              <w:t>QUARTERLY REPORT PURSUANT TO SECTION 13 OR 15(d) OF THE SECURITIES EXCHANGE ACT OF 1934</w:t>
            </w:r>
          </w:p>
        </w:tc>
      </w:tr>
      <w:tr w:rsidR="00000000">
        <w:trPr>
          <w:divId w:val="855849836"/>
          <w:trHeight w:val="225"/>
          <w:tblCellSpacing w:w="15" w:type="dxa"/>
          <w:jc w:val="center"/>
        </w:trPr>
        <w:tc>
          <w:tcPr>
            <w:tcW w:w="0" w:type="auto"/>
            <w:gridSpan w:val="2"/>
            <w:vAlign w:val="center"/>
            <w:hideMark/>
          </w:tcPr>
          <w:p w:rsidR="00000000" w:rsidRDefault="00D2754D">
            <w:pPr>
              <w:rPr>
                <w:sz w:val="20"/>
                <w:szCs w:val="20"/>
              </w:rPr>
            </w:pPr>
          </w:p>
        </w:tc>
      </w:tr>
      <w:tr w:rsidR="00000000">
        <w:trPr>
          <w:divId w:val="855849836"/>
          <w:trHeight w:val="225"/>
          <w:tblCellSpacing w:w="15" w:type="dxa"/>
          <w:jc w:val="center"/>
        </w:trPr>
        <w:tc>
          <w:tcPr>
            <w:tcW w:w="0" w:type="auto"/>
            <w:gridSpan w:val="2"/>
            <w:vAlign w:val="center"/>
            <w:hideMark/>
          </w:tcPr>
          <w:p w:rsidR="00000000" w:rsidRDefault="00D2754D">
            <w:pPr>
              <w:pStyle w:val="NormalWeb"/>
              <w:spacing w:before="0" w:beforeAutospacing="0" w:after="0" w:afterAutospacing="0"/>
              <w:jc w:val="center"/>
              <w:rPr>
                <w:sz w:val="20"/>
                <w:szCs w:val="20"/>
              </w:rPr>
            </w:pPr>
            <w:r>
              <w:rPr>
                <w:sz w:val="20"/>
                <w:szCs w:val="20"/>
              </w:rPr>
              <w:t>For the quarterly period ended:</w:t>
            </w:r>
            <w:r>
              <w:rPr>
                <w:sz w:val="20"/>
                <w:szCs w:val="20"/>
              </w:rPr>
              <w:t xml:space="preserve"> </w:t>
            </w:r>
            <w:r>
              <w:rPr>
                <w:rStyle w:val="Strong"/>
                <w:sz w:val="20"/>
                <w:szCs w:val="20"/>
                <w:u w:val="single"/>
              </w:rPr>
              <w:t>December 31, 202</w:t>
            </w:r>
            <w:r>
              <w:rPr>
                <w:rStyle w:val="Strong"/>
                <w:sz w:val="20"/>
                <w:szCs w:val="20"/>
                <w:u w:val="single"/>
              </w:rPr>
              <w:t>2</w:t>
            </w:r>
          </w:p>
        </w:tc>
      </w:tr>
    </w:tbl>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jc w:val="center"/>
        <w:divId w:val="855849836"/>
        <w:rPr>
          <w:sz w:val="20"/>
          <w:szCs w:val="20"/>
        </w:rPr>
      </w:pPr>
      <w:r>
        <w:rPr>
          <w:sz w:val="20"/>
          <w:szCs w:val="20"/>
        </w:rPr>
        <w:t>  Or</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trPr>
          <w:divId w:val="855849836"/>
          <w:trHeight w:val="225"/>
          <w:tblCellSpacing w:w="15" w:type="dxa"/>
          <w:jc w:val="center"/>
        </w:trPr>
        <w:tc>
          <w:tcPr>
            <w:tcW w:w="200" w:type="pct"/>
            <w:hideMark/>
          </w:tcPr>
          <w:p w:rsidR="00000000" w:rsidRDefault="00D2754D">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rsidR="00000000" w:rsidRDefault="00D2754D">
            <w:pPr>
              <w:pStyle w:val="NormalWeb"/>
              <w:spacing w:before="0" w:beforeAutospacing="0" w:after="0" w:afterAutospacing="0"/>
              <w:jc w:val="both"/>
              <w:rPr>
                <w:sz w:val="20"/>
                <w:szCs w:val="20"/>
              </w:rPr>
            </w:pPr>
            <w:r>
              <w:rPr>
                <w:rStyle w:val="Strong"/>
                <w:sz w:val="20"/>
                <w:szCs w:val="20"/>
              </w:rPr>
              <w:t>TRANSITION REPORT PURSUANT TO SECTION 13 OR 15(d) OF THE SECURITIES EXCHANGE ACT OF 1934</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hideMark/>
          </w:tcPr>
          <w:p w:rsidR="00000000" w:rsidRDefault="00D2754D">
            <w:pPr>
              <w:pStyle w:val="NormalWeb"/>
              <w:spacing w:before="0" w:beforeAutospacing="0" w:after="0" w:afterAutospacing="0"/>
              <w:rPr>
                <w:sz w:val="20"/>
                <w:szCs w:val="20"/>
              </w:rPr>
            </w:pPr>
            <w:r>
              <w:rPr>
                <w:sz w:val="20"/>
                <w:szCs w:val="20"/>
              </w:rPr>
              <w:t>For the transition period from: _____________ to _____________</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3000" w:type="pct"/>
        <w:jc w:val="center"/>
        <w:tblCellMar>
          <w:left w:w="0" w:type="dxa"/>
          <w:right w:w="0" w:type="dxa"/>
        </w:tblCellMar>
        <w:tblLook w:val="04A0" w:firstRow="1" w:lastRow="0" w:firstColumn="1" w:lastColumn="0" w:noHBand="0" w:noVBand="1"/>
      </w:tblPr>
      <w:tblGrid>
        <w:gridCol w:w="5616"/>
      </w:tblGrid>
      <w:tr w:rsidR="00000000">
        <w:trPr>
          <w:divId w:val="855849836"/>
          <w:trHeight w:val="225"/>
          <w:jc w:val="center"/>
        </w:trPr>
        <w:tc>
          <w:tcPr>
            <w:tcW w:w="0" w:type="auto"/>
            <w:tcBorders>
              <w:bottom w:val="single" w:sz="6" w:space="0" w:color="auto"/>
            </w:tcBorders>
            <w:vAlign w:val="center"/>
            <w:hideMark/>
          </w:tcPr>
          <w:p w:rsidR="00000000" w:rsidRDefault="00D2754D">
            <w:pPr>
              <w:pStyle w:val="NormalWeb"/>
              <w:spacing w:before="0" w:beforeAutospacing="0" w:after="0" w:afterAutospacing="0"/>
              <w:jc w:val="center"/>
              <w:rPr>
                <w:sz w:val="20"/>
                <w:szCs w:val="20"/>
              </w:rPr>
            </w:pPr>
            <w:r>
              <w:rPr>
                <w:rStyle w:val="Strong"/>
                <w:sz w:val="36"/>
                <w:szCs w:val="36"/>
              </w:rPr>
              <w:t>ADVANCED OXYGEN TECHNOLOGIES, INC</w:t>
            </w:r>
            <w:r>
              <w:rPr>
                <w:rStyle w:val="Strong"/>
                <w:sz w:val="36"/>
                <w:szCs w:val="36"/>
              </w:rPr>
              <w:t>.</w:t>
            </w:r>
          </w:p>
        </w:tc>
      </w:tr>
      <w:tr w:rsidR="00000000">
        <w:trPr>
          <w:divId w:val="855849836"/>
          <w:trHeight w:val="225"/>
          <w:jc w:val="center"/>
        </w:trPr>
        <w:tc>
          <w:tcPr>
            <w:tcW w:w="0" w:type="auto"/>
            <w:vAlign w:val="center"/>
            <w:hideMark/>
          </w:tcPr>
          <w:p w:rsidR="00000000" w:rsidRDefault="00D2754D">
            <w:pPr>
              <w:pStyle w:val="NormalWeb"/>
              <w:spacing w:before="0" w:beforeAutospacing="0" w:after="0" w:afterAutospacing="0"/>
              <w:jc w:val="center"/>
              <w:rPr>
                <w:sz w:val="20"/>
                <w:szCs w:val="20"/>
              </w:rPr>
            </w:pPr>
            <w:r>
              <w:rPr>
                <w:sz w:val="20"/>
                <w:szCs w:val="20"/>
              </w:rPr>
              <w:t>(Exact name of registrant as specified in its charter)</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6"/>
        <w:gridCol w:w="398"/>
        <w:gridCol w:w="2387"/>
        <w:gridCol w:w="398"/>
        <w:gridCol w:w="2387"/>
      </w:tblGrid>
      <w:tr w:rsidR="00000000">
        <w:trPr>
          <w:divId w:val="855849836"/>
          <w:trHeight w:val="225"/>
          <w:jc w:val="center"/>
        </w:trPr>
        <w:tc>
          <w:tcPr>
            <w:tcW w:w="1500" w:type="pct"/>
            <w:tcBorders>
              <w:bottom w:val="single" w:sz="6" w:space="0" w:color="auto"/>
            </w:tcBorders>
            <w:hideMark/>
          </w:tcPr>
          <w:p w:rsidR="00000000" w:rsidRDefault="00D2754D">
            <w:pPr>
              <w:pStyle w:val="NormalWeb"/>
              <w:spacing w:before="0" w:beforeAutospacing="0" w:after="0" w:afterAutospacing="0"/>
              <w:jc w:val="center"/>
              <w:rPr>
                <w:sz w:val="20"/>
                <w:szCs w:val="20"/>
              </w:rPr>
            </w:pPr>
            <w:r>
              <w:rPr>
                <w:rStyle w:val="Strong"/>
                <w:sz w:val="20"/>
                <w:szCs w:val="20"/>
              </w:rPr>
              <w:t>Delawar</w:t>
            </w:r>
            <w:r>
              <w:rPr>
                <w:rStyle w:val="Strong"/>
                <w:sz w:val="20"/>
                <w:szCs w:val="20"/>
              </w:rPr>
              <w:t>e</w:t>
            </w:r>
          </w:p>
        </w:tc>
        <w:tc>
          <w:tcPr>
            <w:tcW w:w="25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rsidR="00000000" w:rsidRDefault="00D2754D">
            <w:pPr>
              <w:pStyle w:val="NormalWeb"/>
              <w:spacing w:before="0" w:beforeAutospacing="0" w:after="0" w:afterAutospacing="0"/>
              <w:jc w:val="center"/>
              <w:rPr>
                <w:sz w:val="20"/>
                <w:szCs w:val="20"/>
              </w:rPr>
            </w:pPr>
            <w:r>
              <w:rPr>
                <w:rStyle w:val="Strong"/>
                <w:sz w:val="20"/>
                <w:szCs w:val="20"/>
              </w:rPr>
              <w:t>0-995</w:t>
            </w:r>
            <w:r>
              <w:rPr>
                <w:rStyle w:val="Strong"/>
                <w:sz w:val="20"/>
                <w:szCs w:val="20"/>
              </w:rPr>
              <w:t>1</w:t>
            </w:r>
          </w:p>
        </w:tc>
        <w:tc>
          <w:tcPr>
            <w:tcW w:w="25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rsidR="00000000" w:rsidRDefault="00D2754D">
            <w:pPr>
              <w:pStyle w:val="NormalWeb"/>
              <w:spacing w:before="0" w:beforeAutospacing="0" w:after="0" w:afterAutospacing="0"/>
              <w:jc w:val="center"/>
              <w:rPr>
                <w:sz w:val="20"/>
                <w:szCs w:val="20"/>
              </w:rPr>
            </w:pPr>
            <w:r>
              <w:rPr>
                <w:rStyle w:val="Strong"/>
                <w:sz w:val="20"/>
                <w:szCs w:val="20"/>
              </w:rPr>
              <w:t>91-114362</w:t>
            </w:r>
            <w:r>
              <w:rPr>
                <w:rStyle w:val="Strong"/>
                <w:sz w:val="20"/>
                <w:szCs w:val="20"/>
              </w:rPr>
              <w:t>2</w:t>
            </w:r>
          </w:p>
        </w:tc>
      </w:tr>
      <w:tr w:rsidR="00000000">
        <w:trPr>
          <w:divId w:val="855849836"/>
          <w:trHeight w:val="225"/>
          <w:jc w:val="center"/>
        </w:trPr>
        <w:tc>
          <w:tcPr>
            <w:tcW w:w="0" w:type="auto"/>
            <w:hideMark/>
          </w:tcPr>
          <w:p w:rsidR="00000000" w:rsidRDefault="00D2754D">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center"/>
              <w:rPr>
                <w:sz w:val="20"/>
                <w:szCs w:val="20"/>
              </w:rPr>
            </w:pPr>
            <w:r>
              <w:rPr>
                <w:sz w:val="20"/>
                <w:szCs w:val="20"/>
              </w:rPr>
              <w:t>(Commission</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center"/>
              <w:rPr>
                <w:sz w:val="20"/>
                <w:szCs w:val="20"/>
              </w:rPr>
            </w:pPr>
            <w:r>
              <w:rPr>
                <w:sz w:val="20"/>
                <w:szCs w:val="20"/>
              </w:rPr>
              <w:t>(I.R.S. Employer</w:t>
            </w:r>
          </w:p>
        </w:tc>
      </w:tr>
      <w:tr w:rsidR="00000000">
        <w:trPr>
          <w:divId w:val="855849836"/>
          <w:trHeight w:val="225"/>
          <w:jc w:val="center"/>
        </w:trPr>
        <w:tc>
          <w:tcPr>
            <w:tcW w:w="0" w:type="auto"/>
            <w:hideMark/>
          </w:tcPr>
          <w:p w:rsidR="00000000" w:rsidRDefault="00D2754D">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center"/>
              <w:rPr>
                <w:sz w:val="20"/>
                <w:szCs w:val="20"/>
              </w:rPr>
            </w:pPr>
            <w:r>
              <w:rPr>
                <w:sz w:val="20"/>
                <w:szCs w:val="20"/>
              </w:rPr>
              <w:t>File Number)</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center"/>
              <w:rPr>
                <w:sz w:val="20"/>
                <w:szCs w:val="20"/>
              </w:rPr>
            </w:pPr>
            <w:r>
              <w:rPr>
                <w:sz w:val="20"/>
                <w:szCs w:val="20"/>
              </w:rPr>
              <w:t>Identification No.)</w:t>
            </w:r>
          </w:p>
        </w:tc>
      </w:tr>
    </w:tbl>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u w:val="single"/>
        </w:rPr>
        <w:t>C/O Crossfield, Inc</w:t>
      </w:r>
      <w:r>
        <w:rPr>
          <w:rStyle w:val="Strong"/>
          <w:sz w:val="20"/>
          <w:szCs w:val="20"/>
          <w:u w:val="single"/>
        </w:rPr>
        <w:t>.</w:t>
      </w:r>
      <w:r>
        <w:rPr>
          <w:rStyle w:val="Strong"/>
          <w:sz w:val="20"/>
          <w:szCs w:val="20"/>
          <w:u w:val="single"/>
        </w:rPr>
        <w:t>,</w:t>
      </w:r>
      <w:r>
        <w:rPr>
          <w:rStyle w:val="Strong"/>
          <w:sz w:val="20"/>
          <w:szCs w:val="20"/>
          <w:u w:val="single"/>
        </w:rPr>
        <w:t xml:space="preserve"> </w:t>
      </w:r>
      <w:r>
        <w:rPr>
          <w:rStyle w:val="Strong"/>
          <w:sz w:val="20"/>
          <w:szCs w:val="20"/>
          <w:u w:val="single"/>
        </w:rPr>
        <w:t>653 VT Route 12</w:t>
      </w:r>
      <w:r>
        <w:rPr>
          <w:rStyle w:val="Strong"/>
          <w:sz w:val="20"/>
          <w:szCs w:val="20"/>
          <w:u w:val="single"/>
        </w:rPr>
        <w:t>A</w:t>
      </w:r>
      <w:r>
        <w:rPr>
          <w:rStyle w:val="Strong"/>
          <w:sz w:val="20"/>
          <w:szCs w:val="20"/>
          <w:u w:val="single"/>
        </w:rPr>
        <w:t>,</w:t>
      </w:r>
      <w:r>
        <w:rPr>
          <w:rStyle w:val="Strong"/>
          <w:sz w:val="20"/>
          <w:szCs w:val="20"/>
          <w:u w:val="single"/>
        </w:rPr>
        <w:t xml:space="preserve"> </w:t>
      </w:r>
      <w:r>
        <w:rPr>
          <w:rStyle w:val="Strong"/>
          <w:sz w:val="20"/>
          <w:szCs w:val="20"/>
          <w:u w:val="single"/>
        </w:rPr>
        <w:t>PO Box 18</w:t>
      </w:r>
      <w:r>
        <w:rPr>
          <w:rStyle w:val="Strong"/>
          <w:sz w:val="20"/>
          <w:szCs w:val="20"/>
          <w:u w:val="single"/>
        </w:rPr>
        <w:t>9</w:t>
      </w:r>
      <w:r>
        <w:rPr>
          <w:rStyle w:val="Strong"/>
          <w:sz w:val="20"/>
          <w:szCs w:val="20"/>
          <w:u w:val="single"/>
        </w:rPr>
        <w:t>,</w:t>
      </w:r>
      <w:r>
        <w:rPr>
          <w:rStyle w:val="Strong"/>
          <w:sz w:val="20"/>
          <w:szCs w:val="20"/>
          <w:u w:val="single"/>
        </w:rPr>
        <w:t xml:space="preserve"> </w:t>
      </w:r>
      <w:r>
        <w:rPr>
          <w:rStyle w:val="Strong"/>
          <w:sz w:val="20"/>
          <w:szCs w:val="20"/>
          <w:u w:val="single"/>
        </w:rPr>
        <w:t>Randolp</w:t>
      </w:r>
      <w:r>
        <w:rPr>
          <w:rStyle w:val="Strong"/>
          <w:sz w:val="20"/>
          <w:szCs w:val="20"/>
          <w:u w:val="single"/>
        </w:rPr>
        <w:t>h</w:t>
      </w:r>
      <w:r>
        <w:rPr>
          <w:rStyle w:val="Strong"/>
          <w:sz w:val="20"/>
          <w:szCs w:val="20"/>
          <w:u w:val="single"/>
        </w:rPr>
        <w:t>,</w:t>
      </w:r>
      <w:r>
        <w:rPr>
          <w:rStyle w:val="Strong"/>
          <w:sz w:val="20"/>
          <w:szCs w:val="20"/>
          <w:u w:val="single"/>
        </w:rPr>
        <w:t xml:space="preserve"> </w:t>
      </w:r>
      <w:r>
        <w:rPr>
          <w:rStyle w:val="Strong"/>
          <w:sz w:val="20"/>
          <w:szCs w:val="20"/>
          <w:u w:val="single"/>
        </w:rPr>
        <w:t>V</w:t>
      </w:r>
      <w:r>
        <w:rPr>
          <w:rStyle w:val="Strong"/>
          <w:sz w:val="20"/>
          <w:szCs w:val="20"/>
          <w:u w:val="single"/>
        </w:rPr>
        <w:t>T</w:t>
      </w:r>
      <w:r>
        <w:rPr>
          <w:rStyle w:val="Strong"/>
          <w:sz w:val="20"/>
          <w:szCs w:val="20"/>
          <w:u w:val="single"/>
        </w:rPr>
        <w:t xml:space="preserve"> </w:t>
      </w:r>
      <w:r>
        <w:rPr>
          <w:rStyle w:val="Strong"/>
          <w:sz w:val="20"/>
          <w:szCs w:val="20"/>
          <w:u w:val="single"/>
        </w:rPr>
        <w:t>0506</w:t>
      </w:r>
      <w:r>
        <w:rPr>
          <w:rStyle w:val="Strong"/>
          <w:sz w:val="20"/>
          <w:szCs w:val="20"/>
          <w:u w:val="single"/>
        </w:rPr>
        <w:t>0</w:t>
      </w:r>
    </w:p>
    <w:p w:rsidR="00000000" w:rsidRDefault="00D2754D">
      <w:pPr>
        <w:pStyle w:val="NormalWeb"/>
        <w:spacing w:before="0" w:beforeAutospacing="0" w:after="0" w:afterAutospacing="0"/>
        <w:ind w:left="21"/>
        <w:jc w:val="center"/>
        <w:divId w:val="855849836"/>
        <w:rPr>
          <w:sz w:val="20"/>
          <w:szCs w:val="20"/>
        </w:rPr>
      </w:pPr>
      <w:r>
        <w:rPr>
          <w:sz w:val="20"/>
          <w:szCs w:val="20"/>
        </w:rPr>
        <w:t>(Address of Principal Executive Offices) (Zip Code)</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u w:val="single"/>
        </w:rPr>
        <w:t>(</w:t>
      </w:r>
      <w:r>
        <w:rPr>
          <w:rStyle w:val="Strong"/>
          <w:sz w:val="20"/>
          <w:szCs w:val="20"/>
          <w:u w:val="single"/>
        </w:rPr>
        <w:t>21</w:t>
      </w:r>
      <w:r>
        <w:rPr>
          <w:rStyle w:val="Strong"/>
          <w:sz w:val="20"/>
          <w:szCs w:val="20"/>
          <w:u w:val="single"/>
        </w:rPr>
        <w:t>2</w:t>
      </w:r>
      <w:r>
        <w:rPr>
          <w:rStyle w:val="Strong"/>
          <w:sz w:val="20"/>
          <w:szCs w:val="20"/>
          <w:u w:val="single"/>
        </w:rPr>
        <w:t>)</w:t>
      </w:r>
      <w:r>
        <w:rPr>
          <w:rStyle w:val="Strong"/>
          <w:sz w:val="20"/>
          <w:szCs w:val="20"/>
          <w:u w:val="single"/>
        </w:rPr>
        <w:t>727-708</w:t>
      </w:r>
      <w:r>
        <w:rPr>
          <w:rStyle w:val="Strong"/>
          <w:sz w:val="20"/>
          <w:szCs w:val="20"/>
          <w:u w:val="single"/>
        </w:rPr>
        <w:t>5</w:t>
      </w:r>
    </w:p>
    <w:p w:rsidR="00000000" w:rsidRDefault="00D2754D">
      <w:pPr>
        <w:pStyle w:val="NormalWeb"/>
        <w:spacing w:before="0" w:beforeAutospacing="0" w:after="0" w:afterAutospacing="0"/>
        <w:ind w:left="7"/>
        <w:jc w:val="center"/>
        <w:divId w:val="855849836"/>
        <w:rPr>
          <w:sz w:val="20"/>
          <w:szCs w:val="20"/>
        </w:rPr>
      </w:pPr>
      <w:r>
        <w:rPr>
          <w:sz w:val="20"/>
          <w:szCs w:val="20"/>
        </w:rPr>
        <w:t>(Registrant’s telephone number, including area code)</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2799"/>
        <w:gridCol w:w="489"/>
        <w:gridCol w:w="2784"/>
        <w:gridCol w:w="489"/>
        <w:gridCol w:w="2799"/>
      </w:tblGrid>
      <w:tr w:rsidR="00000000">
        <w:trPr>
          <w:divId w:val="855849836"/>
          <w:trHeight w:val="225"/>
          <w:tblCellSpacing w:w="15" w:type="dxa"/>
          <w:jc w:val="center"/>
        </w:trPr>
        <w:tc>
          <w:tcPr>
            <w:tcW w:w="1500" w:type="pct"/>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Title of Class</w:t>
            </w:r>
          </w:p>
        </w:tc>
        <w:tc>
          <w:tcPr>
            <w:tcW w:w="250" w:type="pct"/>
            <w:vAlign w:val="center"/>
            <w:hideMark/>
          </w:tcPr>
          <w:p w:rsidR="00000000" w:rsidRDefault="00D2754D">
            <w:pPr>
              <w:pStyle w:val="NormalWeb"/>
              <w:spacing w:before="0" w:beforeAutospacing="0" w:after="0" w:afterAutospacing="0"/>
              <w:jc w:val="both"/>
              <w:rPr>
                <w:sz w:val="20"/>
                <w:szCs w:val="20"/>
              </w:rPr>
            </w:pPr>
            <w:r>
              <w:rPr>
                <w:rStyle w:val="Strong"/>
                <w:sz w:val="20"/>
                <w:szCs w:val="20"/>
              </w:rPr>
              <w:t> </w:t>
            </w:r>
          </w:p>
        </w:tc>
        <w:tc>
          <w:tcPr>
            <w:tcW w:w="1500" w:type="pct"/>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Trading Symbol</w:t>
            </w:r>
          </w:p>
        </w:tc>
        <w:tc>
          <w:tcPr>
            <w:tcW w:w="250" w:type="pct"/>
            <w:vAlign w:val="center"/>
            <w:hideMark/>
          </w:tcPr>
          <w:p w:rsidR="00000000" w:rsidRDefault="00D2754D">
            <w:pPr>
              <w:pStyle w:val="NormalWeb"/>
              <w:spacing w:before="0" w:beforeAutospacing="0" w:after="0" w:afterAutospacing="0"/>
              <w:jc w:val="both"/>
              <w:rPr>
                <w:sz w:val="20"/>
                <w:szCs w:val="20"/>
              </w:rPr>
            </w:pPr>
            <w:r>
              <w:rPr>
                <w:rStyle w:val="Strong"/>
                <w:sz w:val="20"/>
                <w:szCs w:val="20"/>
              </w:rPr>
              <w:t> </w:t>
            </w:r>
          </w:p>
        </w:tc>
        <w:tc>
          <w:tcPr>
            <w:tcW w:w="1500" w:type="pct"/>
            <w:tcBorders>
              <w:bottom w:val="single" w:sz="6" w:space="0" w:color="auto"/>
            </w:tcBorders>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Name of each exchange</w:t>
            </w:r>
          </w:p>
          <w:p w:rsidR="00000000" w:rsidRDefault="00D2754D">
            <w:pPr>
              <w:pStyle w:val="NormalWeb"/>
              <w:spacing w:before="0" w:beforeAutospacing="0" w:after="0" w:afterAutospacing="0"/>
              <w:jc w:val="center"/>
              <w:rPr>
                <w:sz w:val="20"/>
                <w:szCs w:val="20"/>
              </w:rPr>
            </w:pPr>
            <w:r>
              <w:rPr>
                <w:rStyle w:val="Strong"/>
                <w:sz w:val="20"/>
                <w:szCs w:val="20"/>
              </w:rPr>
              <w:t>on which registered</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jc w:val="center"/>
              <w:rPr>
                <w:sz w:val="20"/>
                <w:szCs w:val="20"/>
              </w:rPr>
            </w:pPr>
            <w:r>
              <w:rPr>
                <w:sz w:val="20"/>
                <w:szCs w:val="20"/>
              </w:rPr>
              <w:t>Common Stock, $0.01 Par Valu</w:t>
            </w:r>
            <w:r>
              <w:rPr>
                <w:sz w:val="20"/>
                <w:szCs w:val="20"/>
              </w:rPr>
              <w:t>e</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center"/>
              <w:rPr>
                <w:sz w:val="20"/>
                <w:szCs w:val="20"/>
              </w:rPr>
            </w:pPr>
            <w:r>
              <w:rPr>
                <w:sz w:val="20"/>
                <w:szCs w:val="20"/>
              </w:rPr>
              <w:t>AOX</w:t>
            </w:r>
            <w:r>
              <w:rPr>
                <w:sz w:val="20"/>
                <w:szCs w:val="20"/>
              </w:rPr>
              <w:t>Y</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center"/>
              <w:rPr>
                <w:sz w:val="20"/>
                <w:szCs w:val="20"/>
              </w:rPr>
            </w:pPr>
            <w:r>
              <w:rPr>
                <w:sz w:val="20"/>
                <w:szCs w:val="20"/>
              </w:rPr>
              <w:t>OTC: PINK</w:t>
            </w:r>
          </w:p>
        </w:tc>
      </w:tr>
    </w:tbl>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21"/>
        <w:jc w:val="center"/>
        <w:divId w:val="855849836"/>
        <w:rPr>
          <w:sz w:val="20"/>
          <w:szCs w:val="20"/>
        </w:rPr>
      </w:pPr>
      <w:r>
        <w:rPr>
          <w:sz w:val="20"/>
          <w:szCs w:val="20"/>
        </w:rPr>
        <w:t>Securities registered under Section 12(g) of the Exchange Act: Common Stock, par value $.01 per share</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Indicate by check mark if the registrant is not required to file reports pursuant to section 13 or S</w:t>
      </w:r>
      <w:r>
        <w:rPr>
          <w:sz w:val="20"/>
          <w:szCs w:val="20"/>
        </w:rPr>
        <w:t xml:space="preserve">ection 15(d) of the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w:t>
      </w:r>
      <w:r>
        <w:rPr>
          <w:sz w:val="20"/>
          <w:szCs w:val="20"/>
        </w:rPr>
        <w:t xml:space="preserve"> registrant was required to file such reports), and (2) has been subject to such filing requirements for the past 90 days.</w:t>
      </w:r>
      <w:r>
        <w:rPr>
          <w:sz w:val="20"/>
          <w:szCs w:val="20"/>
        </w:rPr>
        <w:t xml:space="preserve"> </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lastRenderedPageBreak/>
        <w:t>Indicate by check mark whether the registrant has submitted electronically every Interactive Data File required to be submitted pursuant to Rule 405 of Regulation S-T (§ 232.405 of this chapter) during the preceding 12 months (or for such shorter period th</w:t>
      </w:r>
      <w:r>
        <w:rPr>
          <w:sz w:val="20"/>
          <w:szCs w:val="20"/>
        </w:rPr>
        <w:t>at the registrant was required to submit and post such files)</w:t>
      </w:r>
      <w:r>
        <w:rPr>
          <w:sz w:val="20"/>
          <w:szCs w:val="20"/>
        </w:rPr>
        <w:t>.</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sz w:val="20"/>
          <w:szCs w:val="20"/>
        </w:rPr>
        <w:t>Indicate by check mark whether the registrant is a large accelerated filer, an accelerated filer, a non-accelerated filer, a smaller reporting company, or emerging growth company. S</w:t>
      </w:r>
      <w:r>
        <w:rPr>
          <w:sz w:val="20"/>
          <w:szCs w:val="20"/>
        </w:rPr>
        <w:t>ee the definitions of “large accelerated filer”, “an accelerated filer”, “smaller reporting company” and “emerging growth company” in Rule 12b-2 of the Exchange Act.</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7"/>
        <w:gridCol w:w="1591"/>
        <w:gridCol w:w="2387"/>
        <w:gridCol w:w="1591"/>
      </w:tblGrid>
      <w:tr w:rsidR="00000000">
        <w:trPr>
          <w:divId w:val="855849836"/>
          <w:trHeight w:val="225"/>
          <w:jc w:val="center"/>
        </w:trPr>
        <w:tc>
          <w:tcPr>
            <w:tcW w:w="1500" w:type="pct"/>
            <w:vAlign w:val="center"/>
            <w:hideMark/>
          </w:tcPr>
          <w:p w:rsidR="00000000" w:rsidRDefault="00D2754D">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rsidR="00000000" w:rsidRDefault="00D2754D">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rsidR="00000000" w:rsidRDefault="00D2754D">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rsidR="00000000" w:rsidRDefault="00D2754D">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trPr>
          <w:divId w:val="855849836"/>
          <w:trHeight w:val="225"/>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Non Accelerated File</w:t>
            </w:r>
            <w:r>
              <w:rPr>
                <w:sz w:val="20"/>
                <w:szCs w:val="20"/>
              </w:rPr>
              <w:t>r</w:t>
            </w:r>
          </w:p>
        </w:tc>
        <w:tc>
          <w:tcPr>
            <w:tcW w:w="0" w:type="auto"/>
            <w:vAlign w:val="center"/>
            <w:hideMark/>
          </w:tcPr>
          <w:p w:rsidR="00000000" w:rsidRDefault="00D2754D">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Smaller Reporting</w:t>
            </w:r>
            <w:r>
              <w:rPr>
                <w:sz w:val="20"/>
                <w:szCs w:val="20"/>
              </w:rPr>
              <w:t xml:space="preserve"> Company</w:t>
            </w:r>
          </w:p>
        </w:tc>
        <w:tc>
          <w:tcPr>
            <w:tcW w:w="0" w:type="auto"/>
            <w:vAlign w:val="center"/>
            <w:hideMark/>
          </w:tcPr>
          <w:p w:rsidR="00000000" w:rsidRDefault="00D2754D">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trPr>
          <w:divId w:val="855849836"/>
          <w:trHeight w:val="225"/>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rsidR="00000000" w:rsidRDefault="00D2754D">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I</w:t>
      </w:r>
      <w:r>
        <w:rPr>
          <w:sz w:val="20"/>
          <w:szCs w:val="20"/>
        </w:rPr>
        <w:t>ndicate by check mark whether the registrant is a shell company (as defined in Rule 12b-2 of the Exchange Act. Yes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Indicate the number of shares outstanding of each of the issuer’s classes of common stock, as of the last practicable date: As of Fe</w:t>
      </w:r>
      <w:r>
        <w:rPr>
          <w:sz w:val="20"/>
          <w:szCs w:val="20"/>
        </w:rPr>
        <w:t>bruary 13, 2023, there were</w:t>
      </w:r>
      <w:r>
        <w:rPr>
          <w:sz w:val="20"/>
          <w:szCs w:val="20"/>
        </w:rPr>
        <w:t xml:space="preserve"> </w:t>
      </w:r>
      <w:r>
        <w:rPr>
          <w:sz w:val="20"/>
          <w:szCs w:val="20"/>
        </w:rPr>
        <w:t>3,292,94</w:t>
      </w:r>
      <w:r>
        <w:rPr>
          <w:sz w:val="20"/>
          <w:szCs w:val="20"/>
        </w:rPr>
        <w:t>5</w:t>
      </w:r>
      <w:r>
        <w:rPr>
          <w:sz w:val="20"/>
          <w:szCs w:val="20"/>
        </w:rPr>
        <w:t xml:space="preserve"> issued and outstanding shares of the registrant’s Common Stock, $.01 par value.</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divId w:val="855849836"/>
          <w:tblCellSpacing w:w="15" w:type="dxa"/>
          <w:jc w:val="center"/>
        </w:trPr>
        <w:tc>
          <w:tcPr>
            <w:tcW w:w="0" w:type="auto"/>
            <w:tcBorders>
              <w:bottom w:val="single" w:sz="12" w:space="0" w:color="auto"/>
            </w:tcBorders>
            <w:vAlign w:val="center"/>
            <w:hideMark/>
          </w:tcPr>
          <w:p w:rsidR="00000000" w:rsidRDefault="00D2754D">
            <w:pPr>
              <w:rPr>
                <w:sz w:val="20"/>
                <w:szCs w:val="20"/>
              </w:rPr>
            </w:pPr>
          </w:p>
        </w:tc>
      </w:tr>
      <w:tr w:rsidR="00000000">
        <w:trPr>
          <w:divId w:val="855849836"/>
          <w:tblCellSpacing w:w="15" w:type="dxa"/>
          <w:jc w:val="center"/>
        </w:trPr>
        <w:tc>
          <w:tcPr>
            <w:tcW w:w="0" w:type="auto"/>
            <w:tcBorders>
              <w:bottom w:val="single" w:sz="36" w:space="0" w:color="auto"/>
            </w:tcBorders>
            <w:vAlign w:val="center"/>
            <w:hideMark/>
          </w:tcPr>
          <w:p w:rsidR="00000000" w:rsidRDefault="00D2754D">
            <w:pPr>
              <w:rPr>
                <w:rFonts w:eastAsia="Times New Roman"/>
                <w:sz w:val="20"/>
                <w:szCs w:val="20"/>
              </w:rPr>
            </w:pPr>
          </w:p>
        </w:tc>
      </w:tr>
    </w:tbl>
    <w:p w:rsidR="00000000" w:rsidRDefault="00D2754D">
      <w:pPr>
        <w:divId w:val="855849836"/>
        <w:rPr>
          <w:rFonts w:eastAsia="Times New Roman"/>
          <w:vanish/>
        </w:rPr>
      </w:pP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r>
        <w:rPr>
          <w:rFonts w:eastAsia="Times New Roman"/>
        </w:rPr>
        <w:lastRenderedPageBreak/>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ADVANCED OXYGEN TECHNOLOGIES, INC.</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atag"/>
          <w:sz w:val="20"/>
          <w:szCs w:val="20"/>
        </w:rPr>
        <w:t>Table of Content</w:t>
      </w:r>
      <w:r>
        <w:rPr>
          <w:rStyle w:val="atag"/>
          <w:sz w:val="20"/>
          <w:szCs w:val="20"/>
        </w:rPr>
        <w:t>s</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596"/>
        <w:gridCol w:w="7649"/>
        <w:gridCol w:w="122"/>
        <w:gridCol w:w="856"/>
        <w:gridCol w:w="137"/>
      </w:tblGrid>
      <w:tr w:rsidR="00000000">
        <w:trPr>
          <w:divId w:val="855849836"/>
          <w:trHeight w:val="225"/>
          <w:tblCellSpacing w:w="15" w:type="dxa"/>
          <w:jc w:val="center"/>
        </w:trPr>
        <w:tc>
          <w:tcPr>
            <w:tcW w:w="300" w:type="pct"/>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INDEX</w:t>
            </w:r>
          </w:p>
        </w:tc>
        <w:tc>
          <w:tcPr>
            <w:tcW w:w="50" w:type="pct"/>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Page</w:t>
            </w:r>
          </w:p>
        </w:tc>
        <w:tc>
          <w:tcPr>
            <w:tcW w:w="5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vAlign w:val="center"/>
            <w:hideMark/>
          </w:tcPr>
          <w:p w:rsidR="00000000" w:rsidRDefault="00D2754D">
            <w:pPr>
              <w:pStyle w:val="NormalWeb"/>
              <w:spacing w:before="0" w:beforeAutospacing="0" w:after="0" w:afterAutospacing="0"/>
              <w:jc w:val="both"/>
              <w:rPr>
                <w:sz w:val="20"/>
                <w:szCs w:val="20"/>
              </w:rPr>
            </w:pPr>
            <w:hyperlink w:anchor="p1" w:history="1">
              <w:r>
                <w:rPr>
                  <w:rStyle w:val="Hyperlink"/>
                  <w:b/>
                  <w:bCs/>
                  <w:sz w:val="20"/>
                  <w:szCs w:val="20"/>
                </w:rPr>
                <w:t>PART I</w:t>
              </w:r>
            </w:hyperlink>
          </w:p>
        </w:tc>
        <w:tc>
          <w:tcPr>
            <w:tcW w:w="0" w:type="auto"/>
            <w:gridSpan w:val="2"/>
            <w:vAlign w:val="center"/>
            <w:hideMark/>
          </w:tcPr>
          <w:p w:rsidR="00000000" w:rsidRDefault="00D2754D">
            <w:pPr>
              <w:pStyle w:val="NormalWeb"/>
              <w:spacing w:before="0" w:beforeAutospacing="0" w:after="0" w:afterAutospacing="0"/>
              <w:jc w:val="center"/>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hyperlink w:anchor="i1" w:history="1">
              <w:r>
                <w:rPr>
                  <w:rStyle w:val="Hyperlink"/>
                  <w:sz w:val="20"/>
                  <w:szCs w:val="20"/>
                </w:rPr>
                <w:t>Item I:</w:t>
              </w:r>
            </w:hyperlink>
          </w:p>
        </w:tc>
        <w:tc>
          <w:tcPr>
            <w:tcW w:w="0" w:type="auto"/>
            <w:shd w:val="clear" w:color="auto" w:fill="CCEEFF"/>
            <w:vAlign w:val="bottom"/>
            <w:hideMark/>
          </w:tcPr>
          <w:p w:rsidR="00000000" w:rsidRDefault="00D2754D">
            <w:pPr>
              <w:pStyle w:val="NormalWeb"/>
              <w:spacing w:before="0" w:beforeAutospacing="0" w:after="0" w:afterAutospacing="0"/>
              <w:jc w:val="both"/>
              <w:rPr>
                <w:sz w:val="20"/>
                <w:szCs w:val="20"/>
              </w:rPr>
            </w:pPr>
            <w:hyperlink w:anchor="i1" w:history="1">
              <w:r>
                <w:rPr>
                  <w:rStyle w:val="Hyperlink"/>
                  <w:sz w:val="20"/>
                  <w:szCs w:val="20"/>
                </w:rPr>
                <w:t>Financial Statements (unaudited)</w:t>
              </w:r>
            </w:hyperlink>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right"/>
              <w:rPr>
                <w:sz w:val="20"/>
                <w:szCs w:val="20"/>
              </w:rPr>
            </w:pPr>
            <w:r>
              <w:rPr>
                <w:sz w:val="20"/>
                <w:szCs w:val="20"/>
              </w:rPr>
              <w:t>3</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w:anchor="bs" w:history="1">
              <w:r>
                <w:rPr>
                  <w:rStyle w:val="Hyperlink"/>
                  <w:sz w:val="20"/>
                  <w:szCs w:val="20"/>
                </w:rPr>
                <w:t>Condensed Consolidated Balance Sheets as of December 31, 2022 (unaudited) and June 30, 2022</w:t>
              </w:r>
            </w:hyperlink>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D2754D">
            <w:pPr>
              <w:pStyle w:val="NormalWeb"/>
              <w:spacing w:before="0" w:beforeAutospacing="0" w:after="0" w:afterAutospacing="0"/>
              <w:jc w:val="right"/>
              <w:rPr>
                <w:sz w:val="20"/>
                <w:szCs w:val="20"/>
              </w:rPr>
            </w:pPr>
            <w:r>
              <w:rPr>
                <w:sz w:val="20"/>
                <w:szCs w:val="20"/>
              </w:rPr>
              <w:t>3</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w:anchor="loss" w:history="1">
              <w:r>
                <w:rPr>
                  <w:rStyle w:val="Hyperlink"/>
                  <w:sz w:val="20"/>
                  <w:szCs w:val="20"/>
                </w:rPr>
                <w:t xml:space="preserve">Condensed Consolidated Statements of Operations and Comprehensive Income (Loss) for the three and six months ended December 31, </w:t>
              </w:r>
              <w:r>
                <w:rPr>
                  <w:rStyle w:val="Hyperlink"/>
                  <w:sz w:val="20"/>
                  <w:szCs w:val="20"/>
                </w:rPr>
                <w:t>2022 and December 31, 2021 (unaudited)</w:t>
              </w:r>
            </w:hyperlink>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D2754D">
            <w:pPr>
              <w:pStyle w:val="NormalWeb"/>
              <w:spacing w:before="0" w:beforeAutospacing="0" w:after="0" w:afterAutospacing="0"/>
              <w:jc w:val="right"/>
              <w:rPr>
                <w:sz w:val="20"/>
                <w:szCs w:val="20"/>
              </w:rPr>
            </w:pPr>
            <w:r>
              <w:rPr>
                <w:sz w:val="20"/>
                <w:szCs w:val="20"/>
              </w:rPr>
              <w:t>4</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w:anchor="equity" w:history="1">
              <w:r>
                <w:rPr>
                  <w:rStyle w:val="Hyperlink"/>
                  <w:sz w:val="20"/>
                  <w:szCs w:val="20"/>
                </w:rPr>
                <w:t>Condensed Consolidated Statements of Stockholders’ Equity for the three and six months ended December 31, 2022 and December 31, 2021 (unaudited)</w:t>
              </w:r>
            </w:hyperlink>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rsidR="00000000" w:rsidRDefault="00D2754D">
            <w:pPr>
              <w:pStyle w:val="NormalWeb"/>
              <w:spacing w:before="0" w:beforeAutospacing="0" w:after="0" w:afterAutospacing="0"/>
              <w:jc w:val="right"/>
              <w:rPr>
                <w:sz w:val="20"/>
                <w:szCs w:val="20"/>
              </w:rPr>
            </w:pPr>
            <w:r>
              <w:rPr>
                <w:sz w:val="20"/>
                <w:szCs w:val="20"/>
              </w:rPr>
              <w:t>5</w:t>
            </w:r>
          </w:p>
        </w:tc>
        <w:tc>
          <w:tcPr>
            <w:tcW w:w="0" w:type="auto"/>
            <w:shd w:val="clear" w:color="auto" w:fill="FFFFFF"/>
            <w:vAlign w:val="center"/>
            <w:hideMark/>
          </w:tcPr>
          <w:p w:rsidR="00000000" w:rsidRDefault="00D2754D">
            <w:pPr>
              <w:rPr>
                <w:sz w:val="20"/>
                <w:szCs w:val="20"/>
              </w:rPr>
            </w:pP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w:anchor="cf" w:history="1">
              <w:r>
                <w:rPr>
                  <w:rStyle w:val="Hyperlink"/>
                  <w:sz w:val="20"/>
                  <w:szCs w:val="20"/>
                </w:rPr>
                <w:t>C</w:t>
              </w:r>
              <w:r>
                <w:rPr>
                  <w:rStyle w:val="Hyperlink"/>
                  <w:sz w:val="20"/>
                  <w:szCs w:val="20"/>
                </w:rPr>
                <w:t>ondensed Consolidated Statements of Cash Flow for the six months ended December 31, 2022 and December 31, 2021 (unaudited)</w:t>
              </w:r>
            </w:hyperlink>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D2754D">
            <w:pPr>
              <w:pStyle w:val="NormalWeb"/>
              <w:spacing w:before="0" w:beforeAutospacing="0" w:after="0" w:afterAutospacing="0"/>
              <w:jc w:val="right"/>
              <w:rPr>
                <w:sz w:val="20"/>
                <w:szCs w:val="20"/>
              </w:rPr>
            </w:pPr>
            <w:r>
              <w:rPr>
                <w:sz w:val="20"/>
                <w:szCs w:val="20"/>
              </w:rPr>
              <w:t>7</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w:anchor="notes" w:history="1">
              <w:r>
                <w:rPr>
                  <w:rStyle w:val="Hyperlink"/>
                  <w:sz w:val="20"/>
                  <w:szCs w:val="20"/>
                </w:rPr>
                <w:t>Notes to the Condensed Consolidated Financial Statements</w:t>
              </w:r>
            </w:hyperlink>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D2754D">
            <w:pPr>
              <w:pStyle w:val="NormalWeb"/>
              <w:spacing w:before="0" w:beforeAutospacing="0" w:after="0" w:afterAutospacing="0"/>
              <w:jc w:val="right"/>
              <w:rPr>
                <w:sz w:val="20"/>
                <w:szCs w:val="20"/>
              </w:rPr>
            </w:pPr>
            <w:r>
              <w:rPr>
                <w:sz w:val="20"/>
                <w:szCs w:val="20"/>
              </w:rPr>
              <w:t>8</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hyperlink w:anchor="i2" w:history="1">
              <w:r>
                <w:rPr>
                  <w:rStyle w:val="Hyperlink"/>
                  <w:sz w:val="20"/>
                  <w:szCs w:val="20"/>
                </w:rPr>
                <w:t>Item 2:</w:t>
              </w:r>
            </w:hyperlink>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w:anchor="i2" w:history="1">
              <w:r>
                <w:rPr>
                  <w:rStyle w:val="Hyperlink"/>
                  <w:sz w:val="20"/>
                  <w:szCs w:val="20"/>
                </w:rPr>
                <w:t>Management’s Discussion and Analysis of Financial Condition and Results of Operations</w:t>
              </w:r>
            </w:hyperlink>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D2754D">
            <w:pPr>
              <w:pStyle w:val="NormalWeb"/>
              <w:spacing w:before="0" w:beforeAutospacing="0" w:after="0" w:afterAutospacing="0"/>
              <w:jc w:val="right"/>
              <w:rPr>
                <w:sz w:val="20"/>
                <w:szCs w:val="20"/>
              </w:rPr>
            </w:pPr>
            <w:r>
              <w:rPr>
                <w:sz w:val="20"/>
                <w:szCs w:val="20"/>
              </w:rPr>
              <w:t>20</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hyperlink w:anchor="i3" w:history="1">
              <w:r>
                <w:rPr>
                  <w:rStyle w:val="Hyperlink"/>
                  <w:sz w:val="20"/>
                  <w:szCs w:val="20"/>
                </w:rPr>
                <w:t>Item</w:t>
              </w:r>
              <w:r>
                <w:rPr>
                  <w:rStyle w:val="Hyperlink"/>
                  <w:sz w:val="20"/>
                  <w:szCs w:val="20"/>
                </w:rPr>
                <w:t xml:space="preserve"> 3:</w:t>
              </w:r>
            </w:hyperlink>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w:anchor="i3" w:history="1">
              <w:r>
                <w:rPr>
                  <w:rStyle w:val="Hyperlink"/>
                  <w:sz w:val="20"/>
                  <w:szCs w:val="20"/>
                </w:rPr>
                <w:t>Quantitative and Qualitative Disclosures about Market Risk</w:t>
              </w:r>
            </w:hyperlink>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D2754D">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hyperlink w:anchor="i4" w:history="1">
              <w:r>
                <w:rPr>
                  <w:rStyle w:val="Hyperlink"/>
                  <w:sz w:val="20"/>
                  <w:szCs w:val="20"/>
                </w:rPr>
                <w:t>Item 4:</w:t>
              </w:r>
            </w:hyperlink>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w:anchor="i4" w:history="1">
              <w:r>
                <w:rPr>
                  <w:rStyle w:val="Hyperlink"/>
                  <w:sz w:val="20"/>
                  <w:szCs w:val="20"/>
                </w:rPr>
                <w:t>Controls and Procedures</w:t>
              </w:r>
            </w:hyperlink>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D2754D">
            <w:pPr>
              <w:pStyle w:val="NormalWeb"/>
              <w:spacing w:before="0" w:beforeAutospacing="0" w:after="0" w:afterAutospacing="0"/>
              <w:jc w:val="right"/>
              <w:rPr>
                <w:sz w:val="20"/>
                <w:szCs w:val="20"/>
              </w:rPr>
            </w:pPr>
            <w:r>
              <w:rPr>
                <w:sz w:val="20"/>
                <w:szCs w:val="20"/>
              </w:rPr>
              <w:t>21</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FFFFFF"/>
            <w:vAlign w:val="center"/>
            <w:hideMark/>
          </w:tcPr>
          <w:p w:rsidR="00000000" w:rsidRDefault="00D2754D">
            <w:pPr>
              <w:pStyle w:val="NormalWeb"/>
              <w:spacing w:before="0" w:beforeAutospacing="0" w:after="0" w:afterAutospacing="0"/>
              <w:jc w:val="both"/>
              <w:rPr>
                <w:sz w:val="20"/>
                <w:szCs w:val="20"/>
              </w:rPr>
            </w:pPr>
            <w:hyperlink w:anchor="p2" w:history="1">
              <w:r>
                <w:rPr>
                  <w:rStyle w:val="Hyperlink"/>
                  <w:b/>
                  <w:bCs/>
                  <w:sz w:val="20"/>
                  <w:szCs w:val="20"/>
                </w:rPr>
                <w:t>PART II</w:t>
              </w:r>
            </w:hyperlink>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D2754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D2754D">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hyperlink w:anchor="p2i1" w:history="1">
              <w:r>
                <w:rPr>
                  <w:rStyle w:val="Hyperlink"/>
                  <w:sz w:val="20"/>
                  <w:szCs w:val="20"/>
                </w:rPr>
                <w:t>Item 1:</w:t>
              </w:r>
            </w:hyperlink>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w:anchor="p2i1" w:history="1">
              <w:r>
                <w:rPr>
                  <w:rStyle w:val="Hyperlink"/>
                  <w:sz w:val="20"/>
                  <w:szCs w:val="20"/>
                </w:rPr>
                <w:t>Legal Proceedings</w:t>
              </w:r>
            </w:hyperlink>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D2754D">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hyperlink w:anchor="p2i2" w:history="1">
              <w:r>
                <w:rPr>
                  <w:rStyle w:val="Hyperlink"/>
                  <w:sz w:val="20"/>
                  <w:szCs w:val="20"/>
                </w:rPr>
                <w:t>Item 2:</w:t>
              </w:r>
            </w:hyperlink>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w:anchor="p2i2" w:history="1">
              <w:r>
                <w:rPr>
                  <w:rStyle w:val="Hyperlink"/>
                  <w:sz w:val="20"/>
                  <w:szCs w:val="20"/>
                </w:rPr>
                <w:t>Unregistered Sales of Equity Securities and Use of Proceeds</w:t>
              </w:r>
            </w:hyperlink>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D2754D">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hyperlink w:anchor="p2i3" w:history="1">
              <w:r>
                <w:rPr>
                  <w:rStyle w:val="Hyperlink"/>
                  <w:sz w:val="20"/>
                  <w:szCs w:val="20"/>
                </w:rPr>
                <w:t>Item 3:</w:t>
              </w:r>
            </w:hyperlink>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w:anchor="p2i3" w:history="1">
              <w:r>
                <w:rPr>
                  <w:rStyle w:val="Hyperlink"/>
                  <w:sz w:val="20"/>
                  <w:szCs w:val="20"/>
                </w:rPr>
                <w:t>Defaults Upon Senior Securities</w:t>
              </w:r>
            </w:hyperlink>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D2754D">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hyperlink w:anchor="p2i4" w:history="1">
              <w:r>
                <w:rPr>
                  <w:rStyle w:val="Hyperlink"/>
                  <w:sz w:val="20"/>
                  <w:szCs w:val="20"/>
                </w:rPr>
                <w:t>Item 4:</w:t>
              </w:r>
            </w:hyperlink>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w:anchor="p2i4" w:history="1">
              <w:r>
                <w:rPr>
                  <w:rStyle w:val="Hyperlink"/>
                  <w:sz w:val="20"/>
                  <w:szCs w:val="20"/>
                </w:rPr>
                <w:t>Mine Safety Disclosures</w:t>
              </w:r>
            </w:hyperlink>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D2754D">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hyperlink w:anchor="p2i5" w:history="1">
              <w:r>
                <w:rPr>
                  <w:rStyle w:val="Hyperlink"/>
                  <w:sz w:val="20"/>
                  <w:szCs w:val="20"/>
                </w:rPr>
                <w:t>Item 5:</w:t>
              </w:r>
            </w:hyperlink>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w:anchor="p2i5" w:history="1">
              <w:r>
                <w:rPr>
                  <w:rStyle w:val="Hyperlink"/>
                  <w:sz w:val="20"/>
                  <w:szCs w:val="20"/>
                </w:rPr>
                <w:t>Other Information</w:t>
              </w:r>
            </w:hyperlink>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D2754D">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hyperlink w:anchor="exhibit" w:history="1">
              <w:r>
                <w:rPr>
                  <w:rStyle w:val="Hyperlink"/>
                  <w:sz w:val="20"/>
                  <w:szCs w:val="20"/>
                </w:rPr>
                <w:t>Item 6.</w:t>
              </w:r>
            </w:hyperlink>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w:anchor="exhibit" w:history="1">
              <w:r>
                <w:rPr>
                  <w:rStyle w:val="Hyperlink"/>
                  <w:sz w:val="20"/>
                  <w:szCs w:val="20"/>
                </w:rPr>
                <w:t>Exhibits and Reports on Form 8-K</w:t>
              </w:r>
            </w:hyperlink>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D2754D">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CCEEFF"/>
            <w:vAlign w:val="center"/>
            <w:hideMark/>
          </w:tcPr>
          <w:p w:rsidR="00000000" w:rsidRDefault="00D2754D">
            <w:pPr>
              <w:pStyle w:val="NormalWeb"/>
              <w:spacing w:before="0" w:beforeAutospacing="0" w:after="0" w:afterAutospacing="0"/>
              <w:jc w:val="both"/>
              <w:rPr>
                <w:sz w:val="20"/>
                <w:szCs w:val="20"/>
              </w:rPr>
            </w:pPr>
            <w:hyperlink w:anchor="sig" w:history="1">
              <w:r>
                <w:rPr>
                  <w:rStyle w:val="Hyperlink"/>
                  <w:b/>
                  <w:bCs/>
                  <w:sz w:val="20"/>
                  <w:szCs w:val="20"/>
                </w:rPr>
                <w:t>Signature</w:t>
              </w:r>
            </w:hyperlink>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D2754D">
            <w:pPr>
              <w:pStyle w:val="NormalWeb"/>
              <w:spacing w:before="0" w:beforeAutospacing="0" w:after="0" w:afterAutospacing="0"/>
              <w:jc w:val="right"/>
              <w:rPr>
                <w:sz w:val="20"/>
                <w:szCs w:val="20"/>
              </w:rPr>
            </w:pPr>
            <w:r>
              <w:rPr>
                <w:sz w:val="20"/>
                <w:szCs w:val="20"/>
              </w:rPr>
              <w:t>24</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CCEEFF"/>
            <w:vAlign w:val="center"/>
            <w:hideMark/>
          </w:tcPr>
          <w:p w:rsidR="00000000" w:rsidRDefault="00D2754D">
            <w:pPr>
              <w:rPr>
                <w:sz w:val="20"/>
                <w:szCs w:val="20"/>
              </w:rPr>
            </w:pPr>
          </w:p>
        </w:tc>
        <w:tc>
          <w:tcPr>
            <w:tcW w:w="0" w:type="auto"/>
            <w:shd w:val="clear" w:color="auto" w:fill="CCEEFF"/>
            <w:vAlign w:val="center"/>
            <w:hideMark/>
          </w:tcPr>
          <w:p w:rsidR="00000000" w:rsidRDefault="00D2754D">
            <w:pPr>
              <w:pStyle w:val="NormalWeb"/>
              <w:spacing w:before="0" w:beforeAutospacing="0" w:after="0" w:afterAutospacing="0"/>
              <w:jc w:val="right"/>
              <w:rPr>
                <w:sz w:val="20"/>
                <w:szCs w:val="20"/>
              </w:rPr>
            </w:pPr>
            <w:r>
              <w:rPr>
                <w:sz w:val="20"/>
                <w:szCs w:val="20"/>
              </w:rPr>
              <w:t>EX 31</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FFFFFF"/>
            <w:vAlign w:val="center"/>
            <w:hideMark/>
          </w:tcPr>
          <w:p w:rsidR="00000000" w:rsidRDefault="00D2754D">
            <w:pPr>
              <w:rPr>
                <w:sz w:val="20"/>
                <w:szCs w:val="20"/>
              </w:rPr>
            </w:pPr>
          </w:p>
        </w:tc>
        <w:tc>
          <w:tcPr>
            <w:tcW w:w="0" w:type="auto"/>
            <w:shd w:val="clear" w:color="auto" w:fill="FFFFFF"/>
            <w:vAlign w:val="center"/>
            <w:hideMark/>
          </w:tcPr>
          <w:p w:rsidR="00000000" w:rsidRDefault="00D2754D">
            <w:pPr>
              <w:pStyle w:val="NormalWeb"/>
              <w:spacing w:before="0" w:beforeAutospacing="0" w:after="0" w:afterAutospacing="0"/>
              <w:jc w:val="right"/>
              <w:rPr>
                <w:sz w:val="20"/>
                <w:szCs w:val="20"/>
              </w:rPr>
            </w:pPr>
            <w:r>
              <w:rPr>
                <w:sz w:val="20"/>
                <w:szCs w:val="20"/>
              </w:rPr>
              <w:t>EX 32</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CCEEFF"/>
            <w:vAlign w:val="center"/>
            <w:hideMark/>
          </w:tcPr>
          <w:p w:rsidR="00000000" w:rsidRDefault="00D2754D">
            <w:pPr>
              <w:rPr>
                <w:sz w:val="20"/>
                <w:szCs w:val="20"/>
              </w:rPr>
            </w:pPr>
          </w:p>
        </w:tc>
        <w:tc>
          <w:tcPr>
            <w:tcW w:w="0" w:type="auto"/>
            <w:shd w:val="clear" w:color="auto" w:fill="CCEEFF"/>
            <w:vAlign w:val="center"/>
            <w:hideMark/>
          </w:tcPr>
          <w:p w:rsidR="00000000" w:rsidRDefault="00D2754D">
            <w:pPr>
              <w:pStyle w:val="NormalWeb"/>
              <w:spacing w:before="0" w:beforeAutospacing="0" w:after="0" w:afterAutospacing="0"/>
              <w:jc w:val="right"/>
              <w:rPr>
                <w:sz w:val="20"/>
                <w:szCs w:val="20"/>
              </w:rPr>
            </w:pPr>
            <w:r>
              <w:rPr>
                <w:sz w:val="20"/>
                <w:szCs w:val="20"/>
              </w:rPr>
              <w:t>EX 101.INS</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FFFFFF"/>
            <w:vAlign w:val="center"/>
            <w:hideMark/>
          </w:tcPr>
          <w:p w:rsidR="00000000" w:rsidRDefault="00D2754D">
            <w:pPr>
              <w:rPr>
                <w:sz w:val="20"/>
                <w:szCs w:val="20"/>
              </w:rPr>
            </w:pPr>
          </w:p>
        </w:tc>
        <w:tc>
          <w:tcPr>
            <w:tcW w:w="0" w:type="auto"/>
            <w:shd w:val="clear" w:color="auto" w:fill="FFFFFF"/>
            <w:vAlign w:val="center"/>
            <w:hideMark/>
          </w:tcPr>
          <w:p w:rsidR="00000000" w:rsidRDefault="00D2754D">
            <w:pPr>
              <w:pStyle w:val="NormalWeb"/>
              <w:spacing w:before="0" w:beforeAutospacing="0" w:after="0" w:afterAutospacing="0"/>
              <w:jc w:val="right"/>
              <w:rPr>
                <w:sz w:val="20"/>
                <w:szCs w:val="20"/>
              </w:rPr>
            </w:pPr>
            <w:r>
              <w:rPr>
                <w:sz w:val="20"/>
                <w:szCs w:val="20"/>
              </w:rPr>
              <w:t>EX 101.SCH</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EXHIBIT 101.CAL XBRL Taxonomy Extension Calculation Document</w:t>
            </w:r>
          </w:p>
        </w:tc>
        <w:tc>
          <w:tcPr>
            <w:tcW w:w="0" w:type="auto"/>
            <w:shd w:val="clear" w:color="auto" w:fill="CCEEFF"/>
            <w:vAlign w:val="center"/>
            <w:hideMark/>
          </w:tcPr>
          <w:p w:rsidR="00000000" w:rsidRDefault="00D2754D">
            <w:pPr>
              <w:rPr>
                <w:sz w:val="20"/>
                <w:szCs w:val="20"/>
              </w:rPr>
            </w:pPr>
          </w:p>
        </w:tc>
        <w:tc>
          <w:tcPr>
            <w:tcW w:w="0" w:type="auto"/>
            <w:shd w:val="clear" w:color="auto" w:fill="CCEEFF"/>
            <w:vAlign w:val="center"/>
            <w:hideMark/>
          </w:tcPr>
          <w:p w:rsidR="00000000" w:rsidRDefault="00D2754D">
            <w:pPr>
              <w:pStyle w:val="NormalWeb"/>
              <w:spacing w:before="0" w:beforeAutospacing="0" w:after="0" w:afterAutospacing="0"/>
              <w:jc w:val="right"/>
              <w:rPr>
                <w:sz w:val="20"/>
                <w:szCs w:val="20"/>
              </w:rPr>
            </w:pPr>
            <w:r>
              <w:rPr>
                <w:sz w:val="20"/>
                <w:szCs w:val="20"/>
              </w:rPr>
              <w:t>EX 101.CAL</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lastRenderedPageBreak/>
              <w:t>EXHIBIT 101.DEF XBRL Taxonomy Extension Definition Document</w:t>
            </w:r>
          </w:p>
        </w:tc>
        <w:tc>
          <w:tcPr>
            <w:tcW w:w="0" w:type="auto"/>
            <w:shd w:val="clear" w:color="auto" w:fill="FFFFFF"/>
            <w:vAlign w:val="center"/>
            <w:hideMark/>
          </w:tcPr>
          <w:p w:rsidR="00000000" w:rsidRDefault="00D2754D">
            <w:pPr>
              <w:rPr>
                <w:sz w:val="20"/>
                <w:szCs w:val="20"/>
              </w:rPr>
            </w:pPr>
          </w:p>
        </w:tc>
        <w:tc>
          <w:tcPr>
            <w:tcW w:w="0" w:type="auto"/>
            <w:shd w:val="clear" w:color="auto" w:fill="FFFFFF"/>
            <w:vAlign w:val="center"/>
            <w:hideMark/>
          </w:tcPr>
          <w:p w:rsidR="00000000" w:rsidRDefault="00D2754D">
            <w:pPr>
              <w:pStyle w:val="NormalWeb"/>
              <w:spacing w:before="0" w:beforeAutospacing="0" w:after="0" w:afterAutospacing="0"/>
              <w:jc w:val="right"/>
              <w:rPr>
                <w:sz w:val="20"/>
                <w:szCs w:val="20"/>
              </w:rPr>
            </w:pPr>
            <w:r>
              <w:rPr>
                <w:sz w:val="20"/>
                <w:szCs w:val="20"/>
              </w:rPr>
              <w:t>EX 101.DEF</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CCEEFF"/>
            <w:vAlign w:val="center"/>
            <w:hideMark/>
          </w:tcPr>
          <w:p w:rsidR="00000000" w:rsidRDefault="00D2754D">
            <w:pPr>
              <w:rPr>
                <w:sz w:val="20"/>
                <w:szCs w:val="20"/>
              </w:rPr>
            </w:pPr>
          </w:p>
        </w:tc>
        <w:tc>
          <w:tcPr>
            <w:tcW w:w="0" w:type="auto"/>
            <w:shd w:val="clear" w:color="auto" w:fill="CCEEFF"/>
            <w:vAlign w:val="center"/>
            <w:hideMark/>
          </w:tcPr>
          <w:p w:rsidR="00000000" w:rsidRDefault="00D2754D">
            <w:pPr>
              <w:pStyle w:val="NormalWeb"/>
              <w:spacing w:before="0" w:beforeAutospacing="0" w:after="0" w:afterAutospacing="0"/>
              <w:jc w:val="right"/>
              <w:rPr>
                <w:sz w:val="20"/>
                <w:szCs w:val="20"/>
              </w:rPr>
            </w:pPr>
            <w:r>
              <w:rPr>
                <w:sz w:val="20"/>
                <w:szCs w:val="20"/>
              </w:rPr>
              <w:t>EX 101.LAB</w:t>
            </w:r>
          </w:p>
        </w:tc>
        <w:tc>
          <w:tcPr>
            <w:tcW w:w="0" w:type="auto"/>
            <w:shd w:val="clear" w:color="auto" w:fill="CCEE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855849836"/>
          <w:trHeight w:val="225"/>
          <w:tblCellSpacing w:w="15" w:type="dxa"/>
          <w:jc w:val="center"/>
        </w:trPr>
        <w:tc>
          <w:tcPr>
            <w:tcW w:w="0" w:type="auto"/>
            <w:gridSpan w:val="2"/>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FFFFFF"/>
            <w:vAlign w:val="center"/>
            <w:hideMark/>
          </w:tcPr>
          <w:p w:rsidR="00000000" w:rsidRDefault="00D2754D">
            <w:pPr>
              <w:rPr>
                <w:sz w:val="20"/>
                <w:szCs w:val="20"/>
              </w:rPr>
            </w:pPr>
          </w:p>
        </w:tc>
        <w:tc>
          <w:tcPr>
            <w:tcW w:w="0" w:type="auto"/>
            <w:shd w:val="clear" w:color="auto" w:fill="FFFFFF"/>
            <w:vAlign w:val="center"/>
            <w:hideMark/>
          </w:tcPr>
          <w:p w:rsidR="00000000" w:rsidRDefault="00D2754D">
            <w:pPr>
              <w:pStyle w:val="NormalWeb"/>
              <w:spacing w:before="0" w:beforeAutospacing="0" w:after="0" w:afterAutospacing="0"/>
              <w:jc w:val="right"/>
              <w:rPr>
                <w:sz w:val="20"/>
                <w:szCs w:val="20"/>
              </w:rPr>
            </w:pPr>
            <w:r>
              <w:rPr>
                <w:sz w:val="20"/>
                <w:szCs w:val="20"/>
              </w:rPr>
              <w:t>EX 101.PRE</w:t>
            </w:r>
          </w:p>
        </w:tc>
        <w:tc>
          <w:tcPr>
            <w:tcW w:w="0" w:type="auto"/>
            <w:shd w:val="clear" w:color="auto" w:fill="FFFFFF"/>
            <w:vAlign w:val="center"/>
            <w:hideMark/>
          </w:tcPr>
          <w:p w:rsidR="00000000" w:rsidRDefault="00D2754D">
            <w:pPr>
              <w:pStyle w:val="NormalWeb"/>
              <w:spacing w:before="0" w:beforeAutospacing="0" w:after="0" w:afterAutospacing="0"/>
              <w:jc w:val="both"/>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2</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PART 1: FINANCIAL INFORMATIO</w:t>
      </w:r>
      <w:r>
        <w:rPr>
          <w:rStyle w:val="atag"/>
          <w:b/>
          <w:bCs/>
          <w:sz w:val="20"/>
          <w:szCs w:val="20"/>
        </w:rPr>
        <w:t>N</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I: Condensed Consolidated Financial Statements for the three and six months ending December 31, 2022 (unaudited)</w:t>
      </w:r>
      <w:r>
        <w:rPr>
          <w:rStyle w:val="atag"/>
          <w:b/>
          <w:bCs/>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w:t>
      </w: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AND SUBSIDIARIES</w:t>
      </w:r>
    </w:p>
    <w:p w:rsidR="00000000" w:rsidRDefault="00D2754D">
      <w:pPr>
        <w:pStyle w:val="NormalWeb"/>
        <w:spacing w:before="0" w:beforeAutospacing="0" w:after="0" w:afterAutospacing="0"/>
        <w:ind w:left="7"/>
        <w:jc w:val="center"/>
        <w:divId w:val="855849836"/>
        <w:rPr>
          <w:sz w:val="20"/>
          <w:szCs w:val="20"/>
        </w:rPr>
      </w:pPr>
      <w:r>
        <w:rPr>
          <w:rStyle w:val="atag"/>
          <w:b/>
          <w:bCs/>
          <w:sz w:val="20"/>
          <w:szCs w:val="20"/>
        </w:rPr>
        <w:t>CONDENSED CONSOLIDATED BALANCE SHEET</w:t>
      </w:r>
      <w:r>
        <w:rPr>
          <w:rStyle w:val="atag"/>
          <w:b/>
          <w:bCs/>
          <w:sz w:val="20"/>
          <w:szCs w:val="20"/>
        </w:rPr>
        <w:t>S</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705"/>
        <w:gridCol w:w="96"/>
        <w:gridCol w:w="130"/>
        <w:gridCol w:w="997"/>
        <w:gridCol w:w="97"/>
        <w:gridCol w:w="96"/>
        <w:gridCol w:w="130"/>
        <w:gridCol w:w="997"/>
        <w:gridCol w:w="112"/>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 xml:space="preserve">December 31, </w:t>
            </w:r>
          </w:p>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 xml:space="preserve">June 30, </w:t>
            </w:r>
          </w:p>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bottom"/>
            <w:hideMark/>
          </w:tcPr>
          <w:p w:rsidR="00000000" w:rsidRDefault="00D2754D">
            <w:pPr>
              <w:pStyle w:val="NormalWeb"/>
              <w:spacing w:before="0" w:beforeAutospacing="0" w:after="0" w:afterAutospacing="0"/>
              <w:rPr>
                <w:sz w:val="20"/>
                <w:szCs w:val="20"/>
              </w:rPr>
            </w:pPr>
            <w:r>
              <w:rPr>
                <w:rStyle w:val="Strong"/>
                <w:sz w:val="20"/>
                <w:szCs w:val="20"/>
              </w:rPr>
              <w:t>ASSETS</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(Unaudited)</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hideMark/>
          </w:tcPr>
          <w:p w:rsidR="00000000" w:rsidRDefault="00D2754D">
            <w:pPr>
              <w:pStyle w:val="NormalWeb"/>
              <w:spacing w:before="0" w:beforeAutospacing="0" w:after="0" w:afterAutospacing="0"/>
              <w:rPr>
                <w:sz w:val="20"/>
                <w:szCs w:val="20"/>
              </w:rPr>
            </w:pPr>
            <w:r>
              <w:rPr>
                <w:sz w:val="20"/>
                <w:szCs w:val="20"/>
              </w:rPr>
              <w:t>CURRENT ASSETS</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Cash</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101,85</w:t>
            </w:r>
            <w:r>
              <w:rPr>
                <w:rFonts w:eastAsia="Times New Roman"/>
                <w:sz w:val="20"/>
                <w:szCs w:val="20"/>
              </w:rPr>
              <w:t>4</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94,21</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1,14</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1,11</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Total Current Assets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102,99</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95,33</w:t>
            </w:r>
            <w:r>
              <w:rPr>
                <w:rFonts w:eastAsia="Times New Roman"/>
                <w:sz w:val="20"/>
                <w:szCs w:val="20"/>
              </w:rPr>
              <w:t>3</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Property and equipment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578,76</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Style w:val="Strong"/>
                <w:rFonts w:eastAsia="Times New Roman"/>
                <w:sz w:val="20"/>
                <w:szCs w:val="20"/>
              </w:rPr>
              <w:t>681,76</w:t>
            </w:r>
            <w:r>
              <w:rPr>
                <w:rStyle w:val="Strong"/>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Style w:val="Strong"/>
                <w:rFonts w:eastAsia="Times New Roman"/>
                <w:sz w:val="20"/>
                <w:szCs w:val="20"/>
              </w:rPr>
              <w:t>662,18</w:t>
            </w:r>
            <w:r>
              <w:rPr>
                <w:rStyle w:val="Strong"/>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CURRENT LIABILITIES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Accounts payable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2,10</w:t>
            </w:r>
            <w:r>
              <w:rPr>
                <w:rFonts w:eastAsia="Times New Roman"/>
                <w:sz w:val="20"/>
                <w:szCs w:val="20"/>
              </w:rPr>
              <w:t>0</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Contract liabilities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2,99</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2,92</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Taxes payable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57,52</w:t>
            </w:r>
            <w:r>
              <w:rPr>
                <w:rFonts w:eastAsia="Times New Roman"/>
                <w:sz w:val="20"/>
                <w:szCs w:val="20"/>
              </w:rPr>
              <w:t>3</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51,11</w:t>
            </w:r>
            <w:r>
              <w:rPr>
                <w:rFonts w:eastAsia="Times New Roman"/>
                <w:sz w:val="20"/>
                <w:szCs w:val="20"/>
              </w:rPr>
              <w:t>1</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142,64</w:t>
            </w:r>
            <w:r>
              <w:rPr>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16,88</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143,88</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137,58</w:t>
            </w:r>
            <w:r>
              <w:rPr>
                <w:rFonts w:eastAsia="Times New Roman"/>
                <w:sz w:val="20"/>
                <w:szCs w:val="20"/>
              </w:rPr>
              <w:t>3</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Total Current Liabilities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349,15</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208,51</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Long Term Liabilities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134,00</w:t>
            </w:r>
            <w:r>
              <w:rPr>
                <w:rFonts w:eastAsia="Times New Roman"/>
                <w:sz w:val="20"/>
                <w:szCs w:val="20"/>
              </w:rPr>
              <w:t>8</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Total Long-term Liabilities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134,00</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Total Liabilities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349,15</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342,52</w:t>
            </w:r>
            <w:r>
              <w:rPr>
                <w:rFonts w:eastAsia="Times New Roman"/>
                <w:sz w:val="20"/>
                <w:szCs w:val="20"/>
              </w:rPr>
              <w:t>0</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STOCKHOLDERS’ EQUITY-</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 xml:space="preserve">Convertible preferred stock, Series 2,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10,000,00</w:t>
            </w:r>
            <w:r>
              <w:rPr>
                <w:sz w:val="20"/>
                <w:szCs w:val="20"/>
              </w:rPr>
              <w:t>0</w:t>
            </w:r>
            <w:r>
              <w:rPr>
                <w:sz w:val="20"/>
                <w:szCs w:val="20"/>
              </w:rPr>
              <w:t xml:space="preserve"> shares; issued and outstanding</w:t>
            </w:r>
            <w:r>
              <w:rPr>
                <w:sz w:val="20"/>
                <w:szCs w:val="20"/>
              </w:rPr>
              <w:t xml:space="preserve"> </w:t>
            </w:r>
            <w:r>
              <w:rPr>
                <w:sz w:val="20"/>
                <w:szCs w:val="20"/>
              </w:rPr>
              <w:t>5,00</w:t>
            </w:r>
            <w:r>
              <w:rPr>
                <w:sz w:val="20"/>
                <w:szCs w:val="20"/>
              </w:rPr>
              <w:t>0</w:t>
            </w:r>
            <w:r>
              <w:rPr>
                <w:sz w:val="20"/>
                <w:szCs w:val="20"/>
              </w:rPr>
              <w:t xml:space="preserve"> </w:t>
            </w:r>
            <w:r>
              <w:rPr>
                <w:sz w:val="20"/>
                <w:szCs w:val="20"/>
              </w:rPr>
              <w:t>at December 31, 2022 and June 30, 2022</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 xml:space="preserve">Convertible preferred stock, Series 3,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1,670,00</w:t>
            </w:r>
            <w:r>
              <w:rPr>
                <w:sz w:val="20"/>
                <w:szCs w:val="20"/>
              </w:rPr>
              <w:t>0</w:t>
            </w:r>
            <w:r>
              <w:rPr>
                <w:sz w:val="20"/>
                <w:szCs w:val="20"/>
              </w:rPr>
              <w:t xml:space="preserve"> shares; zero shares issued and outstanding</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Convertible preferred stock, Series 5; no par value,</w:t>
            </w:r>
            <w:r>
              <w:rPr>
                <w:sz w:val="20"/>
                <w:szCs w:val="20"/>
              </w:rPr>
              <w:t xml:space="preserve"> </w:t>
            </w:r>
            <w:r>
              <w:rPr>
                <w:sz w:val="20"/>
                <w:szCs w:val="20"/>
              </w:rPr>
              <w:t>1</w:t>
            </w:r>
            <w:r>
              <w:rPr>
                <w:sz w:val="20"/>
                <w:szCs w:val="20"/>
              </w:rPr>
              <w:t xml:space="preserve"> share authorized and zero shares issued and outstanding.</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 xml:space="preserve">Common stock, par value </w:t>
            </w:r>
            <w:r>
              <w:rPr>
                <w:sz w:val="20"/>
                <w:szCs w:val="20"/>
              </w:rPr>
              <w:t>$</w:t>
            </w:r>
            <w:r>
              <w:rPr>
                <w:sz w:val="20"/>
                <w:szCs w:val="20"/>
              </w:rPr>
              <w:t>0.0</w:t>
            </w:r>
            <w:r>
              <w:rPr>
                <w:sz w:val="20"/>
                <w:szCs w:val="20"/>
              </w:rPr>
              <w:t>1</w:t>
            </w:r>
            <w:r>
              <w:rPr>
                <w:sz w:val="20"/>
                <w:szCs w:val="20"/>
              </w:rPr>
              <w:t>; At December 31, 2022 and June 30, 2022, authorized</w:t>
            </w:r>
            <w:r>
              <w:rPr>
                <w:sz w:val="20"/>
                <w:szCs w:val="20"/>
              </w:rPr>
              <w:t xml:space="preserve"> </w:t>
            </w:r>
            <w:r>
              <w:rPr>
                <w:sz w:val="20"/>
                <w:szCs w:val="20"/>
              </w:rPr>
              <w:t>60,000,00</w:t>
            </w:r>
            <w:r>
              <w:rPr>
                <w:sz w:val="20"/>
                <w:szCs w:val="20"/>
              </w:rPr>
              <w:t>0</w:t>
            </w:r>
            <w:r>
              <w:rPr>
                <w:sz w:val="20"/>
                <w:szCs w:val="20"/>
              </w:rPr>
              <w:t xml:space="preserve"> shares; issued and outstanding</w:t>
            </w:r>
            <w:r>
              <w:rPr>
                <w:sz w:val="20"/>
                <w:szCs w:val="20"/>
              </w:rPr>
              <w:t xml:space="preserve"> </w:t>
            </w:r>
            <w:r>
              <w:rPr>
                <w:sz w:val="20"/>
                <w:szCs w:val="20"/>
              </w:rPr>
              <w:t>3,292,94</w:t>
            </w:r>
            <w:r>
              <w:rPr>
                <w:sz w:val="20"/>
                <w:szCs w:val="20"/>
              </w:rPr>
              <w:t>5</w:t>
            </w:r>
            <w:r>
              <w:rPr>
                <w:sz w:val="20"/>
                <w:szCs w:val="20"/>
              </w:rPr>
              <w:t xml:space="preserve"> shares and</w:t>
            </w:r>
            <w:r>
              <w:rPr>
                <w:sz w:val="20"/>
                <w:szCs w:val="20"/>
              </w:rPr>
              <w:t xml:space="preserve"> </w:t>
            </w:r>
            <w:r>
              <w:rPr>
                <w:sz w:val="20"/>
                <w:szCs w:val="20"/>
              </w:rPr>
              <w:t>3,292,94</w:t>
            </w:r>
            <w:r>
              <w:rPr>
                <w:sz w:val="20"/>
                <w:szCs w:val="20"/>
              </w:rPr>
              <w:t>5</w:t>
            </w:r>
            <w:r>
              <w:rPr>
                <w:sz w:val="20"/>
                <w:szCs w:val="20"/>
              </w:rPr>
              <w:t xml:space="preserve"> shares, respectively</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Accumulated other comprehensive income (loss)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8,12</w:t>
            </w:r>
            <w:r>
              <w:rPr>
                <w:rFonts w:eastAsia="Times New Roman"/>
                <w:sz w:val="20"/>
                <w:szCs w:val="20"/>
              </w:rPr>
              <w:t>3</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5,82</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lastRenderedPageBreak/>
              <w:t>Accumulated deficit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20,765,60</w:t>
            </w:r>
            <w:r>
              <w:rPr>
                <w:rFonts w:eastAsia="Times New Roman"/>
                <w:sz w:val="20"/>
                <w:szCs w:val="20"/>
              </w:rPr>
              <w:t>7</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20,764,60</w:t>
            </w:r>
            <w:r>
              <w:rPr>
                <w:rFonts w:eastAsia="Times New Roman"/>
                <w:sz w:val="20"/>
                <w:szCs w:val="20"/>
              </w:rPr>
              <w:t>6</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332,61</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319,66</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Style w:val="Strong"/>
                <w:rFonts w:eastAsia="Times New Roman"/>
                <w:sz w:val="20"/>
                <w:szCs w:val="20"/>
              </w:rPr>
              <w:t>681,76</w:t>
            </w:r>
            <w:r>
              <w:rPr>
                <w:rStyle w:val="Strong"/>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Style w:val="Strong"/>
                <w:rFonts w:eastAsia="Times New Roman"/>
                <w:sz w:val="20"/>
                <w:szCs w:val="20"/>
              </w:rPr>
              <w:t>662,18</w:t>
            </w:r>
            <w:r>
              <w:rPr>
                <w:rStyle w:val="Strong"/>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center"/>
        <w:divId w:val="855849836"/>
        <w:rPr>
          <w:sz w:val="20"/>
          <w:szCs w:val="20"/>
        </w:rPr>
      </w:pPr>
      <w:r>
        <w:rPr>
          <w:rStyle w:val="Strong"/>
          <w:sz w:val="20"/>
          <w:szCs w:val="20"/>
        </w:rPr>
        <w:t>See accompanying notes to condensed unaudited consolidated financial statements.</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3</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center"/>
        <w:divId w:val="855849836"/>
        <w:rPr>
          <w:sz w:val="20"/>
          <w:szCs w:val="20"/>
        </w:rPr>
      </w:pPr>
      <w:r>
        <w:rPr>
          <w:rStyle w:val="Strong"/>
          <w:sz w:val="20"/>
          <w:szCs w:val="20"/>
        </w:rPr>
        <w:t>ADVANCED OXYGEN TECHNOLOGIES, INC.</w:t>
      </w:r>
      <w:r>
        <w:rPr>
          <w:sz w:val="20"/>
          <w:szCs w:val="20"/>
        </w:rPr>
        <w:t xml:space="preserve"> </w:t>
      </w:r>
    </w:p>
    <w:p w:rsidR="00000000" w:rsidRDefault="00D2754D">
      <w:pPr>
        <w:pStyle w:val="NormalWeb"/>
        <w:spacing w:before="0" w:beforeAutospacing="0" w:after="0" w:afterAutospacing="0"/>
        <w:jc w:val="center"/>
        <w:divId w:val="855849836"/>
        <w:rPr>
          <w:sz w:val="20"/>
          <w:szCs w:val="20"/>
        </w:rPr>
      </w:pPr>
      <w:r>
        <w:rPr>
          <w:rStyle w:val="Strong"/>
          <w:sz w:val="20"/>
          <w:szCs w:val="20"/>
        </w:rPr>
        <w:t>AND SUBSIDIARIES</w:t>
      </w:r>
    </w:p>
    <w:p w:rsidR="00000000" w:rsidRDefault="00D2754D">
      <w:pPr>
        <w:pStyle w:val="NormalWeb"/>
        <w:spacing w:before="0" w:beforeAutospacing="0" w:after="0" w:afterAutospacing="0"/>
        <w:jc w:val="center"/>
        <w:divId w:val="855849836"/>
        <w:rPr>
          <w:sz w:val="20"/>
          <w:szCs w:val="20"/>
        </w:rPr>
      </w:pPr>
      <w:r>
        <w:rPr>
          <w:rStyle w:val="atag"/>
          <w:b/>
          <w:bCs/>
          <w:sz w:val="20"/>
          <w:szCs w:val="20"/>
        </w:rPr>
        <w:t>CONDENSED CONSOLIDATED STATEMENTS OF OPERATIONS AND COMPREHENSIVE INCOME (LOSS</w:t>
      </w:r>
      <w:r>
        <w:rPr>
          <w:rStyle w:val="atag"/>
          <w:b/>
          <w:bCs/>
          <w:sz w:val="20"/>
          <w:szCs w:val="20"/>
        </w:rPr>
        <w:t>)</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(Unaudited)</w:t>
      </w: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3"/>
        <w:gridCol w:w="110"/>
        <w:gridCol w:w="130"/>
        <w:gridCol w:w="830"/>
        <w:gridCol w:w="110"/>
        <w:gridCol w:w="110"/>
        <w:gridCol w:w="130"/>
        <w:gridCol w:w="830"/>
        <w:gridCol w:w="110"/>
        <w:gridCol w:w="110"/>
        <w:gridCol w:w="130"/>
        <w:gridCol w:w="830"/>
        <w:gridCol w:w="110"/>
        <w:gridCol w:w="111"/>
        <w:gridCol w:w="130"/>
        <w:gridCol w:w="830"/>
        <w:gridCol w:w="126"/>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For the three months ended</w:t>
            </w:r>
          </w:p>
          <w:p w:rsidR="00000000" w:rsidRDefault="00D2754D">
            <w:pPr>
              <w:pStyle w:val="NormalWeb"/>
              <w:spacing w:before="0" w:beforeAutospacing="0" w:after="0" w:afterAutospacing="0"/>
              <w:jc w:val="center"/>
              <w:rPr>
                <w:sz w:val="20"/>
                <w:szCs w:val="20"/>
              </w:rPr>
            </w:pPr>
            <w:r>
              <w:rPr>
                <w:rStyle w:val="Strong"/>
                <w:sz w:val="20"/>
                <w:szCs w:val="20"/>
              </w:rPr>
              <w:t>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For the six months ended</w:t>
            </w:r>
          </w:p>
          <w:p w:rsidR="00000000" w:rsidRDefault="00D2754D">
            <w:pPr>
              <w:pStyle w:val="NormalWeb"/>
              <w:spacing w:before="0" w:beforeAutospacing="0" w:after="0" w:afterAutospacing="0"/>
              <w:jc w:val="center"/>
              <w:rPr>
                <w:sz w:val="20"/>
                <w:szCs w:val="20"/>
              </w:rPr>
            </w:pPr>
            <w:r>
              <w:rPr>
                <w:rStyle w:val="Strong"/>
                <w:sz w:val="20"/>
                <w:szCs w:val="20"/>
              </w:rPr>
              <w:t>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hideMark/>
          </w:tcPr>
          <w:p w:rsidR="00000000" w:rsidRDefault="00D2754D">
            <w:pPr>
              <w:pStyle w:val="NormalWeb"/>
              <w:spacing w:before="0" w:beforeAutospacing="0" w:after="0" w:afterAutospacing="0"/>
              <w:rPr>
                <w:sz w:val="20"/>
                <w:szCs w:val="20"/>
              </w:rPr>
            </w:pPr>
            <w:r>
              <w:rPr>
                <w:sz w:val="20"/>
                <w:szCs w:val="20"/>
              </w:rPr>
              <w:t>Revenues</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Rent Revenues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1,45</w:t>
            </w:r>
            <w:r>
              <w:rPr>
                <w:rFonts w:eastAsia="Times New Roman"/>
                <w:sz w:val="20"/>
                <w:szCs w:val="20"/>
              </w:rPr>
              <w:t>1</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3,03</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3,07</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4,20</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3,50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3,00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12,00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11,00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4,95</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6,03</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15,07</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15,20</w:t>
            </w:r>
            <w:r>
              <w:rPr>
                <w:rFonts w:eastAsia="Times New Roman"/>
                <w:sz w:val="20"/>
                <w:szCs w:val="20"/>
              </w:rPr>
              <w:t>5</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Income from operations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4,43</w:t>
            </w:r>
            <w:r>
              <w:rPr>
                <w:rFonts w:eastAsia="Times New Roman"/>
                <w:sz w:val="20"/>
                <w:szCs w:val="20"/>
              </w:rPr>
              <w:t>1</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3,82</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3,28</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4,84</w:t>
            </w:r>
            <w:r>
              <w:rPr>
                <w:rFonts w:eastAsia="Times New Roman"/>
                <w:sz w:val="20"/>
                <w:szCs w:val="20"/>
              </w:rPr>
              <w:t>3</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Other income (Expenses)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22</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69</w:t>
            </w:r>
            <w:r>
              <w:rPr>
                <w:rFonts w:eastAsia="Times New Roman"/>
                <w:sz w:val="20"/>
                <w:szCs w:val="20"/>
              </w:rPr>
              <w:t>8</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48</w:t>
            </w:r>
            <w:r>
              <w:rPr>
                <w:rFonts w:eastAsia="Times New Roman"/>
                <w:sz w:val="20"/>
                <w:szCs w:val="20"/>
              </w:rPr>
              <w:t>5</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1,22</w:t>
            </w:r>
            <w:r>
              <w:rPr>
                <w:rFonts w:eastAsia="Times New Roman"/>
                <w:sz w:val="20"/>
                <w:szCs w:val="20"/>
              </w:rPr>
              <w:t>7</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Gain on Tax Settlement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55,57</w:t>
            </w:r>
            <w:r>
              <w:rPr>
                <w:rFonts w:eastAsia="Times New Roman"/>
                <w:sz w:val="20"/>
                <w:szCs w:val="20"/>
              </w:rPr>
              <w:t>9</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55,57</w:t>
            </w:r>
            <w:r>
              <w:rPr>
                <w:rFonts w:eastAsia="Times New Roman"/>
                <w:sz w:val="20"/>
                <w:szCs w:val="20"/>
              </w:rPr>
              <w:t>9</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FX Income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w:t>
            </w:r>
            <w:r>
              <w:rPr>
                <w:rFonts w:eastAsia="Times New Roman"/>
                <w:sz w:val="20"/>
                <w:szCs w:val="20"/>
              </w:rPr>
              <w:t>5</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Other Income (Expenses)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w:t>
            </w:r>
            <w:r>
              <w:rPr>
                <w:rFonts w:eastAsia="Times New Roman"/>
                <w:sz w:val="20"/>
                <w:szCs w:val="20"/>
              </w:rPr>
              <w:t>5</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54,88</w:t>
            </w:r>
            <w:r>
              <w:rPr>
                <w:rFonts w:eastAsia="Times New Roman"/>
                <w:sz w:val="20"/>
                <w:szCs w:val="20"/>
              </w:rPr>
              <w:t>1</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45</w:t>
            </w:r>
            <w:r>
              <w:rPr>
                <w:rFonts w:eastAsia="Times New Roman"/>
                <w:sz w:val="20"/>
                <w:szCs w:val="20"/>
              </w:rPr>
              <w:t>1</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54,35</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Income Before Income Taxes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4,22</w:t>
            </w:r>
            <w:r>
              <w:rPr>
                <w:rFonts w:eastAsia="Times New Roman"/>
                <w:sz w:val="20"/>
                <w:szCs w:val="20"/>
              </w:rPr>
              <w:t>6</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58,70</w:t>
            </w:r>
            <w:r>
              <w:rPr>
                <w:rFonts w:eastAsia="Times New Roman"/>
                <w:sz w:val="20"/>
                <w:szCs w:val="20"/>
              </w:rPr>
              <w:t>9</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2,83</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59,19</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Income Taxes Expense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1,97</w:t>
            </w:r>
            <w:r>
              <w:rPr>
                <w:rFonts w:eastAsia="Times New Roman"/>
                <w:sz w:val="20"/>
                <w:szCs w:val="20"/>
              </w:rPr>
              <w:t>7</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1,95</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3,83</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4,01</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NET INCOME (LOSS)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2,24</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56,75</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1,00</w:t>
            </w:r>
            <w:r>
              <w:rPr>
                <w:rFonts w:eastAsia="Times New Roman"/>
                <w:sz w:val="20"/>
                <w:szCs w:val="20"/>
              </w:rPr>
              <w:t>1</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55,18</w:t>
            </w:r>
            <w:r>
              <w:rPr>
                <w:rFonts w:eastAsia="Times New Roman"/>
                <w:sz w:val="20"/>
                <w:szCs w:val="20"/>
              </w:rPr>
              <w:t>4</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Basic</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Dilutive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Basic earnings per Share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0.0</w:t>
            </w:r>
            <w:r>
              <w:rPr>
                <w:rFonts w:eastAsia="Times New Roman"/>
                <w:sz w:val="20"/>
                <w:szCs w:val="20"/>
              </w:rPr>
              <w:t>0</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Dilutive earnings per Share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0.0</w:t>
            </w:r>
            <w:r>
              <w:rPr>
                <w:rFonts w:eastAsia="Times New Roman"/>
                <w:sz w:val="20"/>
                <w:szCs w:val="20"/>
              </w:rPr>
              <w:t>0</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OTHER COMPREHENSIVE INCOME (LOSS)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NET INCOME (LOSS)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2,24</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56,75</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1,00</w:t>
            </w:r>
            <w:r>
              <w:rPr>
                <w:rFonts w:eastAsia="Times New Roman"/>
                <w:sz w:val="20"/>
                <w:szCs w:val="20"/>
              </w:rPr>
              <w:t>1</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55,18</w:t>
            </w:r>
            <w:r>
              <w:rPr>
                <w:rFonts w:eastAsia="Times New Roman"/>
                <w:sz w:val="20"/>
                <w:szCs w:val="20"/>
              </w:rPr>
              <w:t>4</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Foreign Currency Translation Adjustments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51,01</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16,47</w:t>
            </w:r>
            <w:r>
              <w:rPr>
                <w:rFonts w:eastAsia="Times New Roman"/>
                <w:sz w:val="20"/>
                <w:szCs w:val="20"/>
              </w:rPr>
              <w:t>7</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13,94</w:t>
            </w:r>
            <w:r>
              <w:rPr>
                <w:rFonts w:eastAsia="Times New Roman"/>
                <w:sz w:val="20"/>
                <w:szCs w:val="20"/>
              </w:rPr>
              <w:t>3</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32,42</w:t>
            </w:r>
            <w:r>
              <w:rPr>
                <w:rFonts w:eastAsia="Times New Roman"/>
                <w:sz w:val="20"/>
                <w:szCs w:val="20"/>
              </w:rPr>
              <w:t>3</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TOTAL COMPREHENSIVE INCOME (LOSS)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53,26</w:t>
            </w:r>
            <w:r>
              <w:rPr>
                <w:rFonts w:eastAsia="Times New Roman"/>
                <w:sz w:val="20"/>
                <w:szCs w:val="20"/>
              </w:rPr>
              <w:t>8</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40,27</w:t>
            </w:r>
            <w:r>
              <w:rPr>
                <w:rFonts w:eastAsia="Times New Roman"/>
                <w:sz w:val="20"/>
                <w:szCs w:val="20"/>
              </w:rPr>
              <w:t>8</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12,94</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22,76</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35"/>
        <w:jc w:val="center"/>
        <w:divId w:val="855849836"/>
        <w:rPr>
          <w:sz w:val="20"/>
          <w:szCs w:val="20"/>
        </w:rPr>
      </w:pPr>
      <w:r>
        <w:rPr>
          <w:rStyle w:val="Strong"/>
          <w:sz w:val="20"/>
          <w:szCs w:val="20"/>
        </w:rPr>
        <w:t>See accompanying notes to condensed unaudited consolidated financial statements.</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4</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jc w:val="center"/>
        <w:divId w:val="855849836"/>
        <w:rPr>
          <w:sz w:val="20"/>
          <w:szCs w:val="20"/>
        </w:rPr>
      </w:pPr>
      <w:r>
        <w:rPr>
          <w:rStyle w:val="atag"/>
          <w:b/>
          <w:bCs/>
          <w:sz w:val="20"/>
          <w:szCs w:val="20"/>
        </w:rPr>
        <w:t>CONDENSED CONSOLIDATED STATEMENTS OF STOCKHOLDERS’ EQUIT</w:t>
      </w:r>
      <w:r>
        <w:rPr>
          <w:rStyle w:val="atag"/>
          <w:b/>
          <w:bCs/>
          <w:sz w:val="20"/>
          <w:szCs w:val="20"/>
        </w:rPr>
        <w:t>Y</w:t>
      </w:r>
    </w:p>
    <w:p w:rsidR="00000000" w:rsidRDefault="00D2754D">
      <w:pPr>
        <w:pStyle w:val="NormalWeb"/>
        <w:spacing w:before="0" w:beforeAutospacing="0" w:after="0" w:afterAutospacing="0"/>
        <w:jc w:val="center"/>
        <w:divId w:val="855849836"/>
        <w:rPr>
          <w:sz w:val="20"/>
          <w:szCs w:val="20"/>
        </w:rPr>
      </w:pPr>
      <w:r>
        <w:rPr>
          <w:rStyle w:val="Strong"/>
          <w:sz w:val="20"/>
          <w:szCs w:val="20"/>
        </w:rPr>
        <w:t>Six-Month Period Ending December 31, 2022 and 2021</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(Unaudited)</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204"/>
        <w:gridCol w:w="80"/>
        <w:gridCol w:w="109"/>
        <w:gridCol w:w="500"/>
        <w:gridCol w:w="84"/>
        <w:gridCol w:w="84"/>
        <w:gridCol w:w="126"/>
        <w:gridCol w:w="606"/>
        <w:gridCol w:w="80"/>
        <w:gridCol w:w="80"/>
        <w:gridCol w:w="80"/>
        <w:gridCol w:w="830"/>
        <w:gridCol w:w="80"/>
        <w:gridCol w:w="80"/>
        <w:gridCol w:w="126"/>
        <w:gridCol w:w="605"/>
        <w:gridCol w:w="80"/>
        <w:gridCol w:w="80"/>
        <w:gridCol w:w="80"/>
        <w:gridCol w:w="930"/>
        <w:gridCol w:w="80"/>
        <w:gridCol w:w="80"/>
        <w:gridCol w:w="188"/>
        <w:gridCol w:w="997"/>
        <w:gridCol w:w="97"/>
        <w:gridCol w:w="80"/>
        <w:gridCol w:w="283"/>
        <w:gridCol w:w="1542"/>
        <w:gridCol w:w="97"/>
        <w:gridCol w:w="80"/>
        <w:gridCol w:w="194"/>
        <w:gridCol w:w="1014"/>
        <w:gridCol w:w="112"/>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 xml:space="preserve">Common </w:t>
            </w:r>
          </w:p>
          <w:p w:rsidR="00000000" w:rsidRDefault="00D2754D">
            <w:pPr>
              <w:pStyle w:val="NormalWeb"/>
              <w:spacing w:before="0" w:beforeAutospacing="0" w:after="0" w:afterAutospacing="0"/>
              <w:jc w:val="center"/>
              <w:rPr>
                <w:sz w:val="20"/>
                <w:szCs w:val="20"/>
              </w:rPr>
            </w:pPr>
            <w:r>
              <w:rPr>
                <w:rStyle w:val="Strong"/>
                <w:sz w:val="20"/>
                <w:szCs w:val="20"/>
              </w:rPr>
              <w:t>Stock</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 xml:space="preserve">Additional </w:t>
            </w:r>
          </w:p>
          <w:p w:rsidR="00000000" w:rsidRDefault="00D2754D">
            <w:pPr>
              <w:pStyle w:val="NormalWeb"/>
              <w:spacing w:before="0" w:beforeAutospacing="0" w:after="0" w:afterAutospacing="0"/>
              <w:jc w:val="center"/>
              <w:rPr>
                <w:sz w:val="20"/>
                <w:szCs w:val="20"/>
              </w:rPr>
            </w:pPr>
            <w:r>
              <w:rPr>
                <w:rStyle w:val="Strong"/>
                <w:sz w:val="20"/>
                <w:szCs w:val="20"/>
              </w:rPr>
              <w:t>Paid In</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Accumulated   Other Comprehensive</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Balance at June 30, 2021</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77,44</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345,93</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55,18</w:t>
            </w:r>
            <w:r>
              <w:rPr>
                <w:rFonts w:eastAsia="Times New Roman"/>
                <w:sz w:val="20"/>
                <w:szCs w:val="20"/>
              </w:rPr>
              <w:t>4</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55,18</w:t>
            </w:r>
            <w:r>
              <w:rPr>
                <w:rFonts w:eastAsia="Times New Roman"/>
                <w:sz w:val="20"/>
                <w:szCs w:val="20"/>
              </w:rPr>
              <w:t>4</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32,42</w:t>
            </w:r>
            <w:r>
              <w:rPr>
                <w:rFonts w:eastAsia="Times New Roman"/>
                <w:sz w:val="20"/>
                <w:szCs w:val="20"/>
              </w:rPr>
              <w:t>3</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32,42</w:t>
            </w:r>
            <w:r>
              <w:rPr>
                <w:rFonts w:eastAsia="Times New Roman"/>
                <w:sz w:val="20"/>
                <w:szCs w:val="20"/>
              </w:rPr>
              <w:t>3</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D2754D">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Balance at December 31, 2021</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20,766,41</w:t>
            </w:r>
            <w:r>
              <w:rPr>
                <w:rFonts w:eastAsia="Times New Roman"/>
                <w:sz w:val="20"/>
                <w:szCs w:val="20"/>
              </w:rPr>
              <w:t>4</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45,01</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368,70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Balance at June 30, 2022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20,764,60</w:t>
            </w:r>
            <w:r>
              <w:rPr>
                <w:rFonts w:eastAsia="Times New Roman"/>
                <w:sz w:val="20"/>
                <w:szCs w:val="20"/>
              </w:rPr>
              <w:t>6</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5,82</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319,66</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Net loss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1,00</w:t>
            </w:r>
            <w:r>
              <w:rPr>
                <w:rFonts w:eastAsia="Times New Roman"/>
                <w:sz w:val="20"/>
                <w:szCs w:val="20"/>
              </w:rPr>
              <w:t>1</w:t>
            </w:r>
            <w:r>
              <w:rPr>
                <w:rFonts w:eastAsia="Times New Roman"/>
                <w:sz w:val="20"/>
                <w:szCs w:val="20"/>
              </w:rPr>
              <w:t xml:space="preserve">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1,00</w:t>
            </w:r>
            <w:r>
              <w:rPr>
                <w:rFonts w:eastAsia="Times New Roman"/>
                <w:sz w:val="20"/>
                <w:szCs w:val="20"/>
              </w:rPr>
              <w:t>1</w:t>
            </w:r>
            <w:r>
              <w:rPr>
                <w:rFonts w:eastAsia="Times New Roman"/>
                <w:sz w:val="20"/>
                <w:szCs w:val="20"/>
              </w:rPr>
              <w:t xml:space="preserve">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13,94</w:t>
            </w:r>
            <w:r>
              <w:rPr>
                <w:rFonts w:eastAsia="Times New Roman"/>
                <w:sz w:val="20"/>
                <w:szCs w:val="20"/>
              </w:rPr>
              <w:t>3</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13,94</w:t>
            </w:r>
            <w:r>
              <w:rPr>
                <w:rFonts w:eastAsia="Times New Roman"/>
                <w:sz w:val="20"/>
                <w:szCs w:val="20"/>
              </w:rPr>
              <w:t>3</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Balance at December 31, 2022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20,765,60</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8,12</w:t>
            </w:r>
            <w:r>
              <w:rPr>
                <w:rFonts w:eastAsia="Times New Roman"/>
                <w:sz w:val="20"/>
                <w:szCs w:val="20"/>
              </w:rPr>
              <w:t>3</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332,61</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35"/>
        <w:jc w:val="center"/>
        <w:divId w:val="855849836"/>
        <w:rPr>
          <w:sz w:val="20"/>
          <w:szCs w:val="20"/>
        </w:rPr>
      </w:pPr>
      <w:r>
        <w:rPr>
          <w:rStyle w:val="Strong"/>
          <w:sz w:val="20"/>
          <w:szCs w:val="20"/>
        </w:rPr>
        <w:t>See accompanying notes to condensed unaudited consolidated financial statements.</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5</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jc w:val="center"/>
        <w:divId w:val="855849836"/>
        <w:rPr>
          <w:sz w:val="20"/>
          <w:szCs w:val="20"/>
        </w:rPr>
      </w:pPr>
      <w:r>
        <w:rPr>
          <w:rStyle w:val="Strong"/>
          <w:sz w:val="20"/>
          <w:szCs w:val="20"/>
        </w:rPr>
        <w:t>CONDENSED CONSOLIDATED STATEMENTS OF STOCKHOLDERS’ EQUITY</w:t>
      </w:r>
    </w:p>
    <w:p w:rsidR="00000000" w:rsidRDefault="00D2754D">
      <w:pPr>
        <w:pStyle w:val="NormalWeb"/>
        <w:spacing w:before="0" w:beforeAutospacing="0" w:after="0" w:afterAutospacing="0"/>
        <w:jc w:val="center"/>
        <w:divId w:val="855849836"/>
        <w:rPr>
          <w:sz w:val="20"/>
          <w:szCs w:val="20"/>
        </w:rPr>
      </w:pPr>
      <w:r>
        <w:rPr>
          <w:rStyle w:val="Strong"/>
          <w:sz w:val="20"/>
          <w:szCs w:val="20"/>
        </w:rPr>
        <w:t>Three-Month Period Ending December 31, 2022 and 2021</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(Unaudited)</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204"/>
        <w:gridCol w:w="80"/>
        <w:gridCol w:w="109"/>
        <w:gridCol w:w="500"/>
        <w:gridCol w:w="84"/>
        <w:gridCol w:w="84"/>
        <w:gridCol w:w="126"/>
        <w:gridCol w:w="606"/>
        <w:gridCol w:w="80"/>
        <w:gridCol w:w="80"/>
        <w:gridCol w:w="80"/>
        <w:gridCol w:w="830"/>
        <w:gridCol w:w="80"/>
        <w:gridCol w:w="80"/>
        <w:gridCol w:w="126"/>
        <w:gridCol w:w="605"/>
        <w:gridCol w:w="80"/>
        <w:gridCol w:w="80"/>
        <w:gridCol w:w="80"/>
        <w:gridCol w:w="930"/>
        <w:gridCol w:w="80"/>
        <w:gridCol w:w="80"/>
        <w:gridCol w:w="188"/>
        <w:gridCol w:w="997"/>
        <w:gridCol w:w="97"/>
        <w:gridCol w:w="80"/>
        <w:gridCol w:w="283"/>
        <w:gridCol w:w="1542"/>
        <w:gridCol w:w="97"/>
        <w:gridCol w:w="80"/>
        <w:gridCol w:w="194"/>
        <w:gridCol w:w="1014"/>
        <w:gridCol w:w="112"/>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 xml:space="preserve">Common </w:t>
            </w:r>
          </w:p>
          <w:p w:rsidR="00000000" w:rsidRDefault="00D2754D">
            <w:pPr>
              <w:pStyle w:val="NormalWeb"/>
              <w:spacing w:before="0" w:beforeAutospacing="0" w:after="0" w:afterAutospacing="0"/>
              <w:jc w:val="center"/>
              <w:rPr>
                <w:sz w:val="20"/>
                <w:szCs w:val="20"/>
              </w:rPr>
            </w:pPr>
            <w:r>
              <w:rPr>
                <w:rStyle w:val="Strong"/>
                <w:sz w:val="20"/>
                <w:szCs w:val="20"/>
              </w:rPr>
              <w:t>Stock</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 xml:space="preserve">Additional </w:t>
            </w:r>
          </w:p>
          <w:p w:rsidR="00000000" w:rsidRDefault="00D2754D">
            <w:pPr>
              <w:pStyle w:val="NormalWeb"/>
              <w:spacing w:before="0" w:beforeAutospacing="0" w:after="0" w:afterAutospacing="0"/>
              <w:jc w:val="center"/>
              <w:rPr>
                <w:sz w:val="20"/>
                <w:szCs w:val="20"/>
              </w:rPr>
            </w:pPr>
            <w:r>
              <w:rPr>
                <w:rStyle w:val="Strong"/>
                <w:sz w:val="20"/>
                <w:szCs w:val="20"/>
              </w:rPr>
              <w:t>Paid In</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Accumulated   Other Comprehensive</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Balance at September 30, 2021</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20,823,16</w:t>
            </w:r>
            <w:r>
              <w:rPr>
                <w:rFonts w:eastAsia="Times New Roman"/>
                <w:sz w:val="20"/>
                <w:szCs w:val="20"/>
              </w:rPr>
              <w:t>9</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61,49</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328,42</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56,75</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56,75</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16,47</w:t>
            </w:r>
            <w:r>
              <w:rPr>
                <w:rFonts w:eastAsia="Times New Roman"/>
                <w:sz w:val="20"/>
                <w:szCs w:val="20"/>
              </w:rPr>
              <w:t>7</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16,47</w:t>
            </w:r>
            <w:r>
              <w:rPr>
                <w:rFonts w:eastAsia="Times New Roman"/>
                <w:sz w:val="20"/>
                <w:szCs w:val="20"/>
              </w:rPr>
              <w:t>7</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D2754D">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Balance at December 31, 2021</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20,766,41</w:t>
            </w:r>
            <w:r>
              <w:rPr>
                <w:rFonts w:eastAsia="Times New Roman"/>
                <w:sz w:val="20"/>
                <w:szCs w:val="20"/>
              </w:rPr>
              <w:t>4</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45,01</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368,70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Balance at September 30, 2022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20,767,85</w:t>
            </w:r>
            <w:r>
              <w:rPr>
                <w:rFonts w:eastAsia="Times New Roman"/>
                <w:sz w:val="20"/>
                <w:szCs w:val="20"/>
              </w:rPr>
              <w:t>6</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42,89</w:t>
            </w:r>
            <w:r>
              <w:rPr>
                <w:rFonts w:eastAsia="Times New Roman"/>
                <w:sz w:val="20"/>
                <w:szCs w:val="20"/>
              </w:rPr>
              <w:t>6</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279,34</w:t>
            </w:r>
            <w:r>
              <w:rPr>
                <w:rFonts w:eastAsia="Times New Roman"/>
                <w:sz w:val="20"/>
                <w:szCs w:val="20"/>
              </w:rPr>
              <w:t>3</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2,24</w:t>
            </w:r>
            <w:r>
              <w:rPr>
                <w:rFonts w:eastAsia="Times New Roman"/>
                <w:sz w:val="20"/>
                <w:szCs w:val="20"/>
              </w:rPr>
              <w:t>9</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2,24</w:t>
            </w:r>
            <w:r>
              <w:rPr>
                <w:rFonts w:eastAsia="Times New Roman"/>
                <w:sz w:val="20"/>
                <w:szCs w:val="20"/>
              </w:rPr>
              <w:t>9</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51,01</w:t>
            </w:r>
            <w:r>
              <w:rPr>
                <w:rFonts w:eastAsia="Times New Roman"/>
                <w:sz w:val="20"/>
                <w:szCs w:val="20"/>
              </w:rPr>
              <w:t>9</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51,01</w:t>
            </w:r>
            <w:r>
              <w:rPr>
                <w:rFonts w:eastAsia="Times New Roman"/>
                <w:sz w:val="20"/>
                <w:szCs w:val="20"/>
              </w:rPr>
              <w:t>9</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D2754D">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D2754D">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Balance at December 31, 2022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20,765,60</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4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8,12</w:t>
            </w:r>
            <w:r>
              <w:rPr>
                <w:rFonts w:eastAsia="Times New Roman"/>
                <w:sz w:val="20"/>
                <w:szCs w:val="20"/>
              </w:rPr>
              <w:t>3</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332,61</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35"/>
        <w:jc w:val="center"/>
        <w:divId w:val="855849836"/>
        <w:rPr>
          <w:sz w:val="20"/>
          <w:szCs w:val="20"/>
        </w:rPr>
      </w:pPr>
      <w:r>
        <w:rPr>
          <w:rStyle w:val="Strong"/>
          <w:sz w:val="20"/>
          <w:szCs w:val="20"/>
        </w:rPr>
        <w:t>See accompanying notes to condensed unaudited consolidated financial statements.</w:t>
      </w:r>
    </w:p>
    <w:p w:rsidR="00000000" w:rsidRDefault="00D2754D">
      <w:pPr>
        <w:pStyle w:val="NormalWeb"/>
        <w:spacing w:before="0" w:beforeAutospacing="0" w:after="0" w:afterAutospacing="0"/>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6</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14"/>
        <w:jc w:val="center"/>
        <w:divId w:val="855849836"/>
        <w:rPr>
          <w:sz w:val="20"/>
          <w:szCs w:val="20"/>
        </w:rPr>
      </w:pPr>
      <w:r>
        <w:rPr>
          <w:rStyle w:val="Strong"/>
          <w:sz w:val="20"/>
          <w:szCs w:val="20"/>
        </w:rPr>
        <w:t>ADVANCED OXYGEN TECHNOLOGIES, INC.</w:t>
      </w: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AND SUBSIDIARIES</w:t>
      </w:r>
    </w:p>
    <w:p w:rsidR="00000000" w:rsidRDefault="00D2754D">
      <w:pPr>
        <w:pStyle w:val="NormalWeb"/>
        <w:spacing w:before="0" w:beforeAutospacing="0" w:after="0" w:afterAutospacing="0"/>
        <w:ind w:left="7"/>
        <w:jc w:val="center"/>
        <w:divId w:val="855849836"/>
        <w:rPr>
          <w:sz w:val="20"/>
          <w:szCs w:val="20"/>
        </w:rPr>
      </w:pPr>
      <w:r>
        <w:rPr>
          <w:rStyle w:val="atag"/>
          <w:b/>
          <w:bCs/>
          <w:sz w:val="20"/>
          <w:szCs w:val="20"/>
        </w:rPr>
        <w:t>CONDENSED CONSOLIDATED STATEMENTS OF CASH FLOW</w:t>
      </w:r>
      <w:r>
        <w:rPr>
          <w:rStyle w:val="atag"/>
          <w:b/>
          <w:bCs/>
          <w:sz w:val="20"/>
          <w:szCs w:val="20"/>
        </w:rPr>
        <w:t>S</w:t>
      </w:r>
    </w:p>
    <w:p w:rsidR="00000000" w:rsidRDefault="00D2754D">
      <w:pPr>
        <w:pStyle w:val="NormalWeb"/>
        <w:spacing w:before="0" w:beforeAutospacing="0" w:after="0" w:afterAutospacing="0"/>
        <w:ind w:left="14"/>
        <w:jc w:val="center"/>
        <w:divId w:val="855849836"/>
        <w:rPr>
          <w:sz w:val="20"/>
          <w:szCs w:val="20"/>
        </w:rPr>
      </w:pPr>
      <w:r>
        <w:rPr>
          <w:rStyle w:val="Strong"/>
          <w:sz w:val="20"/>
          <w:szCs w:val="20"/>
        </w:rPr>
        <w:t>(Unaudited)</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For the Six Months</w:t>
            </w:r>
          </w:p>
          <w:p w:rsidR="00000000" w:rsidRDefault="00D2754D">
            <w:pPr>
              <w:pStyle w:val="NormalWeb"/>
              <w:spacing w:before="0" w:beforeAutospacing="0" w:after="0" w:afterAutospacing="0"/>
              <w:jc w:val="center"/>
              <w:rPr>
                <w:sz w:val="20"/>
                <w:szCs w:val="20"/>
              </w:rPr>
            </w:pPr>
            <w:r>
              <w:rPr>
                <w:rStyle w:val="Strong"/>
                <w:sz w:val="20"/>
                <w:szCs w:val="20"/>
              </w:rPr>
              <w:t>Ended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hideMark/>
          </w:tcPr>
          <w:p w:rsidR="00000000" w:rsidRDefault="00D2754D">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Net Income (loss)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1,00</w:t>
            </w:r>
            <w:r>
              <w:rPr>
                <w:rFonts w:eastAsia="Times New Roman"/>
                <w:sz w:val="20"/>
                <w:szCs w:val="20"/>
              </w:rPr>
              <w:t>1</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55,18</w:t>
            </w:r>
            <w:r>
              <w:rPr>
                <w:rFonts w:eastAsia="Times New Roman"/>
                <w:sz w:val="20"/>
                <w:szCs w:val="20"/>
              </w:rPr>
              <w:t>4</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Adjustments to reconcile net income (loss) to net cash provided by operating activities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450"/>
              <w:rPr>
                <w:sz w:val="20"/>
                <w:szCs w:val="20"/>
              </w:rPr>
            </w:pPr>
            <w:r>
              <w:rPr>
                <w:sz w:val="20"/>
                <w:szCs w:val="20"/>
              </w:rPr>
              <w:t>Expenses paid on behalf of the company by a related party</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12,50</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13,12</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Changes in operating assets and liabilities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450"/>
              <w:rPr>
                <w:sz w:val="20"/>
                <w:szCs w:val="20"/>
              </w:rPr>
            </w:pPr>
            <w:r>
              <w:rPr>
                <w:sz w:val="20"/>
                <w:szCs w:val="20"/>
              </w:rPr>
              <w:t>Accounts payable and accrued liabilities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2,10</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1,41</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450"/>
              <w:rPr>
                <w:sz w:val="20"/>
                <w:szCs w:val="20"/>
              </w:rPr>
            </w:pPr>
            <w:r>
              <w:rPr>
                <w:sz w:val="20"/>
                <w:szCs w:val="20"/>
              </w:rPr>
              <w:t>Taxes payable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5,11</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3,82</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18,71</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73,55</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Cash flow from financing activities: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4,96</w:t>
            </w:r>
            <w:r>
              <w:rPr>
                <w:rFonts w:eastAsia="Times New Roman"/>
                <w:sz w:val="20"/>
                <w:szCs w:val="20"/>
              </w:rPr>
              <w:t>9</w:t>
            </w:r>
            <w:r>
              <w:rPr>
                <w:rFonts w:eastAsia="Times New Roman"/>
                <w:sz w:val="20"/>
                <w:szCs w:val="20"/>
              </w:rPr>
              <w:t xml:space="preserve">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11,53</w:t>
            </w:r>
            <w:r>
              <w:rPr>
                <w:rFonts w:eastAsia="Times New Roman"/>
                <w:sz w:val="20"/>
                <w:szCs w:val="20"/>
              </w:rPr>
              <w:t>6</w:t>
            </w:r>
            <w:r>
              <w:rPr>
                <w:rFonts w:eastAsia="Times New Roman"/>
                <w:sz w:val="20"/>
                <w:szCs w:val="20"/>
              </w:rPr>
              <w:t xml:space="preserve">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Repayment of long-term debt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8,31</w:t>
            </w:r>
            <w:r>
              <w:rPr>
                <w:rFonts w:eastAsia="Times New Roman"/>
                <w:sz w:val="20"/>
                <w:szCs w:val="20"/>
              </w:rPr>
              <w:t>6</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9,34</w:t>
            </w:r>
            <w:r>
              <w:rPr>
                <w:rFonts w:eastAsia="Times New Roman"/>
                <w:sz w:val="20"/>
                <w:szCs w:val="20"/>
              </w:rPr>
              <w:t>1</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13,28</w:t>
            </w:r>
            <w:r>
              <w:rPr>
                <w:rFonts w:eastAsia="Times New Roman"/>
                <w:sz w:val="20"/>
                <w:szCs w:val="20"/>
              </w:rPr>
              <w:t>5</w:t>
            </w:r>
            <w:r>
              <w:rPr>
                <w:rFonts w:eastAsia="Times New Roman"/>
                <w:sz w:val="20"/>
                <w:szCs w:val="20"/>
              </w:rPr>
              <w:t xml:space="preserve">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20,87</w:t>
            </w:r>
            <w:r>
              <w:rPr>
                <w:rFonts w:eastAsia="Times New Roman"/>
                <w:sz w:val="20"/>
                <w:szCs w:val="20"/>
              </w:rPr>
              <w:t>7</w:t>
            </w:r>
            <w:r>
              <w:rPr>
                <w:rFonts w:eastAsia="Times New Roman"/>
                <w:sz w:val="20"/>
                <w:szCs w:val="20"/>
              </w:rPr>
              <w:t xml:space="preserve">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Change due to Foreign Currency Translation</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2,21</w:t>
            </w:r>
            <w:r>
              <w:rPr>
                <w:rFonts w:eastAsia="Times New Roman"/>
                <w:sz w:val="20"/>
                <w:szCs w:val="20"/>
              </w:rPr>
              <w:t>0</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3,47</w:t>
            </w:r>
            <w:r>
              <w:rPr>
                <w:rFonts w:eastAsia="Times New Roman"/>
                <w:sz w:val="20"/>
                <w:szCs w:val="20"/>
              </w:rPr>
              <w:t>6</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rStyle w:val="Strong"/>
                <w:sz w:val="20"/>
                <w:szCs w:val="20"/>
              </w:rPr>
              <w:t>NET CHANGE IN CASH</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Style w:val="Strong"/>
                <w:rFonts w:eastAsia="Times New Roman"/>
                <w:sz w:val="20"/>
                <w:szCs w:val="20"/>
              </w:rPr>
              <w:t>7,63</w:t>
            </w:r>
            <w:r>
              <w:rPr>
                <w:rStyle w:val="Strong"/>
                <w:rFonts w:eastAsia="Times New Roman"/>
                <w:sz w:val="20"/>
                <w:szCs w:val="20"/>
              </w:rPr>
              <w:t>8</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Style w:val="Strong"/>
                <w:rFonts w:eastAsia="Times New Roman"/>
                <w:sz w:val="20"/>
                <w:szCs w:val="20"/>
              </w:rPr>
              <w:t>49,19</w:t>
            </w:r>
            <w:r>
              <w:rPr>
                <w:rStyle w:val="Strong"/>
                <w:rFonts w:eastAsia="Times New Roman"/>
                <w:sz w:val="20"/>
                <w:szCs w:val="20"/>
              </w:rPr>
              <w:t>8</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Cash at beginning of period</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94,21</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Cash at end of period</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101,85</w:t>
            </w:r>
            <w:r>
              <w:rPr>
                <w:rFonts w:eastAsia="Times New Roman"/>
                <w:sz w:val="20"/>
                <w:szCs w:val="20"/>
              </w:rPr>
              <w:t>4</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99,17</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Cash paid for Interest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48</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1,22</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Cash paid for Income taxes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35"/>
        <w:jc w:val="center"/>
        <w:divId w:val="855849836"/>
        <w:rPr>
          <w:sz w:val="20"/>
          <w:szCs w:val="20"/>
        </w:rPr>
      </w:pPr>
      <w:r>
        <w:rPr>
          <w:rStyle w:val="Strong"/>
          <w:sz w:val="20"/>
          <w:szCs w:val="20"/>
        </w:rPr>
        <w:t>See accompanying notes to condensed unaudited consolidated financial statements.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7</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jc w:val="center"/>
        <w:divId w:val="855849836"/>
        <w:rPr>
          <w:sz w:val="20"/>
          <w:szCs w:val="20"/>
        </w:rPr>
      </w:pPr>
      <w:r>
        <w:rPr>
          <w:rStyle w:val="atag"/>
          <w:b/>
          <w:bCs/>
          <w:sz w:val="20"/>
          <w:szCs w:val="20"/>
        </w:rPr>
        <w:t>NOTES TO CONDENSED CONSOLIDATED FINANCIAL STATEMENT</w:t>
      </w:r>
      <w:r>
        <w:rPr>
          <w:rStyle w:val="atag"/>
          <w:b/>
          <w:bCs/>
          <w:sz w:val="20"/>
          <w:szCs w:val="20"/>
        </w:rPr>
        <w:t>S</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NOTE 1 - ORGANIZATION AND LINE OF BUSINESS: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Organization:</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Advanced Oxygen Technologies Inc, (“Advanced Oxygen Technologies”, “AOXY”, or the “Company”</w:t>
      </w:r>
      <w:r>
        <w:rPr>
          <w:sz w:val="20"/>
          <w:szCs w:val="20"/>
        </w:rPr>
        <w:t>), was incorporated in Delaware in 1981 under the name Aquanautics Corporation and was, from 1985 until May 1995, a startup stage specialty materials company producing new oxygen control technologies. From May of 1995 through December of 1997 the Company h</w:t>
      </w:r>
      <w:r>
        <w:rPr>
          <w:sz w:val="20"/>
          <w:szCs w:val="20"/>
        </w:rPr>
        <w:t>ad minimal operations and was seeking funding for operations and companies to which it could merge or acquire. In March of 1998 the Company began operations again in California. From 1998 through 2000, the business produced and sold CD- ROMS for conference</w:t>
      </w:r>
      <w:r>
        <w:rPr>
          <w:sz w:val="20"/>
          <w:szCs w:val="20"/>
        </w:rPr>
        <w:t xml:space="preserve"> events, advertisement sales on the CD’s, database management and event marketing all associated with conference events. From 2000 through March of 2003, the business consisted solely of database management. From 2003 through April 2005, the business opera</w:t>
      </w:r>
      <w:r>
        <w:rPr>
          <w:sz w:val="20"/>
          <w:szCs w:val="20"/>
        </w:rPr>
        <w:t>tions were derived totally from the Company’s wholly owned business, IP Service, ApS, a Danish IP security vulnerability company (“IP Service”). Since then, business operations have been solely derived from its wholly owned subsidiaries Anton Nielsen Vojen</w:t>
      </w:r>
      <w:r>
        <w:rPr>
          <w:sz w:val="20"/>
          <w:szCs w:val="20"/>
        </w:rPr>
        <w:t>s, ApS (“ANV”), Sharx Inc. and its wholly owned subsidiary Sharx DK ApS (collectively “Sharx”).</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Lines of Business: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Advanced Oxygen Technologies, Inc. operations are derived from its wholly owned subsidiaries Anton Nielsen Vojens, ApS (“ANV”), Sharx Inc</w:t>
      </w:r>
      <w:r>
        <w:rPr>
          <w:sz w:val="20"/>
          <w:szCs w:val="20"/>
        </w:rPr>
        <w:t>. and its wholly owned subsidiary Sharx DK ApS (collectively “Sharx”).</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ANV is a Danish company that owns commercial real estate in Vojens, Denmark. ANV’s revenues are derived solely from the lease revenue from its real estate. Circle K Denmark A/S, forme</w:t>
      </w:r>
      <w:r>
        <w:rPr>
          <w:sz w:val="20"/>
          <w:szCs w:val="20"/>
        </w:rPr>
        <w:t>rly StatOil A/S, leases the facility from ANV. The lease expires in 2026.</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 xml:space="preserve">Sharx Inc. is a Wyoming corporation incorporated in 2020 that owns Sharx DK ApS. Sharx Inc. operations are derived from its wholly owned subsidiary Sharx DK ApS. Sharx Inc. has no </w:t>
      </w:r>
      <w:r>
        <w:rPr>
          <w:sz w:val="20"/>
          <w:szCs w:val="20"/>
        </w:rPr>
        <w:t>other operations and performs administrative functions for itself and its subsidiary.</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Sharx DK ApS is a Danish company, incorporated in 2020. On June 30, 2020, Sharx DK ApS, entered into a Distribution Agreement (the “Distribution Agreement” Exhibit 10.1</w:t>
      </w:r>
      <w:r>
        <w:rPr>
          <w:sz w:val="20"/>
          <w:szCs w:val="20"/>
        </w:rPr>
        <w:t>) with a third party vendor, Cleaver ApS, a Danish corporation (“Cleaver”), whereby Cleaver has appointed the Company as Cleaver’s nonexclusive distributor of its products in Europe, South America and North America. Cleaver is a manufacturer of a line of p</w:t>
      </w:r>
      <w:r>
        <w:rPr>
          <w:sz w:val="20"/>
          <w:szCs w:val="20"/>
        </w:rPr>
        <w:t>roducts for the logistics and cargo industry.  Sharx had no activity for the period ending December 31, 2022.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Other Risk and Uncertainties: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both"/>
        <w:divId w:val="855849836"/>
        <w:rPr>
          <w:sz w:val="20"/>
          <w:szCs w:val="20"/>
        </w:rPr>
      </w:pPr>
      <w:r>
        <w:rPr>
          <w:sz w:val="20"/>
          <w:szCs w:val="20"/>
        </w:rPr>
        <w:t>In connection with the COVID-19 pandemic, governments have implemented significant measures, including closures</w:t>
      </w:r>
      <w:r>
        <w:rPr>
          <w:sz w:val="20"/>
          <w:szCs w:val="20"/>
        </w:rPr>
        <w:t>, quarantines, travel restrictions and other social distancing directives, intended to control the spread of the virus. Companies have also taken precautions, such as requiring employees to work remotely, imposing travel restrictions and temporarily closin</w:t>
      </w:r>
      <w:r>
        <w:rPr>
          <w:sz w:val="20"/>
          <w:szCs w:val="20"/>
        </w:rPr>
        <w:t>g businesses. To the extent that these restrictions remain in place, additional prevention and mitigation measures are implemented in the future, or there is uncertainty about the effectiveness of these or any other measures to contain or treat COVID-19, t</w:t>
      </w:r>
      <w:r>
        <w:rPr>
          <w:sz w:val="20"/>
          <w:szCs w:val="20"/>
        </w:rPr>
        <w:t>here is likely to be an adverse impact on global economic conditions and consumer confidence and spending, which could materially and adversely affect the Company’s research and development, as well as operational activities. At this time, the Company is w</w:t>
      </w:r>
      <w:r>
        <w:rPr>
          <w:sz w:val="20"/>
          <w:szCs w:val="20"/>
        </w:rPr>
        <w:t xml:space="preserve">orking to manage and mitigate potential disruptions to its future manufacturing and supply chain considerations. The Company has not experienced hindrance to its operations or material negative financial impacts as compared to prior periods. At this time, </w:t>
      </w:r>
      <w:r>
        <w:rPr>
          <w:sz w:val="20"/>
          <w:szCs w:val="20"/>
        </w:rPr>
        <w:t>the extent to which the COVID-19 pandemic impacts the Company’s business will depend on future developments, which are highly uncertain and cannot be predicted.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lastRenderedPageBreak/>
        <w:t>NOTE 2 - SUMMARY OF SIGNIFICANT ACCOUNTING POLICIES: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Principles of Consolidation:</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The acc</w:t>
      </w:r>
      <w:r>
        <w:rPr>
          <w:sz w:val="20"/>
          <w:szCs w:val="20"/>
        </w:rPr>
        <w:t>ompanying consolidated financial statements include the accounts of the Company and its wholly-owned subsidiaries (ANV and Sharx), after elimination of all intercompany accounts, transactions, and profits.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both"/>
        <w:divId w:val="855849836"/>
        <w:rPr>
          <w:sz w:val="20"/>
          <w:szCs w:val="20"/>
        </w:rPr>
      </w:pPr>
      <w:r>
        <w:rPr>
          <w:rStyle w:val="Emphasis"/>
          <w:sz w:val="20"/>
          <w:szCs w:val="20"/>
        </w:rPr>
        <w:t>Basis of Presentation:</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both"/>
        <w:divId w:val="855849836"/>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amounts of assets and liabilities and dis</w:t>
      </w:r>
      <w:r>
        <w:rPr>
          <w:sz w:val="20"/>
          <w:szCs w:val="20"/>
        </w:rPr>
        <w:t>closures of contingent assets and liabilities at the date of the financial statements and the reported amounts of revenue and expenses during the reporting period. Actual results could differ from those estimates. The Company’s fiscal year end is June 30.</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8</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The accompanying condensed consolidated financial statements are unaudited. In the opinion of management, all adjustments of a normal recurring nature, considered necessary for a fair presentation of financial position, results of operations, and cash flow</w:t>
      </w:r>
      <w:r>
        <w:rPr>
          <w:sz w:val="20"/>
          <w:szCs w:val="20"/>
        </w:rPr>
        <w:t>s at the dates and for the periods presented have been included. The results of operations of any interim period are not necessarily indicative of the results of operations for the full year. All intercompany balances are eliminated in consolidation.</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Cer</w:t>
      </w:r>
      <w:r>
        <w:rPr>
          <w:sz w:val="20"/>
          <w:szCs w:val="20"/>
        </w:rPr>
        <w:t xml:space="preserve">tain information and note disclosures normally included in annual financial statements have been condensed or omitted from these interim financial statements; these financial statements should be read in conjunction with the financial statements and notes </w:t>
      </w:r>
      <w:r>
        <w:rPr>
          <w:sz w:val="20"/>
          <w:szCs w:val="20"/>
        </w:rPr>
        <w:t>thereto included in our Form 10-K for the year ended June 30, 2022.</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rStyle w:val="Emphasis"/>
          <w:sz w:val="20"/>
          <w:szCs w:val="20"/>
        </w:rPr>
        <w:t>Use of Estimates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preparation of financial statements in conformity with accounting principles generally accepted in the United States of America requires our management to make est</w:t>
      </w:r>
      <w:r>
        <w:rPr>
          <w:sz w:val="20"/>
          <w:szCs w:val="20"/>
        </w:rPr>
        <w:t>imates and assumptions that affect the reported amounts of assets and liabilities and disclosures of contingent assets and liabilities at the date of the financial statements and the reported amounts of revenue and expenses during the reporting period. Act</w:t>
      </w:r>
      <w:r>
        <w:rPr>
          <w:sz w:val="20"/>
          <w:szCs w:val="20"/>
        </w:rPr>
        <w:t>ual results could differ from those estimates.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rStyle w:val="Emphasis"/>
          <w:sz w:val="20"/>
          <w:szCs w:val="20"/>
        </w:rPr>
        <w:t>Revenue Recognition:</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u w:val="single"/>
        </w:rPr>
        <w:t>Revenue from Contracts with Customers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For our rental revenue and commission revenue, we recognize revenue under the five steps in Topic 606, which are as follows: 1) identify the contract with the customer; 2) identify the performance obligations in the contract; 3) determine the transaction p</w:t>
      </w:r>
      <w:r>
        <w:rPr>
          <w:sz w:val="20"/>
          <w:szCs w:val="20"/>
        </w:rPr>
        <w:t>rice; 4) allocate the transaction price to the performance obligations; and 5) recognize revenue when (or as) performance obligations are satisfied.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u w:val="single"/>
        </w:rPr>
        <w:t>Rental Revenue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Rental revenue is derived from the Commercial Property lease in which quarterly payments</w:t>
      </w:r>
      <w:r>
        <w:rPr>
          <w:sz w:val="20"/>
          <w:szCs w:val="20"/>
        </w:rPr>
        <w:t xml:space="preserve"> are received pursuant to the property lease which is in effect until 2026. We recognize revenue when we have satisfied a performance obligation by transferring control over a product or delivering a service to a client. We measure revenue based upon the c</w:t>
      </w:r>
      <w:r>
        <w:rPr>
          <w:sz w:val="20"/>
          <w:szCs w:val="20"/>
        </w:rPr>
        <w:t>onsideration set forth in an arrangement or contract with a client. We recognize revenue from these services when the services are completed. If we are paid in advance for these services, we record such payment as a contract liability until we complete the</w:t>
      </w:r>
      <w:r>
        <w:rPr>
          <w:sz w:val="20"/>
          <w:szCs w:val="20"/>
        </w:rPr>
        <w:t xml:space="preserve"> services. As of December 31, 2022, the Company recorded </w:t>
      </w:r>
      <w:r>
        <w:rPr>
          <w:sz w:val="20"/>
          <w:szCs w:val="20"/>
        </w:rPr>
        <w:t>$</w:t>
      </w:r>
      <w:r>
        <w:rPr>
          <w:sz w:val="20"/>
          <w:szCs w:val="20"/>
        </w:rPr>
        <w:t>2,99</w:t>
      </w:r>
      <w:r>
        <w:rPr>
          <w:sz w:val="20"/>
          <w:szCs w:val="20"/>
        </w:rPr>
        <w:t>2</w:t>
      </w:r>
      <w:r>
        <w:rPr>
          <w:sz w:val="20"/>
          <w:szCs w:val="20"/>
        </w:rPr>
        <w:t> of contract liabilities in connection to rental revenues.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 xml:space="preserve">The Company leases land to a customer. We, as a lessor, retain substantially all of the risks and benefits of ownership of the investment properties and account for our leases as operating leases. We accrue fixed lease income on a straight-line basis over </w:t>
      </w:r>
      <w:r>
        <w:rPr>
          <w:sz w:val="20"/>
          <w:szCs w:val="20"/>
        </w:rPr>
        <w:t>the terms of the leases when we believe substantially all lease income, including the related straight-line rent receivable, is probable of collection. For our leases, we receive a fixed payment from the customer which is recognized as lease income on a st</w:t>
      </w:r>
      <w:r>
        <w:rPr>
          <w:sz w:val="20"/>
          <w:szCs w:val="20"/>
        </w:rPr>
        <w:t>raight-line basis over the term of the lease beginning with the adoption of ASC 842.</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 xml:space="preserve">In April 2020, the FASB staff released guidance focused on treatment of concessions related to the effects of COVID-19 on the application of lease modification guidance </w:t>
      </w:r>
      <w:r>
        <w:rPr>
          <w:sz w:val="20"/>
          <w:szCs w:val="20"/>
        </w:rPr>
        <w:t>in Accounting Standards Codification (ASC) 842, “Leases.” The guidance provides a practical expedient to forgo the associated reassessments required by ASC 842 when changes to a lease result in similar or lower future consideration. We have elected to gene</w:t>
      </w:r>
      <w:r>
        <w:rPr>
          <w:sz w:val="20"/>
          <w:szCs w:val="20"/>
        </w:rPr>
        <w:t>rally account for rent abatements as negative variable lease consideration in the period granted, or in the period we determine we expect to grant an abatement. Further abatements granted in the future will reduce lease income in the period we grant, or de</w:t>
      </w:r>
      <w:r>
        <w:rPr>
          <w:sz w:val="20"/>
          <w:szCs w:val="20"/>
        </w:rPr>
        <w:t>termine we expect to grant, an abatement. We have not agreed to any deferral or abatement arrangements with any of our customers.</w:t>
      </w:r>
    </w:p>
    <w:p w:rsidR="00000000" w:rsidRDefault="00D2754D">
      <w:pPr>
        <w:pStyle w:val="NormalWeb"/>
        <w:spacing w:before="0" w:beforeAutospacing="0" w:after="0" w:afterAutospacing="0"/>
        <w:jc w:val="both"/>
        <w:divId w:val="855849836"/>
        <w:rPr>
          <w:sz w:val="20"/>
          <w:szCs w:val="20"/>
        </w:rPr>
      </w:pPr>
      <w:r>
        <w:rPr>
          <w:sz w:val="20"/>
          <w:szCs w:val="20"/>
        </w:rPr>
        <w:lastRenderedPageBreak/>
        <w:t> </w:t>
      </w:r>
    </w:p>
    <w:p w:rsidR="00000000" w:rsidRDefault="00D2754D">
      <w:pPr>
        <w:pStyle w:val="NormalWeb"/>
        <w:spacing w:before="0" w:beforeAutospacing="0" w:after="0" w:afterAutospacing="0"/>
        <w:jc w:val="both"/>
        <w:divId w:val="855849836"/>
        <w:rPr>
          <w:sz w:val="20"/>
          <w:szCs w:val="20"/>
        </w:rPr>
      </w:pPr>
      <w:r>
        <w:rPr>
          <w:sz w:val="20"/>
          <w:szCs w:val="20"/>
        </w:rPr>
        <w:t>The Company has elected to exclude short-term leases from the recognition requirements of ASC 842. A lease is short-term if,</w:t>
      </w:r>
      <w:r>
        <w:rPr>
          <w:sz w:val="20"/>
          <w:szCs w:val="20"/>
        </w:rPr>
        <w:t xml:space="preserve"> at the commencement date, it has a term of less than or equal to one year. Lease expense related to short-term leases is recognized on a straight-line basis over the lease term.</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14"/>
        <w:jc w:val="both"/>
        <w:divId w:val="855849836"/>
        <w:rPr>
          <w:sz w:val="20"/>
          <w:szCs w:val="20"/>
        </w:rPr>
      </w:pPr>
      <w:r>
        <w:rPr>
          <w:sz w:val="20"/>
          <w:szCs w:val="20"/>
          <w:u w:val="single"/>
        </w:rPr>
        <w:t>Commission revenue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42"/>
        <w:jc w:val="both"/>
        <w:divId w:val="855849836"/>
        <w:rPr>
          <w:sz w:val="20"/>
          <w:szCs w:val="20"/>
        </w:rPr>
      </w:pPr>
      <w:r>
        <w:rPr>
          <w:sz w:val="20"/>
          <w:szCs w:val="20"/>
        </w:rPr>
        <w:t>For our commission revenue, we recognize revenue under</w:t>
      </w:r>
      <w:r>
        <w:rPr>
          <w:sz w:val="20"/>
          <w:szCs w:val="20"/>
        </w:rPr>
        <w:t xml:space="preserve"> the five steps in Topic 606, which are as follows: 1) identify the contract with the customer; 2) identify the performance obligations in the contract; 3) determine the transaction price; 4) allocate the transaction price to the performance obligations; a</w:t>
      </w:r>
      <w:r>
        <w:rPr>
          <w:sz w:val="20"/>
          <w:szCs w:val="20"/>
        </w:rPr>
        <w:t>nd 5) recognize revenue when (or as) performance obligations are satisfied.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35"/>
        <w:jc w:val="both"/>
        <w:divId w:val="855849836"/>
        <w:rPr>
          <w:sz w:val="20"/>
          <w:szCs w:val="20"/>
        </w:rPr>
      </w:pPr>
      <w:r>
        <w:rPr>
          <w:sz w:val="20"/>
          <w:szCs w:val="20"/>
        </w:rPr>
        <w:t>The Company’s source of commission revenue is from the Company’s subsidiary Sharx in which quarterly payments are received when the customer pre-pays or pays upon the date produc</w:t>
      </w:r>
      <w:r>
        <w:rPr>
          <w:sz w:val="20"/>
          <w:szCs w:val="20"/>
        </w:rPr>
        <w:t>ts are drop shipped from the manufacturer pursuant to a non-exclusive distribution agreement. At such time the products are drop shipped, the Company’s performance obligation has been satisfied and revenue is recorded. The Company has determined that it is</w:t>
      </w:r>
      <w:r>
        <w:rPr>
          <w:sz w:val="20"/>
          <w:szCs w:val="20"/>
        </w:rPr>
        <w:t xml:space="preserve"> an agent of the manufacturer and collects commission revenue at or before the delivery of product (See Note 3 for further details). </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9</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14"/>
        <w:jc w:val="both"/>
        <w:divId w:val="855849836"/>
        <w:rPr>
          <w:sz w:val="20"/>
          <w:szCs w:val="20"/>
        </w:rPr>
      </w:pPr>
      <w:r>
        <w:rPr>
          <w:rStyle w:val="Emphasis"/>
          <w:sz w:val="20"/>
          <w:szCs w:val="20"/>
        </w:rPr>
        <w:t>Cash and Cash Equivalents: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For purposes of the statement of cash flows, the Company considers all highly-liquid investments purchased w</w:t>
      </w:r>
      <w:r>
        <w:rPr>
          <w:sz w:val="20"/>
          <w:szCs w:val="20"/>
        </w:rPr>
        <w:t>ith original maturities of three months or less to be cash equivalents.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Company maintains its cash in bank deposit accounts which, at December 31, 2022 did not exceed federally insured limits. The Company has not experienced any losses in such accoun</w:t>
      </w:r>
      <w:r>
        <w:rPr>
          <w:sz w:val="20"/>
          <w:szCs w:val="20"/>
        </w:rPr>
        <w:t>ts and believes that it is not exposed to any significant credit risk on such amounts.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Property and Equipment: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Land is recognized at cost. Land is carried at cost less accumulated impairment losses.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Foreign currency translation:</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reve</w:t>
      </w:r>
      <w:r>
        <w:rPr>
          <w:sz w:val="20"/>
          <w:szCs w:val="20"/>
        </w:rPr>
        <w:t>nue and expenses are translated at weighted average rates for the year.</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rStyle w:val="Emphasis"/>
          <w:sz w:val="20"/>
          <w:szCs w:val="20"/>
        </w:rPr>
        <w:t>Foreign currency transactions: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both"/>
        <w:divId w:val="855849836"/>
        <w:rPr>
          <w:sz w:val="20"/>
          <w:szCs w:val="20"/>
        </w:rPr>
      </w:pPr>
      <w:r>
        <w:rPr>
          <w:sz w:val="20"/>
          <w:szCs w:val="20"/>
        </w:rPr>
        <w:t>The Company applies the guidelines as set out in Section 830-20-35 of the FASB Accounting Standards Codification (“Section 830-20-35”) for foreign cu</w:t>
      </w:r>
      <w:r>
        <w:rPr>
          <w:sz w:val="20"/>
          <w:szCs w:val="20"/>
        </w:rPr>
        <w:t>rrency transactions. Pursuant to Section 830-20-35 of the FASB Accounting Standards Codification, foreign currency transactions are transactions denominated in currencies other than U.S. Dollar, the Company’s reporting currency. Foreign currency transactio</w:t>
      </w:r>
      <w:r>
        <w:rPr>
          <w:sz w:val="20"/>
          <w:szCs w:val="20"/>
        </w:rPr>
        <w:t>ns may produce receivables or payables that are fixed in terms of the amount of foreign currency that will be received or paid. A change in exchange rates between the reporting currency and the currency in which a transaction is denominated increases or de</w:t>
      </w:r>
      <w:r>
        <w:rPr>
          <w:sz w:val="20"/>
          <w:szCs w:val="20"/>
        </w:rPr>
        <w:t>creases the expected amount of reporting currency cash flows upon settlement of the transaction. That increase or decrease in expected reporting currency cash flows is a foreign currency transaction gain or loss that generally shall be included in determin</w:t>
      </w:r>
      <w:r>
        <w:rPr>
          <w:sz w:val="20"/>
          <w:szCs w:val="20"/>
        </w:rPr>
        <w:t>ing net income for the period in which the exchange rate changes. Likewise, a transaction gain or loss (measured from the transaction date or the most recent intervening balance sheet date, whichever is later) realized upon settlement of a foreign currency</w:t>
      </w:r>
      <w:r>
        <w:rPr>
          <w:sz w:val="20"/>
          <w:szCs w:val="20"/>
        </w:rPr>
        <w:t xml:space="preserve"> transaction generally shall be included in determining net income for the period in which the transaction is settled. The exceptions to this requirement for inclusion in net income of transaction gains and losses pertain to certain intercompany transactio</w:t>
      </w:r>
      <w:r>
        <w:rPr>
          <w:sz w:val="20"/>
          <w:szCs w:val="20"/>
        </w:rPr>
        <w:t>ns and to transactions that are designated as, and effective as, economic hedges of net investments and foreign currency commitments. Pursuant to Section 830-20-25 of the FASB Accounting Standards Codification, the following shall apply to all foreign curr</w:t>
      </w:r>
      <w:r>
        <w:rPr>
          <w:sz w:val="20"/>
          <w:szCs w:val="20"/>
        </w:rPr>
        <w:t>ency transactions of an enterprise and its investees: (a) at the date the transaction is recognized, each asset, liability, revenue, expense, gain, or loss arising from the transaction shall be measured and recorded in the functional currency of the record</w:t>
      </w:r>
      <w:r>
        <w:rPr>
          <w:sz w:val="20"/>
          <w:szCs w:val="20"/>
        </w:rPr>
        <w:t xml:space="preserve">ing entity by use of the exchange rate in effect at that date as defined in section 830-10-20 of the FASB Accounting Standards Codification; and (b) at each balance sheet date, recorded balances that are denominated in currencies other than the functional </w:t>
      </w:r>
      <w:r>
        <w:rPr>
          <w:sz w:val="20"/>
          <w:szCs w:val="20"/>
        </w:rPr>
        <w:t>currency or reporting currency of the recording entity shall be adjusted to reflect the current exchange rate.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Company’s wholly owned subsidiary ANV uses the Danish Krone, DKK as its reporting currency as well as its functional currency.</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wholly</w:t>
      </w:r>
      <w:r>
        <w:rPr>
          <w:sz w:val="20"/>
          <w:szCs w:val="20"/>
        </w:rPr>
        <w:t xml:space="preserve"> owned subsidiary Sharx DK ApS uses the US Dollar as its reporting currency as well as its functional currency and from time to time has transactions in foreign currencies. The change in exchange rates between the U.S. Dollar, the Company’s reporting and f</w:t>
      </w:r>
      <w:r>
        <w:rPr>
          <w:sz w:val="20"/>
          <w:szCs w:val="20"/>
        </w:rPr>
        <w:t xml:space="preserve">unctional currency and the foreign currency, the currency in which a transaction is denominated increases or decreases the expected amount of reporting currency cash flows upon settlement of the transaction. That increase or decrease in expected reporting </w:t>
      </w:r>
      <w:r>
        <w:rPr>
          <w:sz w:val="20"/>
          <w:szCs w:val="20"/>
        </w:rPr>
        <w:t>currency cash flows is a foreign currency transaction gain or loss that generally is included in determining net income (loss) for the period in which the exchange rate changes. </w:t>
      </w:r>
    </w:p>
    <w:p w:rsidR="00000000" w:rsidRDefault="00D2754D">
      <w:pPr>
        <w:pStyle w:val="NormalWeb"/>
        <w:spacing w:before="0" w:beforeAutospacing="0" w:after="0" w:afterAutospacing="0"/>
        <w:jc w:val="both"/>
        <w:divId w:val="855849836"/>
        <w:rPr>
          <w:sz w:val="20"/>
          <w:szCs w:val="20"/>
        </w:rPr>
      </w:pP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10</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 </w:t>
      </w:r>
      <w:r>
        <w:rPr>
          <w:rStyle w:val="Emphasis"/>
          <w:sz w:val="20"/>
          <w:szCs w:val="20"/>
        </w:rPr>
        <w:t>Income Taxes: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Company accounts for income taxes under the asset and liability method of accounting. Under this method, deferred ta</w:t>
      </w:r>
      <w:r>
        <w:rPr>
          <w:sz w:val="20"/>
          <w:szCs w:val="20"/>
        </w:rPr>
        <w:t xml:space="preserve">x assets and liabilities are recognized for the future tax consequences attributable to differences between the financial statement carrying amounts of existing assets and liabilities and their respective tax bases. Deferred tax assets and liabilities are </w:t>
      </w:r>
      <w:r>
        <w:rPr>
          <w:sz w:val="20"/>
          <w:szCs w:val="20"/>
        </w:rPr>
        <w:t>measured using enacted tax rates expected to apply to taxable income in the years in which those temporary differences are expected to be recovered or settled. The effect on deferred tax assets and liabilities of a change in tax rates is recognized in inco</w:t>
      </w:r>
      <w:r>
        <w:rPr>
          <w:sz w:val="20"/>
          <w:szCs w:val="20"/>
        </w:rPr>
        <w:t xml:space="preserve">me in the period that includes the enactment date. A valuation allowance is required when it is less likely than not that the Company will be able to realize all or a portion of its deferred tax assets. Because it is doubtful that the net operating losses </w:t>
      </w:r>
      <w:r>
        <w:rPr>
          <w:sz w:val="20"/>
          <w:szCs w:val="20"/>
        </w:rPr>
        <w:t>of recent years will ever be used, a valuation allowance has been recognized equal to the tax benefit of net operating losses generated.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Earnings per Share: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sz w:val="20"/>
          <w:szCs w:val="20"/>
        </w:rPr>
        <w:t>Basic earnings per share is computed by dividing income available to common shareholders by the</w:t>
      </w:r>
      <w:r>
        <w:rPr>
          <w:sz w:val="20"/>
          <w:szCs w:val="20"/>
        </w:rPr>
        <w:t xml:space="preserve"> weighted-average number of common shares available. Diluted earnings per share is computed similar to basic earnings per share except that the denominator is increased to include the number of additional common shares that would have been outstanding if t</w:t>
      </w:r>
      <w:r>
        <w:rPr>
          <w:sz w:val="20"/>
          <w:szCs w:val="20"/>
        </w:rPr>
        <w:t>he potential common shares had been issued and if the additional common shares were dilutive.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sz w:val="20"/>
          <w:szCs w:val="20"/>
        </w:rPr>
        <w:t>As of December 31, 2022, and December 31, 2021 there were</w:t>
      </w:r>
      <w:r>
        <w:rPr>
          <w:sz w:val="20"/>
          <w:szCs w:val="20"/>
        </w:rPr>
        <w:t xml:space="preserve"> </w:t>
      </w:r>
      <w:r>
        <w:rPr>
          <w:sz w:val="20"/>
          <w:szCs w:val="20"/>
        </w:rPr>
        <w:t>10,00</w:t>
      </w:r>
      <w:r>
        <w:rPr>
          <w:sz w:val="20"/>
          <w:szCs w:val="20"/>
        </w:rPr>
        <w:t>0</w:t>
      </w:r>
      <w:r>
        <w:rPr>
          <w:sz w:val="20"/>
          <w:szCs w:val="20"/>
        </w:rPr>
        <w:t xml:space="preserve"> and</w:t>
      </w:r>
      <w:r>
        <w:rPr>
          <w:sz w:val="20"/>
          <w:szCs w:val="20"/>
        </w:rPr>
        <w:t xml:space="preserve"> </w:t>
      </w:r>
      <w:r>
        <w:rPr>
          <w:sz w:val="20"/>
          <w:szCs w:val="20"/>
        </w:rPr>
        <w:t>10,00</w:t>
      </w:r>
      <w:r>
        <w:rPr>
          <w:sz w:val="20"/>
          <w:szCs w:val="20"/>
        </w:rPr>
        <w:t>0</w:t>
      </w:r>
      <w:r>
        <w:rPr>
          <w:sz w:val="20"/>
          <w:szCs w:val="20"/>
        </w:rPr>
        <w:t>, potential dilutive shares that need to be considered as common share equivalents an</w:t>
      </w:r>
      <w:r>
        <w:rPr>
          <w:sz w:val="20"/>
          <w:szCs w:val="20"/>
        </w:rPr>
        <w:t>d because of the net loss, the effect of these potential common shares is anti-dilutive for the six-months ended December 31, 2022 and dilutive for six-months ended December 31, 2021. For the three-months ended December 31, 2022 and three-months December 3</w:t>
      </w:r>
      <w:r>
        <w:rPr>
          <w:sz w:val="20"/>
          <w:szCs w:val="20"/>
        </w:rPr>
        <w:t>1, 2021 the effect of these potential common shares is dilutive.</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11</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 xml:space="preserve">Stock-Based Compensation: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The Company records stock-based compensation in accordance with ASC 718, Compensation. All transactions in which goods or services are the consideration received for the issuance of equity instruments are accounted for based on the fair value of the consid</w:t>
      </w:r>
      <w:r>
        <w:rPr>
          <w:sz w:val="20"/>
          <w:szCs w:val="20"/>
        </w:rPr>
        <w:t xml:space="preserve">eration received or the fair value of the equity instrument issued, whichever is more reliably measurable. Equity instruments issued to employees and the cost of the services received as consideration are measured and recognized based on the fair value of </w:t>
      </w:r>
      <w:r>
        <w:rPr>
          <w:sz w:val="20"/>
          <w:szCs w:val="20"/>
        </w:rPr>
        <w:t>the equity instruments issued and are recognized over the employees required service period, which is generally the vesting period.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Concentrations of Credit Risk:</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35"/>
        <w:jc w:val="both"/>
        <w:divId w:val="855849836"/>
        <w:rPr>
          <w:sz w:val="20"/>
          <w:szCs w:val="20"/>
        </w:rPr>
      </w:pPr>
      <w:r>
        <w:rPr>
          <w:sz w:val="20"/>
          <w:szCs w:val="20"/>
        </w:rPr>
        <w:t>Financial instruments that potentially subject the Company to major credit risk consist p</w:t>
      </w:r>
      <w:r>
        <w:rPr>
          <w:sz w:val="20"/>
          <w:szCs w:val="20"/>
        </w:rPr>
        <w:t>rincipally of a single subsidiary of Anton Nielsen Vojens ApS. ANV’s rent revenues are derived from one customer. The Company’s commission revenues are subject to concentration risk as the commission revenues are derived from one product.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 xml:space="preserve">New Accounting </w:t>
      </w:r>
      <w:r>
        <w:rPr>
          <w:rStyle w:val="Emphasis"/>
          <w:sz w:val="20"/>
          <w:szCs w:val="20"/>
        </w:rPr>
        <w:t>Pronouncements Already Adopted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None.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rStyle w:val="Emphasis"/>
          <w:sz w:val="20"/>
          <w:szCs w:val="20"/>
        </w:rPr>
        <w:t>New Accounting Pronouncements Not Yet Adopted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None.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Other recent accounting pronouncements issued by the FASB did not or are not believed by management to have a material impact on the Company’s present or futur</w:t>
      </w:r>
      <w:r>
        <w:rPr>
          <w:sz w:val="20"/>
          <w:szCs w:val="20"/>
        </w:rPr>
        <w:t>e financial statements.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12</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NOTE 3 - REVENUE: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Company’</w:t>
      </w:r>
      <w:r>
        <w:rPr>
          <w:sz w:val="20"/>
          <w:szCs w:val="20"/>
        </w:rPr>
        <w:t>s subsidiary, Anton Nielsen Vojens, ApS has one customer who is a non-related party and leases property from the Company. Rent revenues related to the operating lease are recognized as incurred. The Company’s subsidiary Sharx DK ApS had zero retail custome</w:t>
      </w:r>
      <w:r>
        <w:rPr>
          <w:sz w:val="20"/>
          <w:szCs w:val="20"/>
        </w:rPr>
        <w:t>rs for the three and six month period ending December 31, 2022 and zero for the three and six month period ending December 31, 2021. The Company has determined that is an agent of the manufacturer and collects commission revenue at or before the delivery o</w:t>
      </w:r>
      <w:r>
        <w:rPr>
          <w:sz w:val="20"/>
          <w:szCs w:val="20"/>
        </w:rPr>
        <w:t>f product.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sz w:val="20"/>
          <w:szCs w:val="20"/>
        </w:rPr>
        <w:t>The Company disaggregates revenues by revenue type and geographic location. See the below tables: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Three Months Ended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Style w:val="Strong"/>
                <w:rFonts w:eastAsia="Times New Roman"/>
                <w:sz w:val="20"/>
                <w:szCs w:val="20"/>
              </w:rPr>
              <w:t>9,38</w:t>
            </w:r>
            <w:r>
              <w:rPr>
                <w:rStyle w:val="Strong"/>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Style w:val="Strong"/>
                <w:rFonts w:eastAsia="Times New Roman"/>
                <w:sz w:val="20"/>
                <w:szCs w:val="20"/>
              </w:rPr>
              <w:t>9,86</w:t>
            </w:r>
            <w:r>
              <w:rPr>
                <w:rStyle w:val="Strong"/>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Six Months Ended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Style w:val="Strong"/>
                <w:rFonts w:eastAsia="Times New Roman"/>
                <w:sz w:val="20"/>
                <w:szCs w:val="20"/>
              </w:rPr>
              <w:t>18,35</w:t>
            </w:r>
            <w:r>
              <w:rPr>
                <w:rStyle w:val="Strong"/>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Style w:val="Strong"/>
                <w:rFonts w:eastAsia="Times New Roman"/>
                <w:sz w:val="20"/>
                <w:szCs w:val="20"/>
              </w:rPr>
              <w:t>20,04</w:t>
            </w:r>
            <w:r>
              <w:rPr>
                <w:rStyle w:val="Strong"/>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sz w:val="20"/>
          <w:szCs w:val="20"/>
        </w:rPr>
        <w:t>The Company’</w:t>
      </w:r>
      <w:r>
        <w:rPr>
          <w:sz w:val="20"/>
          <w:szCs w:val="20"/>
        </w:rPr>
        <w:t>s derives revenues from 100% of foreign revenues. For the period ending December 31, 2022 and December 31, 2021 the major geographic concentrations were as follows: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for the Three Months Ended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Style w:val="Strong"/>
                <w:rFonts w:eastAsia="Times New Roman"/>
                <w:sz w:val="20"/>
                <w:szCs w:val="20"/>
              </w:rPr>
              <w:t>9,38</w:t>
            </w:r>
            <w:r>
              <w:rPr>
                <w:rStyle w:val="Strong"/>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Style w:val="Strong"/>
                <w:rFonts w:eastAsia="Times New Roman"/>
                <w:sz w:val="20"/>
                <w:szCs w:val="20"/>
              </w:rPr>
              <w:t>9,86</w:t>
            </w:r>
            <w:r>
              <w:rPr>
                <w:rStyle w:val="Strong"/>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for the Six Months Ended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Style w:val="Strong"/>
                <w:rFonts w:eastAsia="Times New Roman"/>
                <w:sz w:val="20"/>
                <w:szCs w:val="20"/>
              </w:rPr>
              <w:t>18,35</w:t>
            </w:r>
            <w:r>
              <w:rPr>
                <w:rStyle w:val="Strong"/>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Style w:val="Strong"/>
                <w:rFonts w:eastAsia="Times New Roman"/>
                <w:sz w:val="20"/>
                <w:szCs w:val="20"/>
              </w:rPr>
              <w:t>20,04</w:t>
            </w:r>
            <w:r>
              <w:rPr>
                <w:rStyle w:val="Strong"/>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13</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NOTE 4 - PROPERTY AND EQUIPMENT: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 xml:space="preserve">The Land owned by the Company’s wholly owned subsidiary constitutes the largest asset of the Company. During the period ending December 31, 2022 the Company recorded an increase in the carrying value of the Land of </w:t>
      </w:r>
      <w:r>
        <w:rPr>
          <w:sz w:val="20"/>
          <w:szCs w:val="20"/>
        </w:rPr>
        <w:t>$</w:t>
      </w:r>
      <w:r>
        <w:rPr>
          <w:sz w:val="20"/>
          <w:szCs w:val="20"/>
        </w:rPr>
        <w:t>11,91</w:t>
      </w:r>
      <w:r>
        <w:rPr>
          <w:sz w:val="20"/>
          <w:szCs w:val="20"/>
        </w:rPr>
        <w:t>0</w:t>
      </w:r>
      <w:r>
        <w:rPr>
          <w:sz w:val="20"/>
          <w:szCs w:val="20"/>
        </w:rPr>
        <w:t xml:space="preserve">, due to the currency translation </w:t>
      </w:r>
      <w:r>
        <w:rPr>
          <w:sz w:val="20"/>
          <w:szCs w:val="20"/>
        </w:rPr>
        <w:t>difference. The carrying value of the Land of the Company was as follows: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1"/>
        <w:gridCol w:w="842"/>
        <w:gridCol w:w="118"/>
        <w:gridCol w:w="118"/>
        <w:gridCol w:w="130"/>
        <w:gridCol w:w="842"/>
        <w:gridCol w:w="133"/>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sz w:val="20"/>
                <w:szCs w:val="20"/>
              </w:rPr>
              <w:t> </w:t>
            </w:r>
            <w:r>
              <w:rPr>
                <w:rStyle w:val="Strong"/>
                <w:sz w:val="20"/>
                <w:szCs w:val="20"/>
              </w:rPr>
              <w:t>Carrying Value of Land at</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 xml:space="preserve">December 31, </w:t>
            </w:r>
          </w:p>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 xml:space="preserve">June 30, </w:t>
            </w:r>
          </w:p>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578,76</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14"/>
        <w:jc w:val="both"/>
        <w:divId w:val="855849836"/>
        <w:rPr>
          <w:sz w:val="20"/>
          <w:szCs w:val="20"/>
        </w:rPr>
      </w:pPr>
      <w:r>
        <w:rPr>
          <w:rStyle w:val="Strong"/>
          <w:sz w:val="20"/>
          <w:szCs w:val="20"/>
        </w:rPr>
        <w:t>NOTE 5 - RELATED PARTY TRANSACTIONS: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Crossfield, Inc., a company of which the CEO, Robert Wolfe is an officer and director, has made advances to the Company which are not collateralized, non-interest bearing, and payable upon demand. At December 31, 2022</w:t>
      </w:r>
      <w:r>
        <w:rPr>
          <w:sz w:val="20"/>
          <w:szCs w:val="20"/>
        </w:rPr>
        <w:t xml:space="preserve"> and June 30, 2022, the Company had a balance of </w:t>
      </w:r>
      <w:r>
        <w:rPr>
          <w:sz w:val="20"/>
          <w:szCs w:val="20"/>
        </w:rPr>
        <w:t>$</w:t>
      </w:r>
      <w:r>
        <w:rPr>
          <w:sz w:val="20"/>
          <w:szCs w:val="20"/>
        </w:rPr>
        <w:t>143,88</w:t>
      </w:r>
      <w:r>
        <w:rPr>
          <w:sz w:val="20"/>
          <w:szCs w:val="20"/>
        </w:rPr>
        <w:t>9</w:t>
      </w:r>
      <w:r>
        <w:rPr>
          <w:sz w:val="20"/>
          <w:szCs w:val="20"/>
        </w:rPr>
        <w:t xml:space="preserve"> and </w:t>
      </w:r>
      <w:r>
        <w:rPr>
          <w:sz w:val="20"/>
          <w:szCs w:val="20"/>
        </w:rPr>
        <w:t>$</w:t>
      </w:r>
      <w:r>
        <w:rPr>
          <w:sz w:val="20"/>
          <w:szCs w:val="20"/>
        </w:rPr>
        <w:t>137,58</w:t>
      </w:r>
      <w:r>
        <w:rPr>
          <w:sz w:val="20"/>
          <w:szCs w:val="20"/>
        </w:rPr>
        <w:t>3</w:t>
      </w:r>
      <w:r>
        <w:rPr>
          <w:sz w:val="20"/>
          <w:szCs w:val="20"/>
        </w:rPr>
        <w:t xml:space="preserve"> respectively. During the six-month period ended December 31, 2022 and 2021 expenses paid on behalf of the Company were </w:t>
      </w:r>
      <w:r>
        <w:rPr>
          <w:sz w:val="20"/>
          <w:szCs w:val="20"/>
        </w:rPr>
        <w:t>$</w:t>
      </w:r>
      <w:r>
        <w:rPr>
          <w:sz w:val="20"/>
          <w:szCs w:val="20"/>
        </w:rPr>
        <w:t>12,50</w:t>
      </w:r>
      <w:r>
        <w:rPr>
          <w:sz w:val="20"/>
          <w:szCs w:val="20"/>
        </w:rPr>
        <w:t>0</w:t>
      </w:r>
      <w:r>
        <w:rPr>
          <w:sz w:val="20"/>
          <w:szCs w:val="20"/>
        </w:rPr>
        <w:t xml:space="preserve"> and </w:t>
      </w:r>
      <w:r>
        <w:rPr>
          <w:sz w:val="20"/>
          <w:szCs w:val="20"/>
        </w:rPr>
        <w:t>$</w:t>
      </w:r>
      <w:r>
        <w:rPr>
          <w:sz w:val="20"/>
          <w:szCs w:val="20"/>
        </w:rPr>
        <w:t>13,12</w:t>
      </w:r>
      <w:r>
        <w:rPr>
          <w:sz w:val="20"/>
          <w:szCs w:val="20"/>
        </w:rPr>
        <w:t>9</w:t>
      </w:r>
      <w:r>
        <w:rPr>
          <w:sz w:val="20"/>
          <w:szCs w:val="20"/>
        </w:rPr>
        <w:t xml:space="preserve"> respectively. The Company repaid </w:t>
      </w:r>
      <w:r>
        <w:rPr>
          <w:sz w:val="20"/>
          <w:szCs w:val="20"/>
        </w:rPr>
        <w:t>$</w:t>
      </w:r>
      <w:r>
        <w:rPr>
          <w:sz w:val="20"/>
          <w:szCs w:val="20"/>
        </w:rPr>
        <w:t>4,96</w:t>
      </w:r>
      <w:r>
        <w:rPr>
          <w:sz w:val="20"/>
          <w:szCs w:val="20"/>
        </w:rPr>
        <w:t>9</w:t>
      </w:r>
      <w:r>
        <w:rPr>
          <w:sz w:val="20"/>
          <w:szCs w:val="20"/>
        </w:rPr>
        <w:t xml:space="preserve"> of the</w:t>
      </w:r>
      <w:r>
        <w:rPr>
          <w:sz w:val="20"/>
          <w:szCs w:val="20"/>
        </w:rPr>
        <w:t xml:space="preserve"> advancement during the six month period ending December 31, 2022.</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 xml:space="preserve">NOTE 6 - NOTES PAYABLE: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both"/>
        <w:divId w:val="855849836"/>
        <w:rPr>
          <w:sz w:val="20"/>
          <w:szCs w:val="20"/>
        </w:rPr>
      </w:pPr>
      <w:r>
        <w:rPr>
          <w:sz w:val="20"/>
          <w:szCs w:val="20"/>
        </w:rPr>
        <w:t xml:space="preserve">During 2006, the Company issued a promissory note (“Note”) for </w:t>
      </w:r>
      <w:r>
        <w:rPr>
          <w:sz w:val="20"/>
          <w:szCs w:val="20"/>
        </w:rPr>
        <w:t>$</w:t>
      </w:r>
      <w:r>
        <w:rPr>
          <w:sz w:val="20"/>
          <w:szCs w:val="20"/>
        </w:rPr>
        <w:t>650,00</w:t>
      </w:r>
      <w:r>
        <w:rPr>
          <w:sz w:val="20"/>
          <w:szCs w:val="20"/>
        </w:rPr>
        <w:t>0</w:t>
      </w:r>
      <w:r>
        <w:rPr>
          <w:sz w:val="20"/>
          <w:szCs w:val="20"/>
        </w:rPr>
        <w:t>, payable to the Borkwood Development Ltd, a previous shareholder of the Company (“Seller</w:t>
      </w:r>
      <w:r>
        <w:rPr>
          <w:sz w:val="20"/>
          <w:szCs w:val="20"/>
        </w:rPr>
        <w:t>”), payable and amortized monthly and carrying an interest at</w:t>
      </w:r>
      <w:r>
        <w:rPr>
          <w:sz w:val="20"/>
          <w:szCs w:val="20"/>
        </w:rPr>
        <w:t> </w:t>
      </w:r>
      <w:r>
        <w:rPr>
          <w:sz w:val="20"/>
          <w:szCs w:val="20"/>
        </w:rPr>
        <w:t>5</w:t>
      </w:r>
      <w:r>
        <w:rPr>
          <w:sz w:val="20"/>
          <w:szCs w:val="20"/>
        </w:rPr>
        <w:t>% per year.</w:t>
      </w:r>
      <w:r>
        <w:rPr>
          <w:sz w:val="20"/>
          <w:szCs w:val="20"/>
        </w:rPr>
        <w:t> </w:t>
      </w:r>
      <w:r>
        <w:rPr>
          <w:sz w:val="20"/>
          <w:szCs w:val="20"/>
        </w:rPr>
        <w:t>The Company has the right to prepay the note at any time with a notice of 14 days. To secure the payment of principal and interest the Sellers will receive a perfect lien and securi</w:t>
      </w:r>
      <w:r>
        <w:rPr>
          <w:sz w:val="20"/>
          <w:szCs w:val="20"/>
        </w:rPr>
        <w:t>ty interest in the Shares in the company ANV until the note with accrued interest is paid in full, and, 2) In the case that the Note has not been repaid within 12 months from the day of closing the Sellers have the right to convert the debt to common stock</w:t>
      </w:r>
      <w:r>
        <w:rPr>
          <w:sz w:val="20"/>
          <w:szCs w:val="20"/>
        </w:rPr>
        <w:t xml:space="preserve"> of Advanced Oxygen Technologies, Inc. in an amount of non-diluted shares calculated on the conversion Date, equal to the lesser of : a) Six hundred and Fifty thousand (650,000) or the Purchase Price minus the principal payments made by the buyer, whicheve</w:t>
      </w:r>
      <w:r>
        <w:rPr>
          <w:sz w:val="20"/>
          <w:szCs w:val="20"/>
        </w:rPr>
        <w:t>r is greater, divided by the previous ten day closing price of AOXY as quoted on the national exchange, or b) Fifteen million shares, whichever is lesser</w:t>
      </w:r>
      <w:r>
        <w:rPr>
          <w:sz w:val="20"/>
          <w:szCs w:val="20"/>
        </w:rPr>
        <w:t>.</w:t>
      </w:r>
      <w:r>
        <w:rPr>
          <w:sz w:val="20"/>
          <w:szCs w:val="20"/>
        </w:rPr>
        <w:t xml:space="preserve"> The Note has been extended until July 1, 2023, prior to period end and interest waived through the pe</w:t>
      </w:r>
      <w:r>
        <w:rPr>
          <w:sz w:val="20"/>
          <w:szCs w:val="20"/>
        </w:rPr>
        <w:t xml:space="preserve">riod ending June 30, 2023. As of December 31, 2022, the unpaid balance was </w:t>
      </w:r>
      <w:r>
        <w:rPr>
          <w:sz w:val="20"/>
          <w:szCs w:val="20"/>
        </w:rPr>
        <w:t>$</w:t>
      </w:r>
      <w:r>
        <w:rPr>
          <w:sz w:val="20"/>
          <w:szCs w:val="20"/>
        </w:rPr>
        <w:t>127,02</w:t>
      </w:r>
      <w:r>
        <w:rPr>
          <w:sz w:val="20"/>
          <w:szCs w:val="20"/>
        </w:rPr>
        <w:t>9</w:t>
      </w:r>
      <w:r>
        <w:rPr>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The Company has a note payable with a bank (“Note B”). The original amount of Note B was kr</w:t>
      </w:r>
      <w:r>
        <w:rPr>
          <w:sz w:val="20"/>
          <w:szCs w:val="20"/>
        </w:rPr>
        <w:t xml:space="preserve"> </w:t>
      </w:r>
      <w:r>
        <w:rPr>
          <w:sz w:val="20"/>
          <w:szCs w:val="20"/>
        </w:rPr>
        <w:t>1,132,00</w:t>
      </w:r>
      <w:r>
        <w:rPr>
          <w:sz w:val="20"/>
          <w:szCs w:val="20"/>
        </w:rPr>
        <w:t>0</w:t>
      </w:r>
      <w:r>
        <w:rPr>
          <w:sz w:val="20"/>
          <w:szCs w:val="20"/>
        </w:rPr>
        <w:t xml:space="preserve"> Danish Krone (kr). Note B is secured by the subsidiary’s real estat</w:t>
      </w:r>
      <w:r>
        <w:rPr>
          <w:sz w:val="20"/>
          <w:szCs w:val="20"/>
        </w:rPr>
        <w:t>e, with a</w:t>
      </w:r>
      <w:r>
        <w:rPr>
          <w:sz w:val="20"/>
          <w:szCs w:val="20"/>
        </w:rPr>
        <w:t xml:space="preserve"> </w:t>
      </w:r>
      <w:r>
        <w:rPr>
          <w:sz w:val="20"/>
          <w:szCs w:val="20"/>
        </w:rPr>
        <w:t>2.0</w:t>
      </w:r>
      <w:r>
        <w:rPr>
          <w:sz w:val="20"/>
          <w:szCs w:val="20"/>
        </w:rPr>
        <w:t>0</w:t>
      </w:r>
      <w:r>
        <w:rPr>
          <w:sz w:val="20"/>
          <w:szCs w:val="20"/>
        </w:rPr>
        <w:t>% interest rate and</w:t>
      </w:r>
      <w:r>
        <w:rPr>
          <w:sz w:val="20"/>
          <w:szCs w:val="20"/>
        </w:rPr>
        <w:t xml:space="preserve"> </w:t>
      </w:r>
      <w:r>
        <w:rPr>
          <w:sz w:val="20"/>
          <w:szCs w:val="20"/>
        </w:rPr>
        <w:t>1</w:t>
      </w:r>
      <w:r>
        <w:rPr>
          <w:sz w:val="20"/>
          <w:szCs w:val="20"/>
        </w:rPr>
        <w:t xml:space="preserve"> year left on the term. The balance on the note as of December 31, 2022 was </w:t>
      </w:r>
      <w:r>
        <w:rPr>
          <w:sz w:val="20"/>
          <w:szCs w:val="20"/>
        </w:rPr>
        <w:t>$</w:t>
      </w:r>
      <w:r>
        <w:rPr>
          <w:sz w:val="20"/>
          <w:szCs w:val="20"/>
        </w:rPr>
        <w:t>15,61</w:t>
      </w:r>
      <w:r>
        <w:rPr>
          <w:sz w:val="20"/>
          <w:szCs w:val="20"/>
        </w:rPr>
        <w:t>8</w:t>
      </w:r>
      <w:r>
        <w:rPr>
          <w:sz w:val="20"/>
          <w:szCs w:val="20"/>
        </w:rPr>
        <w:t>. During the period ended December 31, 2022, the Company paid $</w:t>
      </w:r>
      <w:r>
        <w:rPr>
          <w:sz w:val="20"/>
          <w:szCs w:val="20"/>
        </w:rPr>
        <w:t>(</w:t>
      </w:r>
      <w:r>
        <w:rPr>
          <w:sz w:val="20"/>
          <w:szCs w:val="20"/>
        </w:rPr>
        <w:t>8,31</w:t>
      </w:r>
      <w:r>
        <w:rPr>
          <w:sz w:val="20"/>
          <w:szCs w:val="20"/>
        </w:rPr>
        <w:t>6</w:t>
      </w:r>
      <w:r>
        <w:rPr>
          <w:sz w:val="20"/>
          <w:szCs w:val="20"/>
        </w:rPr>
        <w:t xml:space="preserve">) in principal payments and </w:t>
      </w:r>
      <w:r>
        <w:rPr>
          <w:sz w:val="20"/>
          <w:szCs w:val="20"/>
        </w:rPr>
        <w:t>$</w:t>
      </w:r>
      <w:r>
        <w:rPr>
          <w:sz w:val="20"/>
          <w:szCs w:val="20"/>
        </w:rPr>
        <w:t>48</w:t>
      </w:r>
      <w:r>
        <w:rPr>
          <w:sz w:val="20"/>
          <w:szCs w:val="20"/>
        </w:rPr>
        <w:t>5</w:t>
      </w:r>
      <w:r>
        <w:rPr>
          <w:sz w:val="20"/>
          <w:szCs w:val="20"/>
        </w:rPr>
        <w:t xml:space="preserve"> in interest.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The Company’s commitm</w:t>
      </w:r>
      <w:r>
        <w:rPr>
          <w:sz w:val="20"/>
          <w:szCs w:val="20"/>
        </w:rPr>
        <w:t xml:space="preserve">ents and contingencies are </w:t>
      </w:r>
      <w:r>
        <w:rPr>
          <w:sz w:val="20"/>
          <w:szCs w:val="20"/>
        </w:rPr>
        <w:t>$</w:t>
      </w:r>
      <w:r>
        <w:rPr>
          <w:sz w:val="20"/>
          <w:szCs w:val="20"/>
        </w:rPr>
        <w:t>135,86</w:t>
      </w:r>
      <w:r>
        <w:rPr>
          <w:sz w:val="20"/>
          <w:szCs w:val="20"/>
        </w:rPr>
        <w:t>7</w:t>
      </w:r>
      <w:r>
        <w:rPr>
          <w:sz w:val="20"/>
          <w:szCs w:val="20"/>
        </w:rPr>
        <w:t xml:space="preserve"> for 2023. See below table for the years 2023 through 2024 with total principal payments due on outstanding notes payable of </w:t>
      </w:r>
      <w:r>
        <w:rPr>
          <w:sz w:val="20"/>
          <w:szCs w:val="20"/>
        </w:rPr>
        <w:t>$</w:t>
      </w:r>
      <w:r>
        <w:rPr>
          <w:sz w:val="20"/>
          <w:szCs w:val="20"/>
        </w:rPr>
        <w:t>142,64</w:t>
      </w:r>
      <w:r>
        <w:rPr>
          <w:sz w:val="20"/>
          <w:szCs w:val="20"/>
        </w:rPr>
        <w:t>7</w:t>
      </w:r>
      <w:r>
        <w:rPr>
          <w:sz w:val="20"/>
          <w:szCs w:val="20"/>
        </w:rPr>
        <w:t>. The amounts stated reflect the Company’s commitments in the currencies that those comm</w:t>
      </w:r>
      <w:r>
        <w:rPr>
          <w:sz w:val="20"/>
          <w:szCs w:val="20"/>
        </w:rPr>
        <w:t>itments were made and the amounts are an estimate of what the US dollar amount would be if the currency rates did not change.</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121"/>
        <w:gridCol w:w="120"/>
        <w:gridCol w:w="130"/>
        <w:gridCol w:w="854"/>
        <w:gridCol w:w="135"/>
      </w:tblGrid>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rPr>
                <w:sz w:val="20"/>
                <w:szCs w:val="20"/>
              </w:rPr>
            </w:pPr>
            <w:r>
              <w:rPr>
                <w:rStyle w:val="Strong"/>
                <w:sz w:val="20"/>
                <w:szCs w:val="20"/>
              </w:rPr>
              <w:t>Fiscal Year Ending</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2023</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142,64</w:t>
            </w:r>
            <w:r>
              <w:rPr>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2024</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142,64</w:t>
            </w:r>
            <w:r>
              <w:rPr>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lastRenderedPageBreak/>
              <w:t>Less: Long-term portion of notes payable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Notes payable, current portion</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142,64</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amounts stated reflect the Company’</w:t>
      </w:r>
      <w:r>
        <w:rPr>
          <w:sz w:val="20"/>
          <w:szCs w:val="20"/>
        </w:rPr>
        <w:t>s commitments in the currencies that those commitments were made and the amounts are an estimate of what the US dollar amount would be if the currency rates did not change going forward.</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14</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w:t>
      </w:r>
      <w:r>
        <w:rPr>
          <w:sz w:val="20"/>
          <w:szCs w:val="20"/>
        </w:rPr>
        <w:t> </w:t>
      </w:r>
      <w:r>
        <w:rPr>
          <w:rStyle w:val="Strong"/>
          <w:sz w:val="20"/>
          <w:szCs w:val="20"/>
        </w:rPr>
        <w:t>AND SUBSIDIARIES</w:t>
      </w:r>
    </w:p>
    <w:p w:rsidR="00000000" w:rsidRDefault="00D2754D">
      <w:pPr>
        <w:pStyle w:val="NormalWeb"/>
        <w:spacing w:before="0" w:beforeAutospacing="0" w:after="0" w:afterAutospacing="0"/>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NOTE 7 - STOCKHOLDERS’ EQUITY:</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Common Stock:</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Company is authorized to issue</w:t>
      </w:r>
      <w:r>
        <w:rPr>
          <w:sz w:val="20"/>
          <w:szCs w:val="20"/>
        </w:rPr>
        <w:t> </w:t>
      </w:r>
      <w:r>
        <w:rPr>
          <w:sz w:val="20"/>
          <w:szCs w:val="20"/>
        </w:rPr>
        <w:t>60,000,00</w:t>
      </w:r>
      <w:r>
        <w:rPr>
          <w:sz w:val="20"/>
          <w:szCs w:val="20"/>
        </w:rPr>
        <w:t>0</w:t>
      </w:r>
      <w:r>
        <w:rPr>
          <w:sz w:val="20"/>
          <w:szCs w:val="20"/>
        </w:rPr>
        <w:t xml:space="preserve"> shares of Common stock, par value </w:t>
      </w:r>
      <w:r>
        <w:rPr>
          <w:sz w:val="20"/>
          <w:szCs w:val="20"/>
        </w:rPr>
        <w:t>$</w:t>
      </w:r>
      <w:r>
        <w:rPr>
          <w:sz w:val="20"/>
          <w:szCs w:val="20"/>
        </w:rPr>
        <w:t>0.0</w:t>
      </w:r>
      <w:r>
        <w:rPr>
          <w:sz w:val="20"/>
          <w:szCs w:val="20"/>
        </w:rPr>
        <w:t>1</w:t>
      </w:r>
      <w:r>
        <w:rPr>
          <w:sz w:val="20"/>
          <w:szCs w:val="20"/>
        </w:rPr>
        <w:t>; At December 31, 2022 and June 30, 2022 there were</w:t>
      </w:r>
      <w:r>
        <w:rPr>
          <w:sz w:val="20"/>
          <w:szCs w:val="20"/>
        </w:rPr>
        <w:t> </w:t>
      </w:r>
      <w:r>
        <w:rPr>
          <w:sz w:val="20"/>
          <w:szCs w:val="20"/>
        </w:rPr>
        <w:t>3,292,94</w:t>
      </w:r>
      <w:r>
        <w:rPr>
          <w:sz w:val="20"/>
          <w:szCs w:val="20"/>
        </w:rPr>
        <w:t>5</w:t>
      </w:r>
      <w:r>
        <w:rPr>
          <w:sz w:val="20"/>
          <w:szCs w:val="20"/>
        </w:rPr>
        <w:t> and</w:t>
      </w:r>
      <w:r>
        <w:rPr>
          <w:sz w:val="20"/>
          <w:szCs w:val="20"/>
        </w:rPr>
        <w:t> </w:t>
      </w:r>
      <w:r>
        <w:rPr>
          <w:sz w:val="20"/>
          <w:szCs w:val="20"/>
        </w:rPr>
        <w:t>3,292,94</w:t>
      </w:r>
      <w:r>
        <w:rPr>
          <w:sz w:val="20"/>
          <w:szCs w:val="20"/>
        </w:rPr>
        <w:t>5</w:t>
      </w:r>
      <w:r>
        <w:rPr>
          <w:sz w:val="20"/>
          <w:szCs w:val="20"/>
        </w:rPr>
        <w:t> shares issued and outstanding, respectively.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Preferred Stock:</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Series 2 Convertible Preferred Stock:</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sz w:val="20"/>
          <w:szCs w:val="20"/>
        </w:rPr>
        <w:t>The Company is authorized to issue</w:t>
      </w:r>
      <w:r>
        <w:rPr>
          <w:sz w:val="20"/>
          <w:szCs w:val="20"/>
        </w:rPr>
        <w:t> </w:t>
      </w:r>
      <w:r>
        <w:rPr>
          <w:sz w:val="20"/>
          <w:szCs w:val="20"/>
        </w:rPr>
        <w:t>10,000,00</w:t>
      </w:r>
      <w:r>
        <w:rPr>
          <w:sz w:val="20"/>
          <w:szCs w:val="20"/>
        </w:rPr>
        <w:t>0</w:t>
      </w:r>
      <w:r>
        <w:rPr>
          <w:sz w:val="20"/>
          <w:szCs w:val="20"/>
        </w:rPr>
        <w:t xml:space="preserve"> shares of </w:t>
      </w:r>
      <w:r>
        <w:rPr>
          <w:sz w:val="20"/>
          <w:szCs w:val="20"/>
        </w:rPr>
        <w:t>$</w:t>
      </w:r>
      <w:r>
        <w:rPr>
          <w:sz w:val="20"/>
          <w:szCs w:val="20"/>
        </w:rPr>
        <w:t>0.0</w:t>
      </w:r>
      <w:r>
        <w:rPr>
          <w:sz w:val="20"/>
          <w:szCs w:val="20"/>
        </w:rPr>
        <w:t>1</w:t>
      </w:r>
      <w:r>
        <w:rPr>
          <w:sz w:val="20"/>
          <w:szCs w:val="20"/>
        </w:rPr>
        <w:t xml:space="preserve"> par value of series 2 convertible preferred stock. Each Series 2 preferred share also includes one warrant to purchase two common shares for </w:t>
      </w:r>
      <w:r>
        <w:rPr>
          <w:sz w:val="20"/>
          <w:szCs w:val="20"/>
        </w:rPr>
        <w:t>$</w:t>
      </w:r>
      <w:r>
        <w:rPr>
          <w:sz w:val="20"/>
          <w:szCs w:val="20"/>
        </w:rPr>
        <w:t>5.0</w:t>
      </w:r>
      <w:r>
        <w:rPr>
          <w:sz w:val="20"/>
          <w:szCs w:val="20"/>
        </w:rPr>
        <w:t>0</w:t>
      </w:r>
      <w:r>
        <w:rPr>
          <w:sz w:val="20"/>
          <w:szCs w:val="20"/>
        </w:rPr>
        <w:t>. The wa</w:t>
      </w:r>
      <w:r>
        <w:rPr>
          <w:sz w:val="20"/>
          <w:szCs w:val="20"/>
        </w:rPr>
        <w:t>rrants are exercisable over a three-year period. In the event of the liquidation of the Company, holders of Series 2 preferred stock would be entitled to receive $5.00 per share, plus any unpaid dividends declared on the Series 2 preferred stock from the f</w:t>
      </w:r>
      <w:r>
        <w:rPr>
          <w:sz w:val="20"/>
          <w:szCs w:val="20"/>
        </w:rPr>
        <w:t>unds remaining after the Company’s creditors, including directors, have been paid. There have been no dividends declared. There are</w:t>
      </w:r>
      <w:r>
        <w:rPr>
          <w:sz w:val="20"/>
          <w:szCs w:val="20"/>
        </w:rPr>
        <w:t> </w:t>
      </w:r>
      <w:r>
        <w:rPr>
          <w:sz w:val="20"/>
          <w:szCs w:val="20"/>
        </w:rPr>
        <w:t>177,00</w:t>
      </w:r>
      <w:r>
        <w:rPr>
          <w:sz w:val="20"/>
          <w:szCs w:val="20"/>
        </w:rPr>
        <w:t>0</w:t>
      </w:r>
      <w:r>
        <w:rPr>
          <w:sz w:val="20"/>
          <w:szCs w:val="20"/>
        </w:rPr>
        <w:t> Series 2 Convertible Preferred shares designated. As of December 31, 2022, and June 30, 2022 there are</w:t>
      </w:r>
      <w:r>
        <w:rPr>
          <w:sz w:val="20"/>
          <w:szCs w:val="20"/>
        </w:rPr>
        <w:t> </w:t>
      </w:r>
      <w:r>
        <w:rPr>
          <w:sz w:val="20"/>
          <w:szCs w:val="20"/>
        </w:rPr>
        <w:t>5,00</w:t>
      </w:r>
      <w:r>
        <w:rPr>
          <w:sz w:val="20"/>
          <w:szCs w:val="20"/>
        </w:rPr>
        <w:t>0</w:t>
      </w:r>
      <w:r>
        <w:rPr>
          <w:sz w:val="20"/>
          <w:szCs w:val="20"/>
        </w:rPr>
        <w:t xml:space="preserve"> shares </w:t>
      </w:r>
      <w:r>
        <w:rPr>
          <w:sz w:val="20"/>
          <w:szCs w:val="20"/>
        </w:rPr>
        <w:t>issued, which are convertible into 10,000 common shares. There are no warrants outstanding that have been issued in connection with these preferred shares.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15</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Series 3 Convertible Preferred Stock:</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Company has designated</w:t>
      </w:r>
      <w:r>
        <w:rPr>
          <w:sz w:val="20"/>
          <w:szCs w:val="20"/>
        </w:rPr>
        <w:t xml:space="preserve"> </w:t>
      </w:r>
      <w:r>
        <w:rPr>
          <w:sz w:val="20"/>
          <w:szCs w:val="20"/>
        </w:rPr>
        <w:t>1,670,00</w:t>
      </w:r>
      <w:r>
        <w:rPr>
          <w:sz w:val="20"/>
          <w:szCs w:val="20"/>
        </w:rPr>
        <w:t>0</w:t>
      </w:r>
      <w:r>
        <w:rPr>
          <w:sz w:val="20"/>
          <w:szCs w:val="20"/>
        </w:rPr>
        <w:t xml:space="preserve"> shares of series 3 convertible preferred stock with a par va</w:t>
      </w:r>
      <w:r>
        <w:rPr>
          <w:sz w:val="20"/>
          <w:szCs w:val="20"/>
        </w:rPr>
        <w:t xml:space="preserve">lue </w:t>
      </w:r>
      <w:r>
        <w:rPr>
          <w:sz w:val="20"/>
          <w:szCs w:val="20"/>
        </w:rPr>
        <w:t>$</w:t>
      </w:r>
      <w:r>
        <w:rPr>
          <w:sz w:val="20"/>
          <w:szCs w:val="20"/>
        </w:rPr>
        <w:t>0.0</w:t>
      </w:r>
      <w:r>
        <w:rPr>
          <w:sz w:val="20"/>
          <w:szCs w:val="20"/>
        </w:rPr>
        <w:t>1</w:t>
      </w:r>
      <w:r>
        <w:rPr>
          <w:sz w:val="20"/>
          <w:szCs w:val="20"/>
        </w:rPr>
        <w:t>. </w:t>
      </w:r>
      <w:r>
        <w:rPr>
          <w:sz w:val="20"/>
          <w:szCs w:val="20"/>
        </w:rPr>
        <w:t xml:space="preserve"> </w:t>
      </w:r>
      <w:r>
        <w:rPr>
          <w:sz w:val="20"/>
          <w:szCs w:val="20"/>
        </w:rPr>
        <w:t>Each share automatically converts on March 2, 2000 into either (a) one (1) share of the Company’s common stock if the average closing price of the common stock during the ten trading days immediately prior to March 1, 2000 is equal to or greate</w:t>
      </w:r>
      <w:r>
        <w:rPr>
          <w:sz w:val="20"/>
          <w:szCs w:val="20"/>
        </w:rPr>
        <w:t>r than sixty-six cents ($0.66) per shar</w:t>
      </w:r>
      <w:r>
        <w:rPr>
          <w:sz w:val="20"/>
          <w:szCs w:val="20"/>
        </w:rPr>
        <w:t>e</w:t>
      </w:r>
      <w:r>
        <w:rPr>
          <w:sz w:val="20"/>
          <w:szCs w:val="20"/>
        </w:rPr>
        <w:t>, or (b) one and one-half (1 1/2) shares of common stock if the average closing price of the common stock during the ten trading days immediately prior March 1, 2000 is less than sixty-six cents ($0.66) per share. Th</w:t>
      </w:r>
      <w:r>
        <w:rPr>
          <w:sz w:val="20"/>
          <w:szCs w:val="20"/>
        </w:rPr>
        <w:t>ere were zero shares of Series 3 Convertible Preferred Stock converted to common stock.  There are zero shares issued and outstanding at December 31, 2022 and 2021.</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Series 5 Convertible Preferred Stock:</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Company has designated</w:t>
      </w:r>
      <w:r>
        <w:rPr>
          <w:sz w:val="20"/>
          <w:szCs w:val="20"/>
        </w:rPr>
        <w:t xml:space="preserve"> </w:t>
      </w:r>
      <w:r>
        <w:rPr>
          <w:sz w:val="20"/>
          <w:szCs w:val="20"/>
        </w:rPr>
        <w:t>1</w:t>
      </w:r>
      <w:r>
        <w:rPr>
          <w:sz w:val="20"/>
          <w:szCs w:val="20"/>
        </w:rPr>
        <w:t xml:space="preserve"> share of series 5 co</w:t>
      </w:r>
      <w:r>
        <w:rPr>
          <w:sz w:val="20"/>
          <w:szCs w:val="20"/>
        </w:rPr>
        <w:t>nvertible preferred stock, no par value.</w:t>
      </w:r>
      <w:r>
        <w:rPr>
          <w:sz w:val="20"/>
          <w:szCs w:val="20"/>
        </w:rPr>
        <w:t xml:space="preserve"> </w:t>
      </w:r>
      <w:r>
        <w:rPr>
          <w:sz w:val="20"/>
          <w:szCs w:val="20"/>
        </w:rPr>
        <w:t>There is 1 Series 5 Convertible Preferred shares designated. The shares are collectively convertible to common stock of the Company on March 5, 2004, in an amount equal to the greater of a.) 290,000 shares divided b</w:t>
      </w:r>
      <w:r>
        <w:rPr>
          <w:sz w:val="20"/>
          <w:szCs w:val="20"/>
        </w:rPr>
        <w:t>y the ten day closing price, prior to the date of acquisition of IPS, of the Company’s common stock as quoted on the national exchange and not to exceed twenty million shares, or b.) six million share</w:t>
      </w:r>
      <w:r>
        <w:rPr>
          <w:sz w:val="20"/>
          <w:szCs w:val="20"/>
        </w:rPr>
        <w:t>s</w:t>
      </w:r>
      <w:r>
        <w:rPr>
          <w:sz w:val="20"/>
          <w:szCs w:val="20"/>
        </w:rPr>
        <w:t>. There were zero shares of Series 5 Convertible Prefer</w:t>
      </w:r>
      <w:r>
        <w:rPr>
          <w:sz w:val="20"/>
          <w:szCs w:val="20"/>
        </w:rPr>
        <w:t>red Stock converted to common stock.  There are zero shares issued and outstanding at December 31, 2022 and 2021.</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 xml:space="preserve">NOTE 8 - Segment and Geographic Information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b/>
          <w:bCs/>
          <w:sz w:val="20"/>
          <w:szCs w:val="20"/>
        </w:rPr>
        <w:t>Segment Performance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We have three reporting segments: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trPr>
          <w:divId w:val="855849836"/>
          <w:trHeight w:val="225"/>
          <w:tblCellSpacing w:w="15" w:type="dxa"/>
          <w:jc w:val="center"/>
        </w:trPr>
        <w:tc>
          <w:tcPr>
            <w:tcW w:w="200" w:type="pct"/>
            <w:vAlign w:val="center"/>
            <w:hideMark/>
          </w:tcPr>
          <w:p w:rsidR="00000000" w:rsidRDefault="00D2754D">
            <w:pPr>
              <w:rPr>
                <w:sz w:val="20"/>
                <w:szCs w:val="20"/>
              </w:rPr>
            </w:pPr>
          </w:p>
        </w:tc>
        <w:tc>
          <w:tcPr>
            <w:tcW w:w="200" w:type="pct"/>
            <w:hideMark/>
          </w:tcPr>
          <w:p w:rsidR="00000000" w:rsidRDefault="00D2754D">
            <w:pPr>
              <w:pStyle w:val="NormalWeb"/>
              <w:spacing w:before="0" w:beforeAutospacing="0" w:after="0" w:afterAutospacing="0"/>
              <w:jc w:val="both"/>
              <w:rPr>
                <w:sz w:val="20"/>
                <w:szCs w:val="20"/>
              </w:rPr>
            </w:pPr>
            <w:r>
              <w:rPr>
                <w:sz w:val="20"/>
                <w:szCs w:val="20"/>
              </w:rPr>
              <w:t>●</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The ANV lease segment which leas</w:t>
            </w:r>
            <w:r>
              <w:rPr>
                <w:sz w:val="20"/>
                <w:szCs w:val="20"/>
              </w:rPr>
              <w:t>es land in Denmark by long term leases.</w:t>
            </w:r>
          </w:p>
        </w:tc>
      </w:tr>
      <w:tr w:rsidR="00000000">
        <w:trPr>
          <w:divId w:val="855849836"/>
          <w:trHeight w:val="225"/>
          <w:tblCellSpacing w:w="15" w:type="dxa"/>
          <w:jc w:val="center"/>
        </w:trPr>
        <w:tc>
          <w:tcPr>
            <w:tcW w:w="0" w:type="auto"/>
            <w:vAlign w:val="center"/>
            <w:hideMark/>
          </w:tcPr>
          <w:p w:rsidR="00000000" w:rsidRDefault="00D2754D">
            <w:pPr>
              <w:rPr>
                <w:sz w:val="20"/>
                <w:szCs w:val="20"/>
              </w:rPr>
            </w:pPr>
          </w:p>
        </w:tc>
        <w:tc>
          <w:tcPr>
            <w:tcW w:w="0" w:type="auto"/>
            <w:hideMark/>
          </w:tcPr>
          <w:p w:rsidR="00000000" w:rsidRDefault="00D2754D">
            <w:pPr>
              <w:pStyle w:val="NormalWeb"/>
              <w:spacing w:before="0" w:beforeAutospacing="0" w:after="0" w:afterAutospacing="0"/>
              <w:jc w:val="both"/>
              <w:rPr>
                <w:sz w:val="20"/>
                <w:szCs w:val="20"/>
              </w:rPr>
            </w:pPr>
            <w:r>
              <w:rPr>
                <w:sz w:val="20"/>
                <w:szCs w:val="20"/>
              </w:rPr>
              <w:t>●</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The Sharx’s segment which generate commissions for the sale cargo security products.</w:t>
            </w:r>
          </w:p>
        </w:tc>
      </w:tr>
      <w:tr w:rsidR="00000000">
        <w:trPr>
          <w:divId w:val="855849836"/>
          <w:trHeight w:val="225"/>
          <w:tblCellSpacing w:w="15" w:type="dxa"/>
          <w:jc w:val="center"/>
        </w:trPr>
        <w:tc>
          <w:tcPr>
            <w:tcW w:w="0" w:type="auto"/>
            <w:vAlign w:val="center"/>
            <w:hideMark/>
          </w:tcPr>
          <w:p w:rsidR="00000000" w:rsidRDefault="00D2754D">
            <w:pPr>
              <w:rPr>
                <w:sz w:val="20"/>
                <w:szCs w:val="20"/>
              </w:rPr>
            </w:pPr>
          </w:p>
        </w:tc>
        <w:tc>
          <w:tcPr>
            <w:tcW w:w="0" w:type="auto"/>
            <w:hideMark/>
          </w:tcPr>
          <w:p w:rsidR="00000000" w:rsidRDefault="00D2754D">
            <w:pPr>
              <w:pStyle w:val="NormalWeb"/>
              <w:spacing w:before="0" w:beforeAutospacing="0" w:after="0" w:afterAutospacing="0"/>
              <w:jc w:val="both"/>
              <w:rPr>
                <w:sz w:val="20"/>
                <w:szCs w:val="20"/>
              </w:rPr>
            </w:pPr>
            <w:r>
              <w:rPr>
                <w:sz w:val="20"/>
                <w:szCs w:val="20"/>
              </w:rPr>
              <w:t>●</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The Corporate segment, Advanced Oxygen Technologies, Inc. which does not generate revenues, but has administrative expenses.</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16</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The following table summarizes financial information regarding each reportable segment’s results of operations for the periods presented:</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Six Months Ending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hideMark/>
          </w:tcPr>
          <w:p w:rsidR="00000000" w:rsidRDefault="00D2754D">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Lease income (loss)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13,59</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69,80</w:t>
            </w:r>
            <w:r>
              <w:rPr>
                <w:rFonts w:eastAsia="Times New Roman"/>
                <w:sz w:val="20"/>
                <w:szCs w:val="20"/>
              </w:rPr>
              <w:t>0</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Commission income (loss)from security product sales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7</w:t>
            </w:r>
            <w:r>
              <w:rPr>
                <w:rFonts w:eastAsia="Times New Roman"/>
                <w:sz w:val="20"/>
                <w:szCs w:val="20"/>
              </w:rPr>
              <w:t>0</w:t>
            </w:r>
            <w:r>
              <w:rPr>
                <w:rFonts w:eastAsia="Times New Roman"/>
                <w:sz w:val="20"/>
                <w:szCs w:val="20"/>
              </w:rPr>
              <w:t xml:space="preserve">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14,60</w:t>
            </w:r>
            <w:r>
              <w:rPr>
                <w:rFonts w:eastAsia="Times New Roman"/>
                <w:sz w:val="20"/>
                <w:szCs w:val="20"/>
              </w:rPr>
              <w:t>0</w:t>
            </w:r>
          </w:p>
        </w:tc>
        <w:tc>
          <w:tcPr>
            <w:tcW w:w="50" w:type="pct"/>
            <w:shd w:val="clear" w:color="auto" w:fill="CCEE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14,54</w:t>
            </w:r>
            <w:r>
              <w:rPr>
                <w:rFonts w:eastAsia="Times New Roman"/>
                <w:sz w:val="20"/>
                <w:szCs w:val="20"/>
              </w:rPr>
              <w:t>6</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1,00</w:t>
            </w:r>
            <w:r>
              <w:rPr>
                <w:rFonts w:eastAsia="Times New Roman"/>
                <w:sz w:val="20"/>
                <w:szCs w:val="20"/>
              </w:rPr>
              <w:t>1</w:t>
            </w:r>
          </w:p>
        </w:tc>
        <w:tc>
          <w:tcPr>
            <w:tcW w:w="50" w:type="pct"/>
            <w:shd w:val="clear" w:color="auto" w:fill="FFFFFF"/>
            <w:noWrap/>
            <w:tcMar>
              <w:top w:w="0" w:type="dxa"/>
              <w:left w:w="0" w:type="dxa"/>
              <w:bottom w:w="4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55,14</w:t>
            </w:r>
            <w:r>
              <w:rPr>
                <w:rFonts w:eastAsia="Times New Roman"/>
                <w:sz w:val="20"/>
                <w:szCs w:val="20"/>
              </w:rPr>
              <w:t>8</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Three Months Ending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hideMark/>
          </w:tcPr>
          <w:p w:rsidR="00000000" w:rsidRDefault="00D2754D">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Lease income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7,00</w:t>
            </w:r>
            <w:r>
              <w:rPr>
                <w:rFonts w:eastAsia="Times New Roman"/>
                <w:sz w:val="20"/>
                <w:szCs w:val="20"/>
              </w:rPr>
              <w:t>9</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62,50</w:t>
            </w:r>
            <w:r>
              <w:rPr>
                <w:rFonts w:eastAsia="Times New Roman"/>
                <w:sz w:val="20"/>
                <w:szCs w:val="20"/>
              </w:rPr>
              <w:t>5</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ind w:left="225"/>
              <w:rPr>
                <w:sz w:val="20"/>
                <w:szCs w:val="20"/>
              </w:rPr>
            </w:pPr>
            <w:r>
              <w:rPr>
                <w:sz w:val="20"/>
                <w:szCs w:val="20"/>
              </w:rPr>
              <w:t>Commission income (loss)  from security product sales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1</w:t>
            </w:r>
            <w:r>
              <w:rPr>
                <w:rFonts w:eastAsia="Times New Roman"/>
                <w:sz w:val="20"/>
                <w:szCs w:val="20"/>
              </w:rPr>
              <w:t>5</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w:t>
            </w:r>
            <w:r>
              <w:rPr>
                <w:rFonts w:eastAsia="Times New Roman"/>
                <w:sz w:val="20"/>
                <w:szCs w:val="20"/>
              </w:rPr>
              <w:t>9</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4,77</w:t>
            </w:r>
            <w:r>
              <w:rPr>
                <w:rFonts w:eastAsia="Times New Roman"/>
                <w:sz w:val="20"/>
                <w:szCs w:val="20"/>
              </w:rPr>
              <w:t>5</w:t>
            </w:r>
          </w:p>
        </w:tc>
        <w:tc>
          <w:tcPr>
            <w:tcW w:w="50" w:type="pct"/>
            <w:shd w:val="clear" w:color="auto" w:fill="CCEE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5,72</w:t>
            </w:r>
            <w:r>
              <w:rPr>
                <w:rFonts w:eastAsia="Times New Roman"/>
                <w:sz w:val="20"/>
                <w:szCs w:val="20"/>
              </w:rPr>
              <w:t>1</w:t>
            </w:r>
          </w:p>
        </w:tc>
        <w:tc>
          <w:tcPr>
            <w:tcW w:w="50" w:type="pct"/>
            <w:shd w:val="clear" w:color="auto" w:fill="CCEEFF"/>
            <w:noWrap/>
            <w:tcMar>
              <w:top w:w="0" w:type="dxa"/>
              <w:left w:w="0" w:type="dxa"/>
              <w:bottom w:w="15" w:type="dxa"/>
              <w:right w:w="0" w:type="dxa"/>
            </w:tcMar>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2,24</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rsidR="00000000" w:rsidRDefault="00D2754D">
            <w:pPr>
              <w:jc w:val="right"/>
              <w:rPr>
                <w:rFonts w:eastAsia="Times New Roman"/>
                <w:sz w:val="20"/>
                <w:szCs w:val="20"/>
              </w:rPr>
            </w:pP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56,75</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17</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21"/>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following table presents net sales, based on the location in which the sale originated, and long-lived assets, representing property, plant and equipment, net of related depreciation, b</w:t>
      </w:r>
      <w:r>
        <w:rPr>
          <w:sz w:val="20"/>
          <w:szCs w:val="20"/>
        </w:rPr>
        <w:t>y geographic region. All of the assets are land that are held by the Company’s subsidiary, ANV.</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rPr>
                <w:sz w:val="20"/>
                <w:szCs w:val="20"/>
              </w:rPr>
            </w:pPr>
            <w:r>
              <w:rPr>
                <w:rStyle w:val="Emphasis"/>
                <w:sz w:val="20"/>
                <w:szCs w:val="20"/>
              </w:rPr>
              <w:t>Three Months Ending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hideMark/>
          </w:tcPr>
          <w:p w:rsidR="00000000" w:rsidRDefault="00D2754D">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firstLine="400"/>
              <w:rPr>
                <w:sz w:val="20"/>
                <w:szCs w:val="20"/>
              </w:rPr>
            </w:pPr>
            <w:r>
              <w:rPr>
                <w:sz w:val="20"/>
                <w:szCs w:val="20"/>
              </w:rPr>
              <w:t>Total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rPr>
                <w:sz w:val="20"/>
                <w:szCs w:val="20"/>
              </w:rPr>
            </w:pPr>
            <w:r>
              <w:rPr>
                <w:rStyle w:val="Emphasis"/>
                <w:sz w:val="20"/>
                <w:szCs w:val="20"/>
              </w:rPr>
              <w:t>As of December 31, 2022 and June 30, 2022</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Dec 31, 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June 30, 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hideMark/>
          </w:tcPr>
          <w:p w:rsidR="00000000" w:rsidRDefault="00D2754D">
            <w:pPr>
              <w:pStyle w:val="NormalWeb"/>
              <w:spacing w:before="0" w:beforeAutospacing="0" w:after="0" w:afterAutospacing="0"/>
              <w:rPr>
                <w:sz w:val="20"/>
                <w:szCs w:val="20"/>
              </w:rPr>
            </w:pPr>
            <w:r>
              <w:rPr>
                <w:rStyle w:val="Strong"/>
                <w:sz w:val="20"/>
                <w:szCs w:val="20"/>
              </w:rPr>
              <w:t>Long-Lived Assets</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578,76</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left="225"/>
              <w:rPr>
                <w:sz w:val="20"/>
                <w:szCs w:val="20"/>
              </w:rPr>
            </w:pPr>
            <w:r>
              <w:rPr>
                <w:sz w:val="20"/>
                <w:szCs w:val="20"/>
              </w:rPr>
              <w:t>Total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578,76</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ind w:left="7"/>
              <w:rPr>
                <w:sz w:val="20"/>
                <w:szCs w:val="20"/>
              </w:rPr>
            </w:pPr>
            <w:r>
              <w:rPr>
                <w:rStyle w:val="Emphasis"/>
                <w:sz w:val="20"/>
                <w:szCs w:val="20"/>
              </w:rPr>
              <w:t>Six Months Ending December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hideMark/>
          </w:tcPr>
          <w:p w:rsidR="00000000" w:rsidRDefault="00D2754D">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ind w:firstLine="400"/>
              <w:rPr>
                <w:sz w:val="20"/>
                <w:szCs w:val="20"/>
              </w:rPr>
            </w:pPr>
            <w:r>
              <w:rPr>
                <w:sz w:val="20"/>
                <w:szCs w:val="20"/>
              </w:rPr>
              <w:t>Total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CCEE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18</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xml:space="preserve">   </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ADVANCED OXYGEN TECHNOLOGIES, INC. AND SUBSIDIARIES</w:t>
      </w:r>
    </w:p>
    <w:p w:rsidR="00000000" w:rsidRDefault="00D2754D">
      <w:pPr>
        <w:pStyle w:val="NormalWeb"/>
        <w:spacing w:before="0" w:beforeAutospacing="0" w:after="0" w:afterAutospacing="0"/>
        <w:ind w:left="7"/>
        <w:jc w:val="center"/>
        <w:divId w:val="855849836"/>
        <w:rPr>
          <w:sz w:val="20"/>
          <w:szCs w:val="20"/>
        </w:rPr>
      </w:pPr>
      <w:r>
        <w:rPr>
          <w:rStyle w:val="Strong"/>
          <w:sz w:val="20"/>
          <w:szCs w:val="20"/>
        </w:rPr>
        <w:t>NOTES TO CONDENSED CONSOLIDATED FINANCIAL STATEMENTS (continued)</w:t>
      </w:r>
    </w:p>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trPr>
          <w:divId w:val="855849836"/>
          <w:trHeight w:val="225"/>
          <w:tblCellSpacing w:w="15" w:type="dxa"/>
          <w:jc w:val="center"/>
        </w:trPr>
        <w:tc>
          <w:tcPr>
            <w:tcW w:w="0" w:type="auto"/>
            <w:gridSpan w:val="17"/>
            <w:tcBorders>
              <w:bottom w:val="single" w:sz="6" w:space="0" w:color="auto"/>
            </w:tcBorders>
            <w:hideMark/>
          </w:tcPr>
          <w:p w:rsidR="00000000" w:rsidRDefault="00D2754D">
            <w:pPr>
              <w:pStyle w:val="NormalWeb"/>
              <w:spacing w:before="0" w:beforeAutospacing="0" w:after="0" w:afterAutospacing="0"/>
              <w:jc w:val="center"/>
              <w:rPr>
                <w:sz w:val="20"/>
                <w:szCs w:val="20"/>
              </w:rPr>
            </w:pPr>
            <w:r>
              <w:rPr>
                <w:rStyle w:val="Strong"/>
                <w:sz w:val="20"/>
                <w:szCs w:val="20"/>
              </w:rPr>
              <w:t>Three Months Ending December 31, 2022</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w:t>
            </w:r>
            <w:r>
              <w:rPr>
                <w:rFonts w:eastAsia="Times New Roman"/>
                <w:sz w:val="20"/>
                <w:szCs w:val="20"/>
              </w:rPr>
              <w:t>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9,20</w:t>
            </w:r>
            <w:r>
              <w:rPr>
                <w:rFonts w:eastAsia="Times New Roman"/>
                <w:sz w:val="20"/>
                <w:szCs w:val="20"/>
              </w:rPr>
              <w:t>6</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4,77</w:t>
            </w:r>
            <w:r>
              <w:rPr>
                <w:rFonts w:eastAsia="Times New Roman"/>
                <w:sz w:val="20"/>
                <w:szCs w:val="20"/>
              </w:rPr>
              <w:t>5</w:t>
            </w:r>
            <w:r>
              <w:rPr>
                <w:rFonts w:eastAsia="Times New Roman"/>
                <w:sz w:val="20"/>
                <w:szCs w:val="20"/>
              </w:rPr>
              <w:t xml:space="preserve">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4,43</w:t>
            </w:r>
            <w:r>
              <w:rPr>
                <w:rFonts w:eastAsia="Times New Roman"/>
                <w:sz w:val="20"/>
                <w:szCs w:val="20"/>
              </w:rPr>
              <w:t>1</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22</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22</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679,199</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2,41</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681,76</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center"/>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trPr>
          <w:divId w:val="855849836"/>
          <w:trHeight w:val="225"/>
          <w:tblCellSpacing w:w="15" w:type="dxa"/>
          <w:jc w:val="center"/>
        </w:trPr>
        <w:tc>
          <w:tcPr>
            <w:tcW w:w="0" w:type="auto"/>
            <w:gridSpan w:val="17"/>
            <w:tcBorders>
              <w:bottom w:val="single" w:sz="6" w:space="0" w:color="auto"/>
            </w:tcBorders>
            <w:hideMark/>
          </w:tcPr>
          <w:p w:rsidR="00000000" w:rsidRDefault="00D2754D">
            <w:pPr>
              <w:pStyle w:val="NormalWeb"/>
              <w:spacing w:before="0" w:beforeAutospacing="0" w:after="0" w:afterAutospacing="0"/>
              <w:jc w:val="center"/>
              <w:rPr>
                <w:sz w:val="20"/>
                <w:szCs w:val="20"/>
              </w:rPr>
            </w:pPr>
            <w:r>
              <w:rPr>
                <w:rStyle w:val="Strong"/>
                <w:sz w:val="20"/>
                <w:szCs w:val="20"/>
              </w:rPr>
              <w:t>Three Months Ending December 31, 2021</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w:t>
            </w:r>
            <w:r>
              <w:rPr>
                <w:rFonts w:eastAsia="Times New Roman"/>
                <w:sz w:val="20"/>
                <w:szCs w:val="20"/>
              </w:rPr>
              <w:t>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Operating (loss) income</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9,57</w:t>
            </w:r>
            <w:r>
              <w:rPr>
                <w:rFonts w:eastAsia="Times New Roman"/>
                <w:sz w:val="20"/>
                <w:szCs w:val="20"/>
              </w:rPr>
              <w:t>8</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2</w:t>
            </w:r>
            <w:r>
              <w:rPr>
                <w:rFonts w:eastAsia="Times New Roman"/>
                <w:sz w:val="20"/>
                <w:szCs w:val="20"/>
              </w:rPr>
              <w:t>9</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5,72</w:t>
            </w:r>
            <w:r>
              <w:rPr>
                <w:rFonts w:eastAsia="Times New Roman"/>
                <w:sz w:val="20"/>
                <w:szCs w:val="20"/>
              </w:rPr>
              <w:t>1</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3,82</w:t>
            </w:r>
            <w:r>
              <w:rPr>
                <w:rFonts w:eastAsia="Times New Roman"/>
                <w:sz w:val="20"/>
                <w:szCs w:val="20"/>
              </w:rPr>
              <w:t>8</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69</w:t>
            </w:r>
            <w:r>
              <w:rPr>
                <w:rFonts w:eastAsia="Times New Roman"/>
                <w:sz w:val="20"/>
                <w:szCs w:val="20"/>
              </w:rPr>
              <w:t>8</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69</w:t>
            </w:r>
            <w:r>
              <w:rPr>
                <w:rFonts w:eastAsia="Times New Roman"/>
                <w:sz w:val="20"/>
                <w:szCs w:val="20"/>
              </w:rPr>
              <w:t>8</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710,150</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4,69</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714,99</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gridSpan w:val="17"/>
            <w:tcBorders>
              <w:bottom w:val="single" w:sz="6" w:space="0" w:color="auto"/>
            </w:tcBorders>
            <w:shd w:val="clear" w:color="auto" w:fill="FFFFFF"/>
            <w:hideMark/>
          </w:tcPr>
          <w:p w:rsidR="00000000" w:rsidRDefault="00D2754D">
            <w:pPr>
              <w:pStyle w:val="NormalWeb"/>
              <w:spacing w:before="0" w:beforeAutospacing="0" w:after="0" w:afterAutospacing="0"/>
              <w:jc w:val="center"/>
              <w:rPr>
                <w:sz w:val="20"/>
                <w:szCs w:val="20"/>
              </w:rPr>
            </w:pPr>
            <w:r>
              <w:rPr>
                <w:rStyle w:val="Strong"/>
                <w:sz w:val="20"/>
                <w:szCs w:val="20"/>
              </w:rPr>
              <w:t>Six Months Ending December 31, 2022</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ANV</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Sharx</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Corporate</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Total</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18,35</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17,92</w:t>
            </w:r>
            <w:r>
              <w:rPr>
                <w:rFonts w:eastAsia="Times New Roman"/>
                <w:sz w:val="20"/>
                <w:szCs w:val="20"/>
              </w:rPr>
              <w:t>0</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3</w:t>
            </w:r>
            <w:r>
              <w:rPr>
                <w:rFonts w:eastAsia="Times New Roman"/>
                <w:sz w:val="20"/>
                <w:szCs w:val="20"/>
              </w:rPr>
              <w:t>4</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14,60</w:t>
            </w:r>
            <w:r>
              <w:rPr>
                <w:rFonts w:eastAsia="Times New Roman"/>
                <w:sz w:val="20"/>
                <w:szCs w:val="20"/>
              </w:rPr>
              <w:t>0</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3,28</w:t>
            </w:r>
            <w:r>
              <w:rPr>
                <w:rFonts w:eastAsia="Times New Roman"/>
                <w:sz w:val="20"/>
                <w:szCs w:val="20"/>
              </w:rPr>
              <w:t>6</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48</w:t>
            </w:r>
            <w:r>
              <w:rPr>
                <w:rFonts w:eastAsia="Times New Roman"/>
                <w:sz w:val="20"/>
                <w:szCs w:val="20"/>
              </w:rPr>
              <w:t>5</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48</w:t>
            </w:r>
            <w:r>
              <w:rPr>
                <w:rFonts w:eastAsia="Times New Roman"/>
                <w:sz w:val="20"/>
                <w:szCs w:val="20"/>
              </w:rPr>
              <w:t>5</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679,19</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2,41</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681,76</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gridSpan w:val="17"/>
            <w:tcBorders>
              <w:bottom w:val="single" w:sz="6" w:space="0" w:color="auto"/>
            </w:tcBorders>
            <w:shd w:val="clear" w:color="auto" w:fill="FFFFFF"/>
            <w:hideMark/>
          </w:tcPr>
          <w:p w:rsidR="00000000" w:rsidRDefault="00D2754D">
            <w:pPr>
              <w:pStyle w:val="NormalWeb"/>
              <w:spacing w:before="0" w:beforeAutospacing="0" w:after="0" w:afterAutospacing="0"/>
              <w:jc w:val="center"/>
              <w:rPr>
                <w:sz w:val="20"/>
                <w:szCs w:val="20"/>
              </w:rPr>
            </w:pPr>
            <w:r>
              <w:rPr>
                <w:rStyle w:val="Strong"/>
                <w:sz w:val="20"/>
                <w:szCs w:val="20"/>
              </w:rPr>
              <w:t>Six Months Ending December 31, 2021</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ANV</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Sharx</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Corporate</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rsidR="00000000" w:rsidRDefault="00D2754D">
            <w:pPr>
              <w:pStyle w:val="NormalWeb"/>
              <w:spacing w:before="0" w:beforeAutospacing="0" w:after="0" w:afterAutospacing="0"/>
              <w:jc w:val="center"/>
              <w:rPr>
                <w:sz w:val="20"/>
                <w:szCs w:val="20"/>
              </w:rPr>
            </w:pPr>
            <w:r>
              <w:rPr>
                <w:rStyle w:val="Strong"/>
                <w:sz w:val="20"/>
                <w:szCs w:val="20"/>
              </w:rPr>
              <w:t>Total</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20,04</w:t>
            </w:r>
            <w:r>
              <w:rPr>
                <w:rFonts w:eastAsia="Times New Roman"/>
                <w:sz w:val="20"/>
                <w:szCs w:val="20"/>
              </w:rPr>
              <w:t>8</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19,45</w:t>
            </w:r>
            <w:r>
              <w:rPr>
                <w:rFonts w:eastAsia="Times New Roman"/>
                <w:sz w:val="20"/>
                <w:szCs w:val="20"/>
              </w:rPr>
              <w:t>9</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7</w:t>
            </w:r>
            <w:r>
              <w:rPr>
                <w:rFonts w:eastAsia="Times New Roman"/>
                <w:sz w:val="20"/>
                <w:szCs w:val="20"/>
              </w:rPr>
              <w:t>0</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14,54</w:t>
            </w:r>
            <w:r>
              <w:rPr>
                <w:rFonts w:eastAsia="Times New Roman"/>
                <w:sz w:val="20"/>
                <w:szCs w:val="20"/>
              </w:rPr>
              <w:t>6</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D2754D">
            <w:pPr>
              <w:jc w:val="right"/>
              <w:rPr>
                <w:rFonts w:eastAsia="Times New Roman"/>
                <w:sz w:val="20"/>
                <w:szCs w:val="20"/>
              </w:rPr>
            </w:pPr>
            <w:r>
              <w:rPr>
                <w:rFonts w:eastAsia="Times New Roman"/>
                <w:sz w:val="20"/>
                <w:szCs w:val="20"/>
              </w:rPr>
              <w:t>4,84</w:t>
            </w:r>
            <w:r>
              <w:rPr>
                <w:rFonts w:eastAsia="Times New Roman"/>
                <w:sz w:val="20"/>
                <w:szCs w:val="20"/>
              </w:rPr>
              <w:t>3</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1,22</w:t>
            </w:r>
            <w:r>
              <w:rPr>
                <w:rFonts w:eastAsia="Times New Roman"/>
                <w:sz w:val="20"/>
                <w:szCs w:val="20"/>
              </w:rPr>
              <w:t>7</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w:t>
            </w:r>
            <w:r>
              <w:rPr>
                <w:rFonts w:eastAsia="Times New Roman"/>
                <w:sz w:val="20"/>
                <w:szCs w:val="20"/>
              </w:rPr>
              <w:t>1,22</w:t>
            </w:r>
            <w:r>
              <w:rPr>
                <w:rFonts w:eastAsia="Times New Roman"/>
                <w:sz w:val="20"/>
                <w:szCs w:val="20"/>
              </w:rPr>
              <w:t>7</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710,15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4,69</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rsidR="00000000" w:rsidRDefault="00D2754D">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714,99</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rStyle w:val="Strong"/>
          <w:sz w:val="20"/>
          <w:szCs w:val="20"/>
        </w:rPr>
        <w:t>NOTE 9 - SUBSEQUENT EVENTS: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In accordance with ASC 855-10, Company management reviewed all material events through the date of this report.</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19</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2: MANAGEMENT’</w:t>
      </w:r>
      <w:r>
        <w:rPr>
          <w:rStyle w:val="atag"/>
          <w:b/>
          <w:bCs/>
          <w:sz w:val="20"/>
          <w:szCs w:val="20"/>
        </w:rPr>
        <w:t>S DISCUSSION AND ANALYSIS OR PLAN OF OPERATION</w:t>
      </w:r>
      <w:r>
        <w:rPr>
          <w:rStyle w:val="atag"/>
          <w:b/>
          <w:bCs/>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The following should be read in conjunction with our Consolidated Financial Statements and the notes thereto included in the Financial Statements.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 xml:space="preserve">FORWARD LOOKING STATEMENTS: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Certain statements contained in this report, including statements concerning</w:t>
      </w:r>
      <w:r>
        <w:rPr>
          <w:sz w:val="20"/>
          <w:szCs w:val="20"/>
        </w:rPr>
        <w:t xml:space="preserve"> the Company’s future and financing requirements, the Company’s ability to obtain market acceptance of its products and the competitive market for sales of small production business and other statements contained herein regarding matters that are not histo</w:t>
      </w:r>
      <w:r>
        <w:rPr>
          <w:sz w:val="20"/>
          <w:szCs w:val="20"/>
        </w:rPr>
        <w:t>rical facts, are forward looking statements; actual results may differ materially from those set forth in the forward looking statements, which statements involve risks and uncertainties, including without limitation to those risks and uncertainties set fo</w:t>
      </w:r>
      <w:r>
        <w:rPr>
          <w:sz w:val="20"/>
          <w:szCs w:val="20"/>
        </w:rPr>
        <w:t>rth in any of the Company’s Registration Statements and Annual reports on form 10K under the heading “Risk Factors” or any other such heading. In addition, historical performance of the Company should not be considered as an indicator for future performanc</w:t>
      </w:r>
      <w:r>
        <w:rPr>
          <w:sz w:val="20"/>
          <w:szCs w:val="20"/>
        </w:rPr>
        <w:t>e, and as such, the future performance of the Company may differ significantly from historical performance.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 xml:space="preserve">REVENUES: Revenues from operations for the three-month period ending December 31, 2022 and December 31, 2021 were $9,382 and $9,867 respectively, </w:t>
      </w:r>
      <w:r>
        <w:rPr>
          <w:sz w:val="20"/>
          <w:szCs w:val="20"/>
        </w:rPr>
        <w:t>and for the six-month period ending December 31, 2022 and December 31, 2021 were $18,358 and $20,048 respectively. The decreases are attributable to currency fluctuations. The following table summarizes the Company’s revenue allocations: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trPr>
          <w:divId w:val="855849836"/>
          <w:trHeight w:val="225"/>
          <w:tblCellSpacing w:w="15" w:type="dxa"/>
          <w:jc w:val="center"/>
        </w:trPr>
        <w:tc>
          <w:tcPr>
            <w:tcW w:w="0" w:type="auto"/>
            <w:tcBorders>
              <w:bottom w:val="single" w:sz="6" w:space="0" w:color="auto"/>
            </w:tcBorders>
            <w:vAlign w:val="bottom"/>
            <w:hideMark/>
          </w:tcPr>
          <w:p w:rsidR="00000000" w:rsidRDefault="00D2754D">
            <w:pPr>
              <w:pStyle w:val="NormalWeb"/>
              <w:spacing w:before="0" w:beforeAutospacing="0" w:after="0" w:afterAutospacing="0"/>
              <w:rPr>
                <w:sz w:val="20"/>
                <w:szCs w:val="20"/>
              </w:rPr>
            </w:pPr>
            <w:r>
              <w:rPr>
                <w:rStyle w:val="Strong"/>
                <w:sz w:val="20"/>
                <w:szCs w:val="20"/>
              </w:rPr>
              <w:t>Year ending Dece</w:t>
            </w:r>
            <w:r>
              <w:rPr>
                <w:rStyle w:val="Strong"/>
                <w:sz w:val="20"/>
                <w:szCs w:val="20"/>
              </w:rPr>
              <w:t>mber 31,</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rsidR="00000000" w:rsidRDefault="00D2754D">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Subsidiary ANV Lease Revenues</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rPr>
                <w:sz w:val="20"/>
                <w:szCs w:val="20"/>
              </w:rPr>
            </w:pPr>
            <w:r>
              <w:rPr>
                <w:sz w:val="20"/>
                <w:szCs w:val="20"/>
              </w:rPr>
              <w:t>Subsidiary Sharx commissions from the sales of cargo security products</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rsidR="00000000" w:rsidRDefault="00D2754D">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rsidR="00000000" w:rsidRDefault="00D2754D">
            <w:pPr>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D2754D">
            <w:pPr>
              <w:jc w:val="right"/>
              <w:rPr>
                <w:rFonts w:eastAsia="Times New Roman"/>
                <w:sz w:val="20"/>
                <w:szCs w:val="20"/>
              </w:rPr>
            </w:pPr>
            <w:r>
              <w:rPr>
                <w:rFonts w:eastAsia="Times New Roman"/>
                <w:sz w:val="20"/>
                <w:szCs w:val="20"/>
              </w:rPr>
              <w:t>9,867</w:t>
            </w:r>
          </w:p>
        </w:tc>
        <w:tc>
          <w:tcPr>
            <w:tcW w:w="50" w:type="pct"/>
            <w:shd w:val="clear" w:color="auto" w:fill="CCEEFF"/>
            <w:noWrap/>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GENERAL AND ADMINISTRATIVE EXPENSES: G&amp;A expenses for the three-month period ending December 31, 2022 and December 31, 2021 were $1,451 and $3,039 respectively, and for the six-month period ending December 31, 2022 and December 31, 2021 were $3,072 and $4,</w:t>
      </w:r>
      <w:r>
        <w:rPr>
          <w:sz w:val="20"/>
          <w:szCs w:val="20"/>
        </w:rPr>
        <w:t>205 respectively. The expenses are mainly attributable to ANV’s normal operations and the Company’s SEC compliance.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PROFESSIONAL EXPENSES: Professional expenses for the three-month period ending December 31, 2022 and December 31, 2021 were $3,500, and $3</w:t>
      </w:r>
      <w:r>
        <w:rPr>
          <w:sz w:val="20"/>
          <w:szCs w:val="20"/>
        </w:rPr>
        <w:t>,000 respectively, and for the six-month period ending December 31, 2022 and December 31, 2021 were $12,000 and $11,000 respectively. The expenses were attributable to the ordinary accounting fees for 2022 and 2021.</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 xml:space="preserve">OTHER INCOME (EXPENSES): Other income </w:t>
      </w:r>
      <w:r>
        <w:rPr>
          <w:sz w:val="20"/>
          <w:szCs w:val="20"/>
        </w:rPr>
        <w:t>(expenses) for the three-month period ending December 31, 2022 and December 31, 2021 were $(205), and $54,881 respectively, and for the six-month period ending December 31, 2022 and December 31, 2021 were $(451) and $54,352 respectively. The fluctuations a</w:t>
      </w:r>
      <w:r>
        <w:rPr>
          <w:sz w:val="20"/>
          <w:szCs w:val="20"/>
        </w:rPr>
        <w:t>re mainly attributable to the gain on tax settlement of $55,579.</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NET INCOME (LOSS): Net income attributed to common stockholders was $2,249 or $0.00 per basic and diluted share for the three-month period ending December 31, 2022 as compared to $56,755 or</w:t>
      </w:r>
      <w:r>
        <w:rPr>
          <w:sz w:val="20"/>
          <w:szCs w:val="20"/>
        </w:rPr>
        <w:t xml:space="preserve"> $0.02 per basic and diluted share for December 31, 2021. Net income (loss) attributed to common stockholders was $(1,001) or $(0.00) per basic and diluted share for the six-month period ending December 31, 2022 as compared to $55,184 or $0.02 per basic an</w:t>
      </w:r>
      <w:r>
        <w:rPr>
          <w:sz w:val="20"/>
          <w:szCs w:val="20"/>
        </w:rPr>
        <w:t>d diluted share for December 31, 2021. The fluctuations are mainly attributable to the gain on tax settlement of $55,579.</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LIQUIDITY AND CAPITAL RESOURCES: At December 31, 2022 and June 30, 2022, the Company had cash and cash equivalents of $101,854 and $</w:t>
      </w:r>
      <w:r>
        <w:rPr>
          <w:sz w:val="20"/>
          <w:szCs w:val="20"/>
        </w:rPr>
        <w:t>94,216 respectively. At December 31, 2022 and June 30, 2022, the Company had a working capital deficit of $246,155 and $113,179 respectively. The change in cash is primarily due to currency translation. The decrease in the working capital deficit is primar</w:t>
      </w:r>
      <w:r>
        <w:rPr>
          <w:sz w:val="20"/>
          <w:szCs w:val="20"/>
        </w:rPr>
        <w:t>ily related to the operations of ANV.</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lastRenderedPageBreak/>
        <w:t>Net cash provided by operating activities for six-month period ending December 31, 2022 and December 31, 2021 was $18,744 and $73,551, respectively. The decrease was primarily due to the gain of the tax settlement.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Net cash used-in financing activities for six-month period ending December 31, 2022 and December 31, 2021 was $(13,285) and $(20,877) respectively. Net cash used in financing activities for both periods is related to the company’s borrowings from banks, o</w:t>
      </w:r>
      <w:r>
        <w:rPr>
          <w:sz w:val="20"/>
          <w:szCs w:val="20"/>
        </w:rPr>
        <w:t>fficers and directors, and the repayment of debt.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OFF BALANCE SHEET ARRANGEMENTS: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both"/>
        <w:divId w:val="855849836"/>
        <w:rPr>
          <w:sz w:val="20"/>
          <w:szCs w:val="20"/>
        </w:rPr>
      </w:pPr>
      <w:r>
        <w:rPr>
          <w:sz w:val="20"/>
          <w:szCs w:val="20"/>
        </w:rPr>
        <w:t>We do not currently have any off-balance sheet arrangements.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rStyle w:val="Strong"/>
          <w:sz w:val="20"/>
          <w:szCs w:val="20"/>
        </w:rPr>
        <w:t>ACQUISITION EFFORTS: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sz w:val="20"/>
          <w:szCs w:val="20"/>
        </w:rPr>
        <w:t xml:space="preserve">The Company continues its efforts to raise capital to support operations and growth </w:t>
      </w:r>
      <w:r>
        <w:rPr>
          <w:sz w:val="20"/>
          <w:szCs w:val="20"/>
        </w:rPr>
        <w:t>and is actively searching acquisition or merger with another company that would complement AOXY or increase its earnings potential. During this period, the Company has been in discussion with Companies looking to be acquired. AOXY has not negotiated any te</w:t>
      </w:r>
      <w:r>
        <w:rPr>
          <w:sz w:val="20"/>
          <w:szCs w:val="20"/>
        </w:rPr>
        <w:t xml:space="preserve">rms nor proposed any acquisitions of any of these companies that have been accepted. In addition, the Company is in discussion with potential lending institutions to assist in financing any proposed acquisition. The Company expects difficulty in financing </w:t>
      </w:r>
      <w:r>
        <w:rPr>
          <w:sz w:val="20"/>
          <w:szCs w:val="20"/>
        </w:rPr>
        <w:t>the growth of the increased business or acquisition and has been concentrating on raising capital and/or obtaining a line of credit.</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20</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3. Quantitative and Qualitative Disclosures About Market Risk</w:t>
      </w:r>
      <w:r>
        <w:rPr>
          <w:rStyle w:val="atag"/>
          <w:b/>
          <w:bCs/>
          <w:sz w:val="20"/>
          <w:szCs w:val="20"/>
        </w:rPr>
        <w:t>:</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both"/>
        <w:divId w:val="855849836"/>
        <w:rPr>
          <w:sz w:val="20"/>
          <w:szCs w:val="20"/>
        </w:rPr>
      </w:pPr>
      <w:r>
        <w:rPr>
          <w:sz w:val="20"/>
          <w:szCs w:val="20"/>
        </w:rPr>
        <w:t>Smaller reporting companies are not required to provide the information required by this Item.</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4. CONTROLS AND PROCEDURE</w:t>
      </w:r>
      <w:r>
        <w:rPr>
          <w:rStyle w:val="atag"/>
          <w:b/>
          <w:bCs/>
          <w:sz w:val="20"/>
          <w:szCs w:val="20"/>
        </w:rPr>
        <w: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EVALUATION OF DISCLOSURE CONTROLS AND PROCEDURES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w:t>
      </w:r>
      <w:r>
        <w:rPr>
          <w:sz w:val="20"/>
          <w:szCs w:val="20"/>
        </w:rPr>
        <w:t>ign and operation of our disclosure controls and procedures. The term “disclosure controls and procedures”, as defined in Rules 13a-15(e) and 15d-15(e) under the Securities and Exchange Act of 1934, as amended (“Exchange Act”), means controls and other pro</w:t>
      </w:r>
      <w:r>
        <w:rPr>
          <w:sz w:val="20"/>
          <w:szCs w:val="20"/>
        </w:rPr>
        <w:t>cedures of a company that are designed to ensure that information required to be disclosed by the company in the reports it files or submits under the Exchange Act is recorded, processed, summarized and reported, within the time periods specified in the Se</w:t>
      </w:r>
      <w:r>
        <w:rPr>
          <w:sz w:val="20"/>
          <w:szCs w:val="20"/>
        </w:rPr>
        <w:t>curities and Exchange Commission’s rules and forms. Disclosure controls and procedures also include, without limitation, controls and procedures designed to ensure that information required to be disclosed by a company in the reports that it files or submi</w:t>
      </w:r>
      <w:r>
        <w:rPr>
          <w:sz w:val="20"/>
          <w:szCs w:val="20"/>
        </w:rPr>
        <w:t>ts under the Exchange Act is accumulated and communicated to the company’s management, including its principal executive and principal financial officers, or persons performing similar functions, as appropriate, to allow timely decisions regarding required</w:t>
      </w:r>
      <w:r>
        <w:rPr>
          <w:sz w:val="20"/>
          <w:szCs w:val="20"/>
        </w:rPr>
        <w:t xml:space="preserve"> disclosure. Based on this evaluation, our Chief Executive Officer and Acting Chief Financial Officer concluded as of December 31, 2022 that our disclosure controls and procedures were not effective at ensuring that the material information required to be </w:t>
      </w:r>
      <w:r>
        <w:rPr>
          <w:sz w:val="20"/>
          <w:szCs w:val="20"/>
        </w:rPr>
        <w:t>disclosed in the Exchange Act reports is recorded, processed, summarized and reported as required in applicable SEC rules and the Company’s filed 10-K.</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Emphasis"/>
          <w:sz w:val="20"/>
          <w:szCs w:val="20"/>
        </w:rPr>
        <w:t xml:space="preserve">Changes in Internal Control over Financial Reporting </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8"/>
        <w:jc w:val="both"/>
        <w:divId w:val="855849836"/>
        <w:rPr>
          <w:sz w:val="20"/>
          <w:szCs w:val="20"/>
        </w:rPr>
      </w:pPr>
      <w:r>
        <w:rPr>
          <w:sz w:val="20"/>
          <w:szCs w:val="20"/>
        </w:rPr>
        <w:t>During the three and six month period ended De</w:t>
      </w:r>
      <w:r>
        <w:rPr>
          <w:sz w:val="20"/>
          <w:szCs w:val="20"/>
        </w:rPr>
        <w:t>cember 31, 2022, there were no changes in our internal control over financial reporting identified in connection with managements evaluation of the effectiveness of our internal control over the financial reporting that have materially affected, or are rea</w:t>
      </w:r>
      <w:r>
        <w:rPr>
          <w:sz w:val="20"/>
          <w:szCs w:val="20"/>
        </w:rPr>
        <w:t>sonably likely to materially affect, our internal control over financial reporting as defined in Rules 13a-15(f) and 15d-15(f) under the Exchange Act.</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21</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PART I</w:t>
      </w:r>
      <w:r>
        <w:rPr>
          <w:rStyle w:val="atag"/>
          <w:b/>
          <w:bCs/>
          <w:sz w:val="20"/>
          <w:szCs w:val="20"/>
        </w:rPr>
        <w:t>I</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1: LEGAL PROCEEDING</w:t>
      </w:r>
      <w:r>
        <w:rPr>
          <w:rStyle w:val="atag"/>
          <w:b/>
          <w:bCs/>
          <w:sz w:val="20"/>
          <w:szCs w:val="20"/>
        </w:rPr>
        <w: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During the period ending December 31, 2022, there were pending or threatened legal actions as follows: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None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rStyle w:val="atag"/>
          <w:b/>
          <w:bCs/>
          <w:sz w:val="20"/>
          <w:szCs w:val="20"/>
        </w:rPr>
        <w:t>ITEM 2. UNREGISTERED SALES OF EQUITY SECURITIES AND USE OF PROCEED</w:t>
      </w:r>
      <w:r>
        <w:rPr>
          <w:rStyle w:val="atag"/>
          <w:b/>
          <w:bCs/>
          <w:sz w:val="20"/>
          <w:szCs w:val="20"/>
        </w:rPr>
        <w: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None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3. DEFAULTS UPON SENIOR SECURITIE</w:t>
      </w:r>
      <w:r>
        <w:rPr>
          <w:rStyle w:val="atag"/>
          <w:b/>
          <w:bCs/>
          <w:sz w:val="20"/>
          <w:szCs w:val="20"/>
        </w:rPr>
        <w: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Strong"/>
          <w:sz w:val="20"/>
          <w:szCs w:val="20"/>
        </w:rPr>
        <w:t>None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4. MINE SAFETY DISCLOSURE</w:t>
      </w:r>
      <w:r>
        <w:rPr>
          <w:rStyle w:val="atag"/>
          <w:b/>
          <w:bCs/>
          <w:sz w:val="20"/>
          <w:szCs w:val="20"/>
        </w:rPr>
        <w:t>S</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rStyle w:val="Strong"/>
          <w:sz w:val="20"/>
          <w:szCs w:val="20"/>
        </w:rPr>
        <w:t>None</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5. OTHER INFORMATIO</w:t>
      </w:r>
      <w:r>
        <w:rPr>
          <w:rStyle w:val="atag"/>
          <w:b/>
          <w:bCs/>
          <w:sz w:val="20"/>
          <w:szCs w:val="20"/>
        </w:rPr>
        <w:t>N</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7"/>
        <w:jc w:val="both"/>
        <w:divId w:val="855849836"/>
        <w:rPr>
          <w:sz w:val="20"/>
          <w:szCs w:val="20"/>
        </w:rPr>
      </w:pPr>
      <w:r>
        <w:rPr>
          <w:rStyle w:val="Strong"/>
          <w:sz w:val="20"/>
          <w:szCs w:val="20"/>
        </w:rPr>
        <w:t>None</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22</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rStyle w:val="atag"/>
          <w:b/>
          <w:bCs/>
          <w:sz w:val="20"/>
          <w:szCs w:val="20"/>
        </w:rPr>
        <w:t>ITEM 6: EXHIBITS AND REPORTS ON FORM 8-</w:t>
      </w:r>
      <w:r>
        <w:rPr>
          <w:rStyle w:val="atag"/>
          <w:b/>
          <w:bCs/>
          <w:sz w:val="20"/>
          <w:szCs w:val="20"/>
        </w:rPr>
        <w:t>K</w:t>
      </w:r>
    </w:p>
    <w:p w:rsidR="00000000" w:rsidRDefault="00D2754D">
      <w:pPr>
        <w:pStyle w:val="NormalWeb"/>
        <w:spacing w:before="0" w:beforeAutospacing="0" w:after="0" w:afterAutospacing="0"/>
        <w:jc w:val="both"/>
        <w:divId w:val="855849836"/>
        <w:rPr>
          <w:sz w:val="20"/>
          <w:szCs w:val="20"/>
        </w:rPr>
      </w:pPr>
      <w:r>
        <w:rPr>
          <w:sz w:val="20"/>
          <w:szCs w:val="20"/>
        </w:rPr>
        <w:t> </w:t>
      </w:r>
    </w:p>
    <w:p w:rsidR="00000000" w:rsidRDefault="00D2754D">
      <w:pPr>
        <w:pStyle w:val="NormalWeb"/>
        <w:spacing w:before="0" w:beforeAutospacing="0" w:after="0" w:afterAutospacing="0"/>
        <w:ind w:left="21"/>
        <w:jc w:val="both"/>
        <w:divId w:val="855849836"/>
        <w:rPr>
          <w:sz w:val="20"/>
          <w:szCs w:val="20"/>
        </w:rPr>
      </w:pPr>
      <w:r>
        <w:rPr>
          <w:sz w:val="20"/>
          <w:szCs w:val="20"/>
        </w:rPr>
        <w:t>During three and six month period ending December 31, 2022, the Company filed no reports on Form 8-K for events occurring during the periods.</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76"/>
        <w:gridCol w:w="215"/>
        <w:gridCol w:w="8269"/>
      </w:tblGrid>
      <w:tr w:rsidR="00000000">
        <w:trPr>
          <w:divId w:val="855849836"/>
          <w:trHeight w:val="225"/>
          <w:tblCellSpacing w:w="15" w:type="dxa"/>
          <w:jc w:val="center"/>
        </w:trPr>
        <w:tc>
          <w:tcPr>
            <w:tcW w:w="450" w:type="pct"/>
            <w:tcBorders>
              <w:bottom w:val="single" w:sz="6" w:space="0" w:color="auto"/>
            </w:tcBorders>
            <w:vAlign w:val="bottom"/>
            <w:hideMark/>
          </w:tcPr>
          <w:p w:rsidR="00000000" w:rsidRDefault="00D2754D">
            <w:pPr>
              <w:pStyle w:val="NormalWeb"/>
              <w:spacing w:before="0" w:beforeAutospacing="0" w:after="0" w:afterAutospacing="0"/>
              <w:jc w:val="both"/>
              <w:rPr>
                <w:sz w:val="20"/>
                <w:szCs w:val="20"/>
              </w:rPr>
            </w:pPr>
            <w:r>
              <w:rPr>
                <w:rStyle w:val="Strong"/>
                <w:sz w:val="20"/>
                <w:szCs w:val="20"/>
              </w:rPr>
              <w:t>Exhibit</w:t>
            </w:r>
          </w:p>
          <w:p w:rsidR="00000000" w:rsidRDefault="00D2754D">
            <w:pPr>
              <w:pStyle w:val="NormalWeb"/>
              <w:spacing w:before="0" w:beforeAutospacing="0" w:after="0" w:afterAutospacing="0"/>
              <w:jc w:val="both"/>
              <w:rPr>
                <w:sz w:val="20"/>
                <w:szCs w:val="20"/>
              </w:rPr>
            </w:pPr>
            <w:r>
              <w:rPr>
                <w:rStyle w:val="Strong"/>
                <w:sz w:val="20"/>
                <w:szCs w:val="20"/>
              </w:rPr>
              <w:t>Number</w:t>
            </w:r>
          </w:p>
        </w:tc>
        <w:tc>
          <w:tcPr>
            <w:tcW w:w="100" w:type="pct"/>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rsidR="00000000" w:rsidRDefault="00D2754D">
            <w:pPr>
              <w:pStyle w:val="NormalWeb"/>
              <w:spacing w:before="0" w:beforeAutospacing="0" w:after="0" w:afterAutospacing="0"/>
              <w:rPr>
                <w:sz w:val="20"/>
                <w:szCs w:val="20"/>
              </w:rPr>
            </w:pPr>
            <w:r>
              <w:rPr>
                <w:rStyle w:val="Strong"/>
                <w:sz w:val="20"/>
                <w:szCs w:val="20"/>
              </w:rPr>
              <w:t>Description of the Document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jc w:val="both"/>
              <w:rPr>
                <w:sz w:val="20"/>
                <w:szCs w:val="20"/>
              </w:rPr>
            </w:pPr>
            <w:hyperlink r:id="rId4" w:history="1">
              <w:r>
                <w:rPr>
                  <w:rStyle w:val="Hyperlink"/>
                  <w:sz w:val="20"/>
                  <w:szCs w:val="20"/>
                </w:rPr>
                <w:t>3.1</w:t>
              </w:r>
            </w:hyperlink>
          </w:p>
        </w:tc>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r:id="rId5" w:history="1">
              <w:r>
                <w:rPr>
                  <w:rStyle w:val="Hyperlink"/>
                  <w:sz w:val="20"/>
                  <w:szCs w:val="20"/>
                </w:rPr>
                <w:t>Certificate of Incorporation as Amended and filed with the Secretary of State of Delaware effective on December 5, 2014(1)</w:t>
              </w:r>
            </w:hyperlink>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jc w:val="both"/>
              <w:rPr>
                <w:sz w:val="20"/>
                <w:szCs w:val="20"/>
              </w:rPr>
            </w:pPr>
            <w:hyperlink r:id="rId6" w:history="1">
              <w:r>
                <w:rPr>
                  <w:rStyle w:val="Hyperlink"/>
                  <w:sz w:val="20"/>
                  <w:szCs w:val="20"/>
                </w:rPr>
                <w:t>3.2</w:t>
              </w:r>
            </w:hyperlink>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r:id="rId7" w:history="1">
              <w:r>
                <w:rPr>
                  <w:rStyle w:val="Hyperlink"/>
                  <w:sz w:val="20"/>
                  <w:szCs w:val="20"/>
                </w:rPr>
                <w:t>Bylaws.(2)</w:t>
              </w:r>
            </w:hyperlink>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jc w:val="both"/>
              <w:rPr>
                <w:sz w:val="20"/>
                <w:szCs w:val="20"/>
              </w:rPr>
            </w:pPr>
            <w:hyperlink r:id="rId8" w:history="1">
              <w:r>
                <w:rPr>
                  <w:rStyle w:val="Hyperlink"/>
                  <w:sz w:val="20"/>
                  <w:szCs w:val="20"/>
                </w:rPr>
                <w:t>31.1*</w:t>
              </w:r>
            </w:hyperlink>
          </w:p>
        </w:tc>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r:id="rId9" w:history="1">
              <w:r>
                <w:rPr>
                  <w:rStyle w:val="Hyperlink"/>
                  <w:sz w:val="20"/>
                  <w:szCs w:val="20"/>
                </w:rPr>
                <w:t>Certification o</w:t>
              </w:r>
              <w:r>
                <w:rPr>
                  <w:rStyle w:val="Hyperlink"/>
                  <w:sz w:val="20"/>
                  <w:szCs w:val="20"/>
                </w:rPr>
                <w:t>f Chief Executive Officer pursuant to Exchange Act Rule 13a-14(a)/15d-14(a), as adopted pursuant to Section 302 of the Sarbanes-Oxley Act of 2002.</w:t>
              </w:r>
            </w:hyperlink>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jc w:val="both"/>
              <w:rPr>
                <w:sz w:val="20"/>
                <w:szCs w:val="20"/>
              </w:rPr>
            </w:pPr>
            <w:hyperlink r:id="rId10" w:history="1">
              <w:r>
                <w:rPr>
                  <w:rStyle w:val="Hyperlink"/>
                  <w:sz w:val="20"/>
                  <w:szCs w:val="20"/>
                </w:rPr>
                <w:t>31.2*</w:t>
              </w:r>
            </w:hyperlink>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r:id="rId11" w:history="1">
              <w:r>
                <w:rPr>
                  <w:rStyle w:val="Hyperlink"/>
                  <w:sz w:val="20"/>
                  <w:szCs w:val="20"/>
                </w:rPr>
                <w:t>Certification of Chief Financial Officer pursuant to Exchange Act Rule 13a-14(a)/15d-14(a), as adopted pursuant to Section 302 of the Sarbanes-Oxley Act of 2002.</w:t>
              </w:r>
            </w:hyperlink>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jc w:val="both"/>
              <w:rPr>
                <w:sz w:val="20"/>
                <w:szCs w:val="20"/>
              </w:rPr>
            </w:pPr>
            <w:hyperlink r:id="rId12" w:history="1">
              <w:r>
                <w:rPr>
                  <w:rStyle w:val="Hyperlink"/>
                  <w:sz w:val="20"/>
                  <w:szCs w:val="20"/>
                </w:rPr>
                <w:t>32.1*</w:t>
              </w:r>
            </w:hyperlink>
          </w:p>
        </w:tc>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D2754D">
            <w:pPr>
              <w:pStyle w:val="NormalWeb"/>
              <w:spacing w:before="0" w:beforeAutospacing="0" w:after="0" w:afterAutospacing="0"/>
              <w:jc w:val="both"/>
              <w:rPr>
                <w:sz w:val="20"/>
                <w:szCs w:val="20"/>
              </w:rPr>
            </w:pPr>
            <w:hyperlink r:id="rId13" w:history="1">
              <w:r>
                <w:rPr>
                  <w:rStyle w:val="Hyperlink"/>
                  <w:sz w:val="20"/>
                  <w:szCs w:val="20"/>
                </w:rPr>
                <w:t xml:space="preserve">Certification of Chief </w:t>
              </w:r>
              <w:r>
                <w:rPr>
                  <w:rStyle w:val="Hyperlink"/>
                  <w:sz w:val="20"/>
                  <w:szCs w:val="20"/>
                </w:rPr>
                <w:t>Executive Officer in accordance with 18 U.S.C. Section 1350, as adopted pursuant to Section 906 of the Sarbanes-Oxley Act of 2002.</w:t>
              </w:r>
            </w:hyperlink>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jc w:val="both"/>
              <w:rPr>
                <w:sz w:val="20"/>
                <w:szCs w:val="20"/>
              </w:rPr>
            </w:pPr>
            <w:hyperlink r:id="rId14" w:history="1">
              <w:r>
                <w:rPr>
                  <w:rStyle w:val="Hyperlink"/>
                  <w:sz w:val="20"/>
                  <w:szCs w:val="20"/>
                </w:rPr>
                <w:t>32.2*</w:t>
              </w:r>
            </w:hyperlink>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hyperlink r:id="rId15" w:history="1">
              <w:r>
                <w:rPr>
                  <w:rStyle w:val="Hyperlink"/>
                  <w:sz w:val="20"/>
                  <w:szCs w:val="20"/>
                </w:rPr>
                <w:t>Certification of Chief Financial Officer in accordance</w:t>
              </w:r>
              <w:r>
                <w:rPr>
                  <w:rStyle w:val="Hyperlink"/>
                  <w:sz w:val="20"/>
                  <w:szCs w:val="20"/>
                </w:rPr>
                <w:t xml:space="preserve"> with 18 U.S.C. Section 1350, as adopted pursuant to Section 906 of the Sarbanes-Oxley Act of 2002.</w:t>
              </w:r>
            </w:hyperlink>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D2754D">
            <w:pPr>
              <w:pStyle w:val="NormalWeb"/>
              <w:spacing w:before="0" w:beforeAutospacing="0" w:after="0" w:afterAutospacing="0"/>
              <w:rPr>
                <w:sz w:val="20"/>
                <w:szCs w:val="20"/>
              </w:rPr>
            </w:pPr>
            <w:r>
              <w:rPr>
                <w:sz w:val="20"/>
                <w:szCs w:val="20"/>
              </w:rPr>
              <w:t xml:space="preserve">Inline XBRL Instance Document (the instance document </w:t>
            </w:r>
            <w:r>
              <w:rPr>
                <w:sz w:val="20"/>
                <w:szCs w:val="20"/>
              </w:rPr>
              <w:t>does not appear in the Interactive Data File because its XBRL tags are embedded within the Inline XBRL document).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r>
              <w:rPr>
                <w:sz w:val="20"/>
                <w:szCs w:val="20"/>
              </w:rPr>
              <w:t>Inline XBRL Taxonomy Extension Schema Document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D2754D">
            <w:pPr>
              <w:pStyle w:val="NormalWeb"/>
              <w:spacing w:before="0" w:beforeAutospacing="0" w:after="0" w:afterAutospacing="0"/>
              <w:jc w:val="both"/>
              <w:rPr>
                <w:sz w:val="20"/>
                <w:szCs w:val="20"/>
              </w:rPr>
            </w:pPr>
            <w:r>
              <w:rPr>
                <w:sz w:val="20"/>
                <w:szCs w:val="20"/>
              </w:rPr>
              <w:t>Inline XBRL Taxonomy Extension Calculation Linkbase Document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r>
              <w:rPr>
                <w:sz w:val="20"/>
                <w:szCs w:val="20"/>
              </w:rPr>
              <w:t>I</w:t>
            </w:r>
            <w:r>
              <w:rPr>
                <w:sz w:val="20"/>
                <w:szCs w:val="20"/>
              </w:rPr>
              <w:t>nline XBRL Taxonomy Extension Definition Linkbase Document</w:t>
            </w:r>
          </w:p>
        </w:tc>
      </w:tr>
      <w:tr w:rsidR="00000000">
        <w:trPr>
          <w:divId w:val="855849836"/>
          <w:trHeight w:val="225"/>
          <w:tblCellSpacing w:w="15" w:type="dxa"/>
          <w:jc w:val="center"/>
        </w:trPr>
        <w:tc>
          <w:tcPr>
            <w:tcW w:w="0" w:type="auto"/>
            <w:shd w:val="clear" w:color="auto" w:fill="CCEEFF"/>
            <w:hideMark/>
          </w:tcPr>
          <w:p w:rsidR="00000000" w:rsidRDefault="00D2754D">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D2754D">
            <w:pPr>
              <w:pStyle w:val="NormalWeb"/>
              <w:spacing w:before="0" w:beforeAutospacing="0" w:after="0" w:afterAutospacing="0"/>
              <w:jc w:val="both"/>
              <w:rPr>
                <w:sz w:val="20"/>
                <w:szCs w:val="20"/>
              </w:rPr>
            </w:pPr>
            <w:r>
              <w:rPr>
                <w:sz w:val="20"/>
                <w:szCs w:val="20"/>
              </w:rPr>
              <w:t>Inline XBRL Taxonomy Extension Labels Linkbase Document</w:t>
            </w:r>
          </w:p>
        </w:tc>
      </w:tr>
      <w:tr w:rsidR="00000000">
        <w:trPr>
          <w:divId w:val="855849836"/>
          <w:trHeight w:val="225"/>
          <w:tblCellSpacing w:w="15" w:type="dxa"/>
          <w:jc w:val="center"/>
        </w:trPr>
        <w:tc>
          <w:tcPr>
            <w:tcW w:w="0" w:type="auto"/>
            <w:shd w:val="clear" w:color="auto" w:fill="FFFFFF"/>
            <w:hideMark/>
          </w:tcPr>
          <w:p w:rsidR="00000000" w:rsidRDefault="00D2754D">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D2754D">
            <w:pPr>
              <w:pStyle w:val="NormalWeb"/>
              <w:spacing w:before="0" w:beforeAutospacing="0" w:after="0" w:afterAutospacing="0"/>
              <w:jc w:val="both"/>
              <w:rPr>
                <w:sz w:val="20"/>
                <w:szCs w:val="20"/>
              </w:rPr>
            </w:pPr>
            <w:r>
              <w:rPr>
                <w:sz w:val="20"/>
                <w:szCs w:val="20"/>
              </w:rPr>
              <w:t xml:space="preserve">Inline XBRL Taxonomy Extension Presentation Linkbase Document </w:t>
            </w:r>
          </w:p>
        </w:tc>
      </w:tr>
      <w:tr w:rsidR="00000000">
        <w:trPr>
          <w:divId w:val="855849836"/>
          <w:trHeight w:val="225"/>
          <w:tblCellSpacing w:w="15" w:type="dxa"/>
          <w:jc w:val="center"/>
        </w:trPr>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104</w:t>
            </w:r>
          </w:p>
        </w:tc>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rsidR="00000000" w:rsidRDefault="00D2754D">
            <w:pPr>
              <w:pStyle w:val="NormalWeb"/>
              <w:spacing w:before="0" w:beforeAutospacing="0" w:after="0" w:afterAutospacing="0"/>
              <w:rPr>
                <w:sz w:val="20"/>
                <w:szCs w:val="20"/>
              </w:rPr>
            </w:pPr>
            <w:r>
              <w:rPr>
                <w:sz w:val="20"/>
                <w:szCs w:val="20"/>
              </w:rPr>
              <w:t>Cover Page Interactive Data File (formatted as Inline XBRL and contained in Exhibit 101).</w:t>
            </w:r>
          </w:p>
        </w:tc>
      </w:tr>
    </w:tbl>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divId w:val="855849836"/>
        <w:rPr>
          <w:sz w:val="20"/>
          <w:szCs w:val="20"/>
        </w:rPr>
      </w:pPr>
      <w:r>
        <w:rPr>
          <w:sz w:val="20"/>
          <w:szCs w:val="20"/>
        </w:rPr>
        <w:t xml:space="preserve">*Filed herewith </w:t>
      </w:r>
    </w:p>
    <w:p w:rsidR="00000000" w:rsidRDefault="00D2754D">
      <w:pPr>
        <w:pStyle w:val="NormalWeb"/>
        <w:spacing w:before="0" w:beforeAutospacing="0" w:after="0" w:afterAutospacing="0"/>
        <w:jc w:val="both"/>
        <w:divId w:val="855849836"/>
        <w:rPr>
          <w:sz w:val="20"/>
          <w:szCs w:val="20"/>
        </w:rPr>
      </w:pPr>
      <w:r>
        <w:rPr>
          <w:sz w:val="20"/>
          <w:szCs w:val="20"/>
        </w:rPr>
        <w:t>(1) Filed as an exhibit to the Company’s 8-K filed with the SEC on December 9, 2014 and incorporated herein by reference.</w:t>
      </w:r>
    </w:p>
    <w:p w:rsidR="00000000" w:rsidRDefault="00D2754D">
      <w:pPr>
        <w:pStyle w:val="NormalWeb"/>
        <w:spacing w:before="0" w:beforeAutospacing="0" w:after="0" w:afterAutospacing="0"/>
        <w:jc w:val="both"/>
        <w:divId w:val="855849836"/>
        <w:rPr>
          <w:sz w:val="20"/>
          <w:szCs w:val="20"/>
        </w:rPr>
      </w:pPr>
      <w:r>
        <w:rPr>
          <w:sz w:val="20"/>
          <w:szCs w:val="20"/>
        </w:rPr>
        <w:t xml:space="preserve">(2) Filed as an exhibit </w:t>
      </w:r>
      <w:r>
        <w:rPr>
          <w:sz w:val="20"/>
          <w:szCs w:val="20"/>
        </w:rPr>
        <w:t>to the Company’s 10-K filed with the SEC on September 28, 2022 and incorporated herein by reference.</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23</w:t>
            </w: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p>
        </w:tc>
      </w:tr>
    </w:tbl>
    <w:p w:rsidR="00000000" w:rsidRDefault="00D2754D">
      <w:pPr>
        <w:divId w:val="855849836"/>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pStyle w:val="NormalWeb"/>
        <w:spacing w:before="0" w:beforeAutospacing="0" w:after="0" w:afterAutospacing="0"/>
        <w:jc w:val="center"/>
        <w:divId w:val="855849836"/>
        <w:rPr>
          <w:sz w:val="20"/>
          <w:szCs w:val="20"/>
        </w:rPr>
      </w:pPr>
      <w:r>
        <w:rPr>
          <w:rStyle w:val="atag"/>
          <w:b/>
          <w:bCs/>
          <w:sz w:val="20"/>
          <w:szCs w:val="20"/>
        </w:rPr>
        <w:t>SIGNATUR</w:t>
      </w:r>
      <w:r>
        <w:rPr>
          <w:rStyle w:val="atag"/>
          <w:b/>
          <w:bCs/>
          <w:sz w:val="20"/>
          <w:szCs w:val="20"/>
        </w:rPr>
        <w:t>E</w:t>
      </w:r>
    </w:p>
    <w:p w:rsidR="00000000" w:rsidRDefault="00D2754D">
      <w:pPr>
        <w:pStyle w:val="NormalWeb"/>
        <w:spacing w:before="0" w:beforeAutospacing="0" w:after="0" w:afterAutospacing="0"/>
        <w:jc w:val="center"/>
        <w:divId w:val="855849836"/>
        <w:rPr>
          <w:sz w:val="20"/>
          <w:szCs w:val="20"/>
        </w:rPr>
      </w:pPr>
      <w:r>
        <w:rPr>
          <w:sz w:val="20"/>
          <w:szCs w:val="20"/>
        </w:rPr>
        <w:t> </w:t>
      </w:r>
    </w:p>
    <w:p w:rsidR="00000000" w:rsidRDefault="00D2754D">
      <w:pPr>
        <w:pStyle w:val="NormalWeb"/>
        <w:spacing w:before="0" w:beforeAutospacing="0" w:after="0" w:afterAutospacing="0"/>
        <w:jc w:val="both"/>
        <w:divId w:val="855849836"/>
        <w:rPr>
          <w:sz w:val="20"/>
          <w:szCs w:val="20"/>
        </w:rPr>
      </w:pPr>
      <w:r>
        <w:rPr>
          <w:sz w:val="20"/>
          <w:szCs w:val="20"/>
        </w:rPr>
        <w:t>In accordance with the requirements of the Exchange Act, the Registrant has caused this report to be signed on its behalf by the undersigned, thereunto duly authorized.</w:t>
      </w:r>
    </w:p>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trPr>
          <w:divId w:val="855849836"/>
          <w:trHeight w:val="225"/>
          <w:tblCellSpacing w:w="15" w:type="dxa"/>
          <w:jc w:val="center"/>
        </w:trPr>
        <w:tc>
          <w:tcPr>
            <w:tcW w:w="2500" w:type="pct"/>
            <w:vAlign w:val="center"/>
            <w:hideMark/>
          </w:tcPr>
          <w:p w:rsidR="00000000" w:rsidRDefault="00D2754D">
            <w:pPr>
              <w:pStyle w:val="NormalWeb"/>
              <w:spacing w:before="0" w:beforeAutospacing="0" w:after="0" w:afterAutospacing="0"/>
              <w:rPr>
                <w:sz w:val="20"/>
                <w:szCs w:val="20"/>
              </w:rPr>
            </w:pPr>
            <w:r>
              <w:rPr>
                <w:sz w:val="20"/>
                <w:szCs w:val="20"/>
              </w:rPr>
              <w:t>Date: February 13, 2023</w:t>
            </w:r>
          </w:p>
        </w:tc>
        <w:tc>
          <w:tcPr>
            <w:tcW w:w="150" w:type="pct"/>
            <w:vAlign w:val="center"/>
            <w:hideMark/>
          </w:tcPr>
          <w:p w:rsidR="00000000" w:rsidRDefault="00D2754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rsidR="00000000" w:rsidRDefault="00D2754D">
            <w:pPr>
              <w:pStyle w:val="NormalWeb"/>
              <w:spacing w:before="0" w:beforeAutospacing="0" w:after="0" w:afterAutospacing="0"/>
              <w:rPr>
                <w:sz w:val="20"/>
                <w:szCs w:val="20"/>
              </w:rPr>
            </w:pPr>
            <w:r>
              <w:rPr>
                <w:rStyle w:val="Emphasis"/>
                <w:sz w:val="20"/>
                <w:szCs w:val="20"/>
              </w:rPr>
              <w:t>/s/ Robert E. Wolfe</w:t>
            </w:r>
          </w:p>
        </w:tc>
        <w:tc>
          <w:tcPr>
            <w:tcW w:w="600" w:type="pct"/>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855849836"/>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xml:space="preserve">Chairman of the Board and </w:t>
            </w:r>
          </w:p>
          <w:p w:rsidR="00000000" w:rsidRDefault="00D2754D">
            <w:pPr>
              <w:pStyle w:val="NormalWeb"/>
              <w:spacing w:before="0" w:beforeAutospacing="0" w:after="0" w:afterAutospacing="0"/>
              <w:rPr>
                <w:sz w:val="20"/>
                <w:szCs w:val="20"/>
              </w:rPr>
            </w:pPr>
            <w:r>
              <w:rPr>
                <w:sz w:val="20"/>
                <w:szCs w:val="20"/>
              </w:rPr>
              <w:t xml:space="preserve">Chief Executive Officer and </w:t>
            </w:r>
          </w:p>
          <w:p w:rsidR="00000000" w:rsidRDefault="00D2754D">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855849836"/>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trPr>
          <w:divId w:val="855849836"/>
          <w:trHeight w:val="225"/>
          <w:tblCellSpacing w:w="15" w:type="dxa"/>
          <w:jc w:val="center"/>
        </w:trPr>
        <w:tc>
          <w:tcPr>
            <w:tcW w:w="0" w:type="auto"/>
            <w:vAlign w:val="center"/>
            <w:hideMark/>
          </w:tcPr>
          <w:p w:rsidR="00000000" w:rsidRDefault="00D2754D">
            <w:pPr>
              <w:rPr>
                <w:rFonts w:eastAsia="Times New Roman"/>
                <w:sz w:val="20"/>
                <w:szCs w:val="20"/>
              </w:rPr>
            </w:pPr>
            <w:r>
              <w:rPr>
                <w:rFonts w:eastAsia="Times New Roman"/>
                <w:sz w:val="20"/>
                <w:szCs w:val="20"/>
              </w:rPr>
              <w:t> </w:t>
            </w:r>
          </w:p>
        </w:tc>
      </w:tr>
      <w:tr w:rsidR="00000000">
        <w:trPr>
          <w:divId w:val="855849836"/>
          <w:trHeight w:val="225"/>
          <w:tblCellSpacing w:w="15" w:type="dxa"/>
          <w:jc w:val="center"/>
        </w:trPr>
        <w:tc>
          <w:tcPr>
            <w:tcW w:w="0" w:type="auto"/>
            <w:tcBorders>
              <w:bottom w:val="single" w:sz="6" w:space="0" w:color="000000"/>
            </w:tcBorders>
            <w:vAlign w:val="center"/>
            <w:hideMark/>
          </w:tcPr>
          <w:p w:rsidR="00000000" w:rsidRDefault="00D2754D">
            <w:pPr>
              <w:jc w:val="center"/>
              <w:rPr>
                <w:rFonts w:eastAsia="Times New Roman"/>
                <w:sz w:val="20"/>
                <w:szCs w:val="20"/>
              </w:rPr>
            </w:pPr>
            <w:r>
              <w:rPr>
                <w:rFonts w:eastAsia="Times New Roman"/>
                <w:sz w:val="20"/>
                <w:szCs w:val="20"/>
              </w:rPr>
              <w:t>24</w:t>
            </w:r>
          </w:p>
        </w:tc>
      </w:tr>
    </w:tbl>
    <w:p w:rsidR="00000000" w:rsidRDefault="00D2754D">
      <w:pPr>
        <w:pStyle w:val="NormalWeb"/>
        <w:spacing w:before="0" w:beforeAutospacing="0" w:after="0" w:afterAutospacing="0"/>
        <w:divId w:val="855849836"/>
        <w:rPr>
          <w:sz w:val="20"/>
          <w:szCs w:val="20"/>
        </w:rPr>
      </w:pPr>
      <w:r>
        <w:rPr>
          <w:sz w:val="20"/>
          <w:szCs w:val="20"/>
        </w:rPr>
        <w:t> </w:t>
      </w:r>
    </w:p>
    <w:p w:rsidR="00000000" w:rsidRDefault="00D2754D">
      <w:pPr>
        <w:divId w:val="1076779417"/>
        <w:rPr>
          <w:rFonts w:eastAsia="Times New Roman"/>
        </w:rPr>
      </w:pPr>
      <w:r>
        <w:rPr>
          <w:rFonts w:eastAsia="Times New Roman"/>
        </w:rPr>
        <w:t> </w:t>
      </w:r>
    </w:p>
    <w:p w:rsidR="00000000" w:rsidRDefault="00D2754D">
      <w:pPr>
        <w:rPr>
          <w:rFonts w:eastAsia="Times New Roman"/>
        </w:rPr>
      </w:pPr>
    </w:p>
    <w:p w:rsidR="00000000" w:rsidRDefault="00D2754D">
      <w:pPr>
        <w:pStyle w:val="NormalWeb"/>
        <w:spacing w:before="0" w:beforeAutospacing="0" w:after="0" w:afterAutospacing="0"/>
        <w:jc w:val="right"/>
        <w:divId w:val="378087324"/>
        <w:rPr>
          <w:sz w:val="20"/>
          <w:szCs w:val="20"/>
        </w:rPr>
      </w:pPr>
      <w:r>
        <w:rPr>
          <w:rStyle w:val="Strong"/>
          <w:sz w:val="20"/>
          <w:szCs w:val="20"/>
        </w:rPr>
        <w:t>EXHIBIT 31.1</w:t>
      </w:r>
    </w:p>
    <w:p w:rsidR="00000000" w:rsidRDefault="00D2754D">
      <w:pPr>
        <w:pStyle w:val="NormalWeb"/>
        <w:spacing w:before="0" w:beforeAutospacing="0" w:after="0" w:afterAutospacing="0"/>
        <w:jc w:val="right"/>
        <w:divId w:val="378087324"/>
        <w:rPr>
          <w:sz w:val="20"/>
          <w:szCs w:val="20"/>
        </w:rPr>
      </w:pPr>
      <w:r>
        <w:rPr>
          <w:sz w:val="20"/>
          <w:szCs w:val="20"/>
        </w:rPr>
        <w:t> </w:t>
      </w:r>
    </w:p>
    <w:p w:rsidR="00000000" w:rsidRDefault="00D2754D">
      <w:pPr>
        <w:pStyle w:val="NormalWeb"/>
        <w:spacing w:before="0" w:beforeAutospacing="0" w:after="0" w:afterAutospacing="0"/>
        <w:jc w:val="center"/>
        <w:divId w:val="378087324"/>
        <w:rPr>
          <w:sz w:val="20"/>
          <w:szCs w:val="20"/>
        </w:rPr>
      </w:pPr>
      <w:r>
        <w:rPr>
          <w:rStyle w:val="Strong"/>
          <w:sz w:val="20"/>
          <w:szCs w:val="20"/>
        </w:rPr>
        <w:t>CERTIFICATIONS</w:t>
      </w:r>
    </w:p>
    <w:p w:rsidR="00000000" w:rsidRDefault="00D2754D">
      <w:pPr>
        <w:pStyle w:val="NormalWeb"/>
        <w:spacing w:before="0" w:beforeAutospacing="0" w:after="0" w:afterAutospacing="0"/>
        <w:jc w:val="center"/>
        <w:divId w:val="378087324"/>
        <w:rPr>
          <w:sz w:val="20"/>
          <w:szCs w:val="20"/>
        </w:rPr>
      </w:pPr>
      <w:r>
        <w:rPr>
          <w:sz w:val="20"/>
          <w:szCs w:val="20"/>
        </w:rPr>
        <w:t> </w:t>
      </w:r>
    </w:p>
    <w:p w:rsidR="00000000" w:rsidRDefault="00D2754D">
      <w:pPr>
        <w:pStyle w:val="NormalWeb"/>
        <w:spacing w:before="0" w:beforeAutospacing="0" w:after="0" w:afterAutospacing="0"/>
        <w:divId w:val="378087324"/>
        <w:rPr>
          <w:sz w:val="20"/>
          <w:szCs w:val="20"/>
        </w:rPr>
      </w:pPr>
      <w:r>
        <w:rPr>
          <w:sz w:val="20"/>
          <w:szCs w:val="20"/>
        </w:rPr>
        <w:t>I, Robert Wolfe, certify that:</w:t>
      </w:r>
    </w:p>
    <w:p w:rsidR="00000000" w:rsidRDefault="00D2754D">
      <w:pPr>
        <w:pStyle w:val="NormalWeb"/>
        <w:spacing w:before="0" w:beforeAutospacing="0" w:after="0" w:afterAutospacing="0"/>
        <w:divId w:val="3780873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trPr>
          <w:divId w:val="378087324"/>
          <w:trHeight w:val="225"/>
          <w:tblCellSpacing w:w="15" w:type="dxa"/>
          <w:jc w:val="center"/>
        </w:trPr>
        <w:tc>
          <w:tcPr>
            <w:tcW w:w="200" w:type="pct"/>
            <w:hideMark/>
          </w:tcPr>
          <w:p w:rsidR="00000000" w:rsidRDefault="00D2754D">
            <w:pPr>
              <w:pStyle w:val="NormalWeb"/>
              <w:spacing w:before="0" w:beforeAutospacing="0" w:after="0" w:afterAutospacing="0"/>
              <w:jc w:val="both"/>
              <w:rPr>
                <w:sz w:val="20"/>
                <w:szCs w:val="20"/>
              </w:rPr>
            </w:pPr>
            <w:r>
              <w:rPr>
                <w:sz w:val="20"/>
                <w:szCs w:val="20"/>
              </w:rPr>
              <w:t>1.</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I have reviewed this Quarterly Report on Form 10-Q for the 6 month period ended December 31, 2022 of Advanced Oxygen Technologies, Inc.;</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378087324"/>
          <w:trHeight w:val="225"/>
          <w:tblCellSpacing w:w="15" w:type="dxa"/>
          <w:jc w:val="center"/>
        </w:trPr>
        <w:tc>
          <w:tcPr>
            <w:tcW w:w="0" w:type="auto"/>
            <w:hideMark/>
          </w:tcPr>
          <w:p w:rsidR="00000000" w:rsidRDefault="00D2754D">
            <w:pPr>
              <w:pStyle w:val="NormalWeb"/>
              <w:spacing w:before="0" w:beforeAutospacing="0" w:after="0" w:afterAutospacing="0"/>
              <w:jc w:val="both"/>
              <w:rPr>
                <w:sz w:val="20"/>
                <w:szCs w:val="20"/>
              </w:rPr>
            </w:pPr>
            <w:r>
              <w:rPr>
                <w:sz w:val="20"/>
                <w:szCs w:val="20"/>
              </w:rPr>
              <w:t>2.</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w:t>
            </w:r>
            <w:r>
              <w:rPr>
                <w:sz w:val="20"/>
                <w:szCs w:val="20"/>
              </w:rPr>
              <w:t xml:space="preserve"> material fact necessary to make the statements made, in light of the circumstances under which such statements were made, not misleading with respect to the period covered by this report;</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378087324"/>
          <w:trHeight w:val="225"/>
          <w:tblCellSpacing w:w="15" w:type="dxa"/>
          <w:jc w:val="center"/>
        </w:trPr>
        <w:tc>
          <w:tcPr>
            <w:tcW w:w="0" w:type="auto"/>
            <w:hideMark/>
          </w:tcPr>
          <w:p w:rsidR="00000000" w:rsidRDefault="00D2754D">
            <w:pPr>
              <w:pStyle w:val="NormalWeb"/>
              <w:spacing w:before="0" w:beforeAutospacing="0" w:after="0" w:afterAutospacing="0"/>
              <w:jc w:val="both"/>
              <w:rPr>
                <w:sz w:val="20"/>
                <w:szCs w:val="20"/>
              </w:rPr>
            </w:pPr>
            <w:r>
              <w:rPr>
                <w:sz w:val="20"/>
                <w:szCs w:val="20"/>
              </w:rPr>
              <w:t>3.</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 xml:space="preserve">Based on my knowledge, the financial statements and other </w:t>
            </w:r>
            <w:r>
              <w:rPr>
                <w:sz w:val="20"/>
                <w:szCs w:val="20"/>
              </w:rPr>
              <w:t>financial information included in this report, fairly present in all material respects the financial condition, results of operations and cash flows of the registrant as of and for, the periods presented in this report;</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378087324"/>
          <w:trHeight w:val="225"/>
          <w:tblCellSpacing w:w="15" w:type="dxa"/>
          <w:jc w:val="center"/>
        </w:trPr>
        <w:tc>
          <w:tcPr>
            <w:tcW w:w="0" w:type="auto"/>
            <w:hideMark/>
          </w:tcPr>
          <w:p w:rsidR="00000000" w:rsidRDefault="00D2754D">
            <w:pPr>
              <w:pStyle w:val="NormalWeb"/>
              <w:spacing w:before="0" w:beforeAutospacing="0" w:after="0" w:afterAutospacing="0"/>
              <w:jc w:val="both"/>
              <w:rPr>
                <w:sz w:val="20"/>
                <w:szCs w:val="20"/>
              </w:rPr>
            </w:pPr>
            <w:r>
              <w:rPr>
                <w:sz w:val="20"/>
                <w:szCs w:val="20"/>
              </w:rPr>
              <w:t>4.</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I am responsible for establishing and maintaining disclosure controls and procedures (as defined in Exchange Act Rules 13a-15(e) and 15d-15(e)) and internal control over financial reporting (as defined in Exchange Act Rules 13a-15(f) and 15d-15(f)) for the</w:t>
            </w:r>
            <w:r>
              <w:rPr>
                <w:sz w:val="20"/>
                <w:szCs w:val="20"/>
              </w:rPr>
              <w:t xml:space="preserve"> registrant and have:</w:t>
            </w:r>
          </w:p>
        </w:tc>
      </w:tr>
    </w:tbl>
    <w:p w:rsidR="00000000" w:rsidRDefault="00D2754D">
      <w:pPr>
        <w:pStyle w:val="NormalWeb"/>
        <w:spacing w:before="0" w:beforeAutospacing="0" w:after="0" w:afterAutospacing="0"/>
        <w:jc w:val="both"/>
        <w:divId w:val="3780873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trPr>
          <w:divId w:val="378087324"/>
          <w:trHeight w:val="225"/>
          <w:tblCellSpacing w:w="15" w:type="dxa"/>
          <w:jc w:val="center"/>
        </w:trPr>
        <w:tc>
          <w:tcPr>
            <w:tcW w:w="20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200" w:type="pct"/>
            <w:hideMark/>
          </w:tcPr>
          <w:p w:rsidR="00000000" w:rsidRDefault="00D2754D">
            <w:pPr>
              <w:pStyle w:val="NormalWeb"/>
              <w:spacing w:before="0" w:beforeAutospacing="0" w:after="0" w:afterAutospacing="0"/>
              <w:jc w:val="both"/>
              <w:rPr>
                <w:sz w:val="20"/>
                <w:szCs w:val="20"/>
              </w:rPr>
            </w:pPr>
            <w:r>
              <w:rPr>
                <w:sz w:val="20"/>
                <w:szCs w:val="20"/>
              </w:rPr>
              <w:t>(a)</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w:t>
            </w:r>
            <w:r>
              <w:rPr>
                <w:sz w:val="20"/>
                <w:szCs w:val="20"/>
              </w:rPr>
              <w:t>ted subsidiaries, is made known to us by others within those entities, particularly during the period in which this report is being prepared;</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(b)</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w:t>
            </w:r>
            <w:r>
              <w:rPr>
                <w:sz w:val="20"/>
                <w:szCs w:val="20"/>
              </w:rPr>
              <w:t>ial reporting to be designed under our supervision, to provide reasonable assurance regarding the reliability of financial reporting and the preparation of financial statements for external purposes in accordance with generally accepted accounting principl</w:t>
            </w:r>
            <w:r>
              <w:rPr>
                <w:sz w:val="20"/>
                <w:szCs w:val="20"/>
              </w:rPr>
              <w:t>es;</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(c)</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evaluated the effectiveness of the registrant’</w:t>
            </w:r>
            <w:r>
              <w:rPr>
                <w:sz w:val="20"/>
                <w:szCs w:val="20"/>
              </w:rPr>
              <w:t>s disclosure controls and procedures and presented in this report our conclusions about the effectiveness of the disclosure controls and procedures, as of the end of the period covered by this report based on such evaluation; and</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(d)</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disclosed in</w:t>
            </w:r>
            <w:r>
              <w:rPr>
                <w:sz w:val="20"/>
                <w:szCs w:val="20"/>
              </w:rPr>
              <w:t xml:space="preserve"> this report any change in the registrant’s internal control over financial reporting that occurred during the registrant’s most recent fiscal quarter (the registrant’s fourth fiscal quarter in the case of an annual report) that has materially affected, or</w:t>
            </w:r>
            <w:r>
              <w:rPr>
                <w:sz w:val="20"/>
                <w:szCs w:val="20"/>
              </w:rPr>
              <w:t xml:space="preserve"> is reasonably likely to materially affect, the registrant’s internal control over financial reporting; and</w:t>
            </w:r>
          </w:p>
        </w:tc>
      </w:tr>
    </w:tbl>
    <w:p w:rsidR="00000000" w:rsidRDefault="00D2754D">
      <w:pPr>
        <w:pStyle w:val="NormalWeb"/>
        <w:spacing w:before="0" w:beforeAutospacing="0" w:after="0" w:afterAutospacing="0"/>
        <w:jc w:val="both"/>
        <w:divId w:val="3780873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trPr>
          <w:divId w:val="378087324"/>
          <w:trHeight w:val="225"/>
          <w:tblCellSpacing w:w="15" w:type="dxa"/>
          <w:jc w:val="center"/>
        </w:trPr>
        <w:tc>
          <w:tcPr>
            <w:tcW w:w="200" w:type="pct"/>
            <w:hideMark/>
          </w:tcPr>
          <w:p w:rsidR="00000000" w:rsidRDefault="00D2754D">
            <w:pPr>
              <w:pStyle w:val="NormalWeb"/>
              <w:spacing w:before="0" w:beforeAutospacing="0" w:after="0" w:afterAutospacing="0"/>
              <w:jc w:val="both"/>
              <w:rPr>
                <w:sz w:val="20"/>
                <w:szCs w:val="20"/>
              </w:rPr>
            </w:pPr>
            <w:r>
              <w:rPr>
                <w:sz w:val="20"/>
                <w:szCs w:val="20"/>
              </w:rPr>
              <w:t>5.</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I have disclosed, based on our most recent evaluation of internal control over financial reporting, to the registrant’s auditors and the audit</w:t>
            </w:r>
            <w:r>
              <w:rPr>
                <w:sz w:val="20"/>
                <w:szCs w:val="20"/>
              </w:rPr>
              <w:t xml:space="preserve"> committee of the registrant’s board of directors (or persons performing the equivalent functions):</w:t>
            </w:r>
          </w:p>
        </w:tc>
      </w:tr>
    </w:tbl>
    <w:p w:rsidR="00000000" w:rsidRDefault="00D2754D">
      <w:pPr>
        <w:pStyle w:val="NormalWeb"/>
        <w:spacing w:before="0" w:beforeAutospacing="0" w:after="0" w:afterAutospacing="0"/>
        <w:jc w:val="both"/>
        <w:divId w:val="3780873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trPr>
          <w:divId w:val="378087324"/>
          <w:trHeight w:val="225"/>
          <w:tblCellSpacing w:w="15" w:type="dxa"/>
          <w:jc w:val="center"/>
        </w:trPr>
        <w:tc>
          <w:tcPr>
            <w:tcW w:w="20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200" w:type="pct"/>
            <w:hideMark/>
          </w:tcPr>
          <w:p w:rsidR="00000000" w:rsidRDefault="00D2754D">
            <w:pPr>
              <w:pStyle w:val="NormalWeb"/>
              <w:spacing w:before="0" w:beforeAutospacing="0" w:after="0" w:afterAutospacing="0"/>
              <w:jc w:val="both"/>
              <w:rPr>
                <w:sz w:val="20"/>
                <w:szCs w:val="20"/>
              </w:rPr>
            </w:pPr>
            <w:r>
              <w:rPr>
                <w:sz w:val="20"/>
                <w:szCs w:val="20"/>
              </w:rPr>
              <w:t>(a)</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w:t>
            </w:r>
            <w:r>
              <w:rPr>
                <w:sz w:val="20"/>
                <w:szCs w:val="20"/>
              </w:rPr>
              <w:t>tion; and</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(b)</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registrant’s internal control over financial reporting.</w:t>
            </w:r>
          </w:p>
        </w:tc>
      </w:tr>
    </w:tbl>
    <w:p w:rsidR="00000000" w:rsidRDefault="00D2754D">
      <w:pPr>
        <w:pStyle w:val="NormalWeb"/>
        <w:spacing w:before="0" w:beforeAutospacing="0" w:after="0" w:afterAutospacing="0"/>
        <w:jc w:val="both"/>
        <w:divId w:val="3780873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trPr>
          <w:divId w:val="378087324"/>
          <w:trHeight w:val="225"/>
          <w:tblCellSpacing w:w="15" w:type="dxa"/>
          <w:jc w:val="center"/>
        </w:trPr>
        <w:tc>
          <w:tcPr>
            <w:tcW w:w="2500" w:type="pct"/>
            <w:vAlign w:val="center"/>
            <w:hideMark/>
          </w:tcPr>
          <w:p w:rsidR="00000000" w:rsidRDefault="00D2754D">
            <w:pPr>
              <w:pStyle w:val="NormalWeb"/>
              <w:spacing w:before="0" w:beforeAutospacing="0" w:after="0" w:afterAutospacing="0"/>
              <w:rPr>
                <w:sz w:val="20"/>
                <w:szCs w:val="20"/>
              </w:rPr>
            </w:pPr>
            <w:r>
              <w:rPr>
                <w:sz w:val="20"/>
                <w:szCs w:val="20"/>
              </w:rPr>
              <w:t>Date: February 13, 2023</w:t>
            </w:r>
          </w:p>
        </w:tc>
        <w:tc>
          <w:tcPr>
            <w:tcW w:w="150" w:type="pct"/>
            <w:vAlign w:val="center"/>
            <w:hideMark/>
          </w:tcPr>
          <w:p w:rsidR="00000000" w:rsidRDefault="00D2754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rsidR="00000000" w:rsidRDefault="00D2754D">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rsidR="00000000" w:rsidRDefault="00D2754D">
            <w:pPr>
              <w:rPr>
                <w:sz w:val="20"/>
                <w:szCs w:val="20"/>
              </w:rPr>
            </w:pP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Robert Wolfe</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378087324"/>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Chief Executive Officer</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divId w:val="378087324"/>
        <w:rPr>
          <w:sz w:val="20"/>
          <w:szCs w:val="20"/>
        </w:rPr>
      </w:pPr>
      <w:r>
        <w:rPr>
          <w:sz w:val="20"/>
          <w:szCs w:val="20"/>
        </w:rPr>
        <w:t> </w:t>
      </w:r>
    </w:p>
    <w:p w:rsidR="00000000" w:rsidRDefault="00D2754D">
      <w:pPr>
        <w:divId w:val="455609885"/>
        <w:rPr>
          <w:rFonts w:eastAsia="Times New Roman"/>
        </w:rPr>
      </w:pPr>
      <w:r>
        <w:rPr>
          <w:rFonts w:eastAsia="Times New Roman"/>
        </w:rPr>
        <w:t> </w:t>
      </w:r>
    </w:p>
    <w:p w:rsidR="00000000" w:rsidRDefault="00D2754D">
      <w:pPr>
        <w:rPr>
          <w:rFonts w:eastAsia="Times New Roman"/>
        </w:rPr>
      </w:pPr>
    </w:p>
    <w:p w:rsidR="00000000" w:rsidRDefault="00D2754D">
      <w:pPr>
        <w:pStyle w:val="NormalWeb"/>
        <w:spacing w:before="0" w:beforeAutospacing="0" w:after="0" w:afterAutospacing="0"/>
        <w:jc w:val="right"/>
        <w:divId w:val="1140728044"/>
        <w:rPr>
          <w:sz w:val="20"/>
          <w:szCs w:val="20"/>
        </w:rPr>
      </w:pPr>
      <w:r>
        <w:rPr>
          <w:rStyle w:val="Strong"/>
          <w:sz w:val="20"/>
          <w:szCs w:val="20"/>
        </w:rPr>
        <w:t>EXHIBIT 31.2</w:t>
      </w:r>
    </w:p>
    <w:p w:rsidR="00000000" w:rsidRDefault="00D2754D">
      <w:pPr>
        <w:pStyle w:val="NormalWeb"/>
        <w:spacing w:before="0" w:beforeAutospacing="0" w:after="0" w:afterAutospacing="0"/>
        <w:jc w:val="right"/>
        <w:divId w:val="1140728044"/>
        <w:rPr>
          <w:sz w:val="20"/>
          <w:szCs w:val="20"/>
        </w:rPr>
      </w:pPr>
      <w:r>
        <w:rPr>
          <w:sz w:val="20"/>
          <w:szCs w:val="20"/>
        </w:rPr>
        <w:t> </w:t>
      </w:r>
    </w:p>
    <w:p w:rsidR="00000000" w:rsidRDefault="00D2754D">
      <w:pPr>
        <w:pStyle w:val="NormalWeb"/>
        <w:spacing w:before="0" w:beforeAutospacing="0" w:after="0" w:afterAutospacing="0"/>
        <w:jc w:val="center"/>
        <w:divId w:val="1140728044"/>
        <w:rPr>
          <w:sz w:val="20"/>
          <w:szCs w:val="20"/>
        </w:rPr>
      </w:pPr>
      <w:r>
        <w:rPr>
          <w:rStyle w:val="Strong"/>
          <w:sz w:val="20"/>
          <w:szCs w:val="20"/>
        </w:rPr>
        <w:t>CERTIFICATIONS</w:t>
      </w:r>
    </w:p>
    <w:p w:rsidR="00000000" w:rsidRDefault="00D2754D">
      <w:pPr>
        <w:pStyle w:val="NormalWeb"/>
        <w:spacing w:before="0" w:beforeAutospacing="0" w:after="0" w:afterAutospacing="0"/>
        <w:jc w:val="center"/>
        <w:divId w:val="1140728044"/>
        <w:rPr>
          <w:sz w:val="20"/>
          <w:szCs w:val="20"/>
        </w:rPr>
      </w:pPr>
      <w:r>
        <w:rPr>
          <w:sz w:val="20"/>
          <w:szCs w:val="20"/>
        </w:rPr>
        <w:t> </w:t>
      </w:r>
    </w:p>
    <w:p w:rsidR="00000000" w:rsidRDefault="00D2754D">
      <w:pPr>
        <w:pStyle w:val="NormalWeb"/>
        <w:spacing w:before="0" w:beforeAutospacing="0" w:after="0" w:afterAutospacing="0"/>
        <w:divId w:val="1140728044"/>
        <w:rPr>
          <w:sz w:val="20"/>
          <w:szCs w:val="20"/>
        </w:rPr>
      </w:pPr>
      <w:r>
        <w:rPr>
          <w:sz w:val="20"/>
          <w:szCs w:val="20"/>
        </w:rPr>
        <w:t>I, Robert Wolfe, certify that:</w:t>
      </w:r>
    </w:p>
    <w:p w:rsidR="00000000" w:rsidRDefault="00D2754D">
      <w:pPr>
        <w:pStyle w:val="NormalWeb"/>
        <w:spacing w:before="0" w:beforeAutospacing="0" w:after="0" w:afterAutospacing="0"/>
        <w:divId w:val="114072804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trPr>
          <w:divId w:val="1140728044"/>
          <w:trHeight w:val="225"/>
          <w:tblCellSpacing w:w="15" w:type="dxa"/>
          <w:jc w:val="center"/>
        </w:trPr>
        <w:tc>
          <w:tcPr>
            <w:tcW w:w="200" w:type="pct"/>
            <w:hideMark/>
          </w:tcPr>
          <w:p w:rsidR="00000000" w:rsidRDefault="00D2754D">
            <w:pPr>
              <w:pStyle w:val="NormalWeb"/>
              <w:spacing w:before="0" w:beforeAutospacing="0" w:after="0" w:afterAutospacing="0"/>
              <w:jc w:val="both"/>
              <w:rPr>
                <w:sz w:val="20"/>
                <w:szCs w:val="20"/>
              </w:rPr>
            </w:pPr>
            <w:r>
              <w:rPr>
                <w:sz w:val="20"/>
                <w:szCs w:val="20"/>
              </w:rPr>
              <w:t>1.</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I have reviewed this Quarterly Report on Form 10-Q for the 6 month period ended December 31, 2022 of Advanced Oxygen Technologies, Inc.;</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1140728044"/>
          <w:trHeight w:val="225"/>
          <w:tblCellSpacing w:w="15" w:type="dxa"/>
          <w:jc w:val="center"/>
        </w:trPr>
        <w:tc>
          <w:tcPr>
            <w:tcW w:w="0" w:type="auto"/>
            <w:hideMark/>
          </w:tcPr>
          <w:p w:rsidR="00000000" w:rsidRDefault="00D2754D">
            <w:pPr>
              <w:pStyle w:val="NormalWeb"/>
              <w:spacing w:before="0" w:beforeAutospacing="0" w:after="0" w:afterAutospacing="0"/>
              <w:jc w:val="both"/>
              <w:rPr>
                <w:sz w:val="20"/>
                <w:szCs w:val="20"/>
              </w:rPr>
            </w:pPr>
            <w:r>
              <w:rPr>
                <w:sz w:val="20"/>
                <w:szCs w:val="20"/>
              </w:rPr>
              <w:t>2.</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w:t>
            </w:r>
            <w:r>
              <w:rPr>
                <w:sz w:val="20"/>
                <w:szCs w:val="20"/>
              </w:rPr>
              <w:t xml:space="preserve"> material fact necessary to make the statements made, in light of the circumstances under which such statements were made, not misleading with respect to the period covered by this report;</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1140728044"/>
          <w:trHeight w:val="225"/>
          <w:tblCellSpacing w:w="15" w:type="dxa"/>
          <w:jc w:val="center"/>
        </w:trPr>
        <w:tc>
          <w:tcPr>
            <w:tcW w:w="0" w:type="auto"/>
            <w:hideMark/>
          </w:tcPr>
          <w:p w:rsidR="00000000" w:rsidRDefault="00D2754D">
            <w:pPr>
              <w:pStyle w:val="NormalWeb"/>
              <w:spacing w:before="0" w:beforeAutospacing="0" w:after="0" w:afterAutospacing="0"/>
              <w:jc w:val="both"/>
              <w:rPr>
                <w:sz w:val="20"/>
                <w:szCs w:val="20"/>
              </w:rPr>
            </w:pPr>
            <w:r>
              <w:rPr>
                <w:sz w:val="20"/>
                <w:szCs w:val="20"/>
              </w:rPr>
              <w:t>3.</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 xml:space="preserve">Based on my knowledge, the financial statements and other </w:t>
            </w:r>
            <w:r>
              <w:rPr>
                <w:sz w:val="20"/>
                <w:szCs w:val="20"/>
              </w:rPr>
              <w:t>financial information included in this report, fairly present in all material respects the financial condition, results of operations and cash flows of the registrant as of and for, the periods presented in this report;</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1140728044"/>
          <w:trHeight w:val="225"/>
          <w:tblCellSpacing w:w="15" w:type="dxa"/>
          <w:jc w:val="center"/>
        </w:trPr>
        <w:tc>
          <w:tcPr>
            <w:tcW w:w="0" w:type="auto"/>
            <w:hideMark/>
          </w:tcPr>
          <w:p w:rsidR="00000000" w:rsidRDefault="00D2754D">
            <w:pPr>
              <w:pStyle w:val="NormalWeb"/>
              <w:spacing w:before="0" w:beforeAutospacing="0" w:after="0" w:afterAutospacing="0"/>
              <w:jc w:val="both"/>
              <w:rPr>
                <w:sz w:val="20"/>
                <w:szCs w:val="20"/>
              </w:rPr>
            </w:pPr>
            <w:r>
              <w:rPr>
                <w:sz w:val="20"/>
                <w:szCs w:val="20"/>
              </w:rPr>
              <w:t>4.</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I am responsible for establishing and maintaining disclosure controls and procedures (as defined in Exchange Act Rules 13a-15(e) and 15d-15(e)) and internal control over financial reporting (as defined in Exchange Act Rules 13a-15(f) and 15d-15(f)) for the</w:t>
            </w:r>
            <w:r>
              <w:rPr>
                <w:sz w:val="20"/>
                <w:szCs w:val="20"/>
              </w:rPr>
              <w:t xml:space="preserve"> registrant and have:</w:t>
            </w:r>
          </w:p>
        </w:tc>
      </w:tr>
    </w:tbl>
    <w:p w:rsidR="00000000" w:rsidRDefault="00D2754D">
      <w:pPr>
        <w:pStyle w:val="NormalWeb"/>
        <w:spacing w:before="0" w:beforeAutospacing="0" w:after="0" w:afterAutospacing="0"/>
        <w:jc w:val="both"/>
        <w:divId w:val="114072804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trPr>
          <w:divId w:val="1140728044"/>
          <w:trHeight w:val="225"/>
          <w:tblCellSpacing w:w="15" w:type="dxa"/>
          <w:jc w:val="center"/>
        </w:trPr>
        <w:tc>
          <w:tcPr>
            <w:tcW w:w="20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200" w:type="pct"/>
            <w:hideMark/>
          </w:tcPr>
          <w:p w:rsidR="00000000" w:rsidRDefault="00D2754D">
            <w:pPr>
              <w:pStyle w:val="NormalWeb"/>
              <w:spacing w:before="0" w:beforeAutospacing="0" w:after="0" w:afterAutospacing="0"/>
              <w:jc w:val="both"/>
              <w:rPr>
                <w:sz w:val="20"/>
                <w:szCs w:val="20"/>
              </w:rPr>
            </w:pPr>
            <w:r>
              <w:rPr>
                <w:sz w:val="20"/>
                <w:szCs w:val="20"/>
              </w:rPr>
              <w:t>(a)</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w:t>
            </w:r>
            <w:r>
              <w:rPr>
                <w:sz w:val="20"/>
                <w:szCs w:val="20"/>
              </w:rPr>
              <w:t>ted subsidiaries, is made known to us by others within those entities, particularly during the period in which this report is being prepared;</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(b)</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w:t>
            </w:r>
            <w:r>
              <w:rPr>
                <w:sz w:val="20"/>
                <w:szCs w:val="20"/>
              </w:rPr>
              <w:t xml:space="preserve">ial reporting to be designed under our supervision, to provide reasonable assurance regarding the reliability of </w:t>
            </w:r>
            <w:r>
              <w:rPr>
                <w:sz w:val="20"/>
                <w:szCs w:val="20"/>
              </w:rPr>
              <w:lastRenderedPageBreak/>
              <w:t>financial reporting and the preparation of financial statements for external purposes in accordance with generally accepted accounting principl</w:t>
            </w:r>
            <w:r>
              <w:rPr>
                <w:sz w:val="20"/>
                <w:szCs w:val="20"/>
              </w:rPr>
              <w:t>es;</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(c)</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evaluated the effectiveness of the registrant’</w:t>
            </w:r>
            <w:r>
              <w:rPr>
                <w:sz w:val="20"/>
                <w:szCs w:val="20"/>
              </w:rPr>
              <w:t>s disclosure controls and procedures and presented in this report our conclusions about the effectiveness of the disclosure controls and procedures, as of the end of the period covered by this report based on such evaluation; and</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(d)</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disclosed in</w:t>
            </w:r>
            <w:r>
              <w:rPr>
                <w:sz w:val="20"/>
                <w:szCs w:val="20"/>
              </w:rPr>
              <w:t xml:space="preserve"> this report any change in the registrant’s internal control over financial reporting that occurred during the registrant’s most recent fiscal quarter (the registrant’s fourth fiscal quarter in the case of an annual report) that has materially affected, or</w:t>
            </w:r>
            <w:r>
              <w:rPr>
                <w:sz w:val="20"/>
                <w:szCs w:val="20"/>
              </w:rPr>
              <w:t xml:space="preserve"> is reasonably likely to materially affect, the registrant’s internal control over financial reporting; and</w:t>
            </w:r>
          </w:p>
        </w:tc>
      </w:tr>
    </w:tbl>
    <w:p w:rsidR="00000000" w:rsidRDefault="00D2754D">
      <w:pPr>
        <w:pStyle w:val="NormalWeb"/>
        <w:spacing w:before="0" w:beforeAutospacing="0" w:after="0" w:afterAutospacing="0"/>
        <w:jc w:val="both"/>
        <w:divId w:val="114072804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trPr>
          <w:divId w:val="1140728044"/>
          <w:trHeight w:val="225"/>
          <w:tblCellSpacing w:w="15" w:type="dxa"/>
          <w:jc w:val="center"/>
        </w:trPr>
        <w:tc>
          <w:tcPr>
            <w:tcW w:w="200" w:type="pct"/>
            <w:hideMark/>
          </w:tcPr>
          <w:p w:rsidR="00000000" w:rsidRDefault="00D2754D">
            <w:pPr>
              <w:pStyle w:val="NormalWeb"/>
              <w:spacing w:before="0" w:beforeAutospacing="0" w:after="0" w:afterAutospacing="0"/>
              <w:jc w:val="both"/>
              <w:rPr>
                <w:sz w:val="20"/>
                <w:szCs w:val="20"/>
              </w:rPr>
            </w:pPr>
            <w:r>
              <w:rPr>
                <w:sz w:val="20"/>
                <w:szCs w:val="20"/>
              </w:rPr>
              <w:t>5.</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I have disclosed, based on our most recent evaluation of internal control over financial reporting, to the registrant’s auditors and the audit</w:t>
            </w:r>
            <w:r>
              <w:rPr>
                <w:sz w:val="20"/>
                <w:szCs w:val="20"/>
              </w:rPr>
              <w:t xml:space="preserve"> committee of the registrant’s board of directors (or persons performing the equivalent functions):</w:t>
            </w:r>
          </w:p>
        </w:tc>
      </w:tr>
    </w:tbl>
    <w:p w:rsidR="00000000" w:rsidRDefault="00D2754D">
      <w:pPr>
        <w:pStyle w:val="NormalWeb"/>
        <w:spacing w:before="0" w:beforeAutospacing="0" w:after="0" w:afterAutospacing="0"/>
        <w:jc w:val="both"/>
        <w:divId w:val="114072804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trPr>
          <w:divId w:val="1140728044"/>
          <w:trHeight w:val="225"/>
          <w:tblCellSpacing w:w="15" w:type="dxa"/>
          <w:jc w:val="center"/>
        </w:trPr>
        <w:tc>
          <w:tcPr>
            <w:tcW w:w="20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200" w:type="pct"/>
            <w:hideMark/>
          </w:tcPr>
          <w:p w:rsidR="00000000" w:rsidRDefault="00D2754D">
            <w:pPr>
              <w:pStyle w:val="NormalWeb"/>
              <w:spacing w:before="0" w:beforeAutospacing="0" w:after="0" w:afterAutospacing="0"/>
              <w:jc w:val="both"/>
              <w:rPr>
                <w:sz w:val="20"/>
                <w:szCs w:val="20"/>
              </w:rPr>
            </w:pPr>
            <w:r>
              <w:rPr>
                <w:sz w:val="20"/>
                <w:szCs w:val="20"/>
              </w:rPr>
              <w:t>(a)</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w:t>
            </w:r>
            <w:r>
              <w:rPr>
                <w:sz w:val="20"/>
                <w:szCs w:val="20"/>
              </w:rPr>
              <w:t>tion; and</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(b)</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registrant’s internal control over financial reporting.</w:t>
            </w:r>
          </w:p>
        </w:tc>
      </w:tr>
    </w:tbl>
    <w:p w:rsidR="00000000" w:rsidRDefault="00D2754D">
      <w:pPr>
        <w:pStyle w:val="NormalWeb"/>
        <w:spacing w:before="0" w:beforeAutospacing="0" w:after="0" w:afterAutospacing="0"/>
        <w:jc w:val="both"/>
        <w:divId w:val="114072804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trPr>
          <w:divId w:val="1140728044"/>
          <w:trHeight w:val="225"/>
          <w:tblCellSpacing w:w="15" w:type="dxa"/>
          <w:jc w:val="center"/>
        </w:trPr>
        <w:tc>
          <w:tcPr>
            <w:tcW w:w="2500" w:type="pct"/>
            <w:vAlign w:val="center"/>
            <w:hideMark/>
          </w:tcPr>
          <w:p w:rsidR="00000000" w:rsidRDefault="00D2754D">
            <w:pPr>
              <w:pStyle w:val="NormalWeb"/>
              <w:spacing w:before="0" w:beforeAutospacing="0" w:after="0" w:afterAutospacing="0"/>
              <w:rPr>
                <w:sz w:val="20"/>
                <w:szCs w:val="20"/>
              </w:rPr>
            </w:pPr>
            <w:r>
              <w:rPr>
                <w:sz w:val="20"/>
                <w:szCs w:val="20"/>
              </w:rPr>
              <w:t>Date: February 13, 2023</w:t>
            </w:r>
          </w:p>
        </w:tc>
        <w:tc>
          <w:tcPr>
            <w:tcW w:w="150" w:type="pct"/>
            <w:vAlign w:val="center"/>
            <w:hideMark/>
          </w:tcPr>
          <w:p w:rsidR="00000000" w:rsidRDefault="00D2754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rsidR="00000000" w:rsidRDefault="00D2754D">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rsidR="00000000" w:rsidRDefault="00D2754D">
            <w:pPr>
              <w:rPr>
                <w:sz w:val="20"/>
                <w:szCs w:val="20"/>
              </w:rPr>
            </w:pP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Robert Wolfe</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1140728044"/>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Chief Financial Officer</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1140728044"/>
        <w:rPr>
          <w:sz w:val="20"/>
          <w:szCs w:val="20"/>
        </w:rPr>
      </w:pPr>
      <w:r>
        <w:rPr>
          <w:sz w:val="20"/>
          <w:szCs w:val="20"/>
        </w:rPr>
        <w:t> </w:t>
      </w:r>
    </w:p>
    <w:p w:rsidR="00000000" w:rsidRDefault="00D2754D">
      <w:pPr>
        <w:divId w:val="195654029"/>
        <w:rPr>
          <w:rFonts w:eastAsia="Times New Roman"/>
        </w:rPr>
      </w:pPr>
      <w:r>
        <w:rPr>
          <w:rFonts w:eastAsia="Times New Roman"/>
        </w:rPr>
        <w:t> </w:t>
      </w:r>
    </w:p>
    <w:p w:rsidR="00000000" w:rsidRDefault="00D2754D">
      <w:pPr>
        <w:rPr>
          <w:rFonts w:eastAsia="Times New Roman"/>
        </w:rPr>
      </w:pPr>
    </w:p>
    <w:p w:rsidR="00000000" w:rsidRDefault="00D2754D">
      <w:pPr>
        <w:pStyle w:val="NormalWeb"/>
        <w:spacing w:before="0" w:beforeAutospacing="0" w:after="0" w:afterAutospacing="0"/>
        <w:jc w:val="right"/>
        <w:divId w:val="282809969"/>
        <w:rPr>
          <w:sz w:val="20"/>
          <w:szCs w:val="20"/>
        </w:rPr>
      </w:pPr>
      <w:r>
        <w:rPr>
          <w:rStyle w:val="Strong"/>
          <w:sz w:val="20"/>
          <w:szCs w:val="20"/>
        </w:rPr>
        <w:t>EXHIBIT 32.1</w:t>
      </w:r>
    </w:p>
    <w:p w:rsidR="00000000" w:rsidRDefault="00D2754D">
      <w:pPr>
        <w:pStyle w:val="NormalWeb"/>
        <w:spacing w:before="0" w:beforeAutospacing="0" w:after="0" w:afterAutospacing="0"/>
        <w:jc w:val="right"/>
        <w:divId w:val="282809969"/>
        <w:rPr>
          <w:sz w:val="20"/>
          <w:szCs w:val="20"/>
        </w:rPr>
      </w:pPr>
      <w:r>
        <w:rPr>
          <w:sz w:val="20"/>
          <w:szCs w:val="20"/>
        </w:rPr>
        <w:t> </w:t>
      </w:r>
    </w:p>
    <w:p w:rsidR="00000000" w:rsidRDefault="00D2754D">
      <w:pPr>
        <w:pStyle w:val="NormalWeb"/>
        <w:spacing w:before="0" w:beforeAutospacing="0" w:after="0" w:afterAutospacing="0"/>
        <w:jc w:val="center"/>
        <w:divId w:val="282809969"/>
        <w:rPr>
          <w:sz w:val="20"/>
          <w:szCs w:val="20"/>
        </w:rPr>
      </w:pPr>
      <w:r>
        <w:rPr>
          <w:rStyle w:val="Strong"/>
          <w:sz w:val="20"/>
          <w:szCs w:val="20"/>
        </w:rPr>
        <w:t>CERTIFICATION PURSUANT TO</w:t>
      </w:r>
    </w:p>
    <w:p w:rsidR="00000000" w:rsidRDefault="00D2754D">
      <w:pPr>
        <w:pStyle w:val="NormalWeb"/>
        <w:spacing w:before="0" w:beforeAutospacing="0" w:after="0" w:afterAutospacing="0"/>
        <w:jc w:val="center"/>
        <w:divId w:val="282809969"/>
        <w:rPr>
          <w:sz w:val="20"/>
          <w:szCs w:val="20"/>
        </w:rPr>
      </w:pPr>
      <w:r>
        <w:rPr>
          <w:sz w:val="20"/>
          <w:szCs w:val="20"/>
        </w:rPr>
        <w:t> </w:t>
      </w:r>
    </w:p>
    <w:p w:rsidR="00000000" w:rsidRDefault="00D2754D">
      <w:pPr>
        <w:pStyle w:val="NormalWeb"/>
        <w:spacing w:before="0" w:beforeAutospacing="0" w:after="0" w:afterAutospacing="0"/>
        <w:jc w:val="center"/>
        <w:divId w:val="282809969"/>
        <w:rPr>
          <w:sz w:val="20"/>
          <w:szCs w:val="20"/>
        </w:rPr>
      </w:pPr>
      <w:r>
        <w:rPr>
          <w:rStyle w:val="Strong"/>
          <w:sz w:val="20"/>
          <w:szCs w:val="20"/>
        </w:rPr>
        <w:t>18 U.S.C. SECTION 1350,</w:t>
      </w:r>
    </w:p>
    <w:p w:rsidR="00000000" w:rsidRDefault="00D2754D">
      <w:pPr>
        <w:pStyle w:val="NormalWeb"/>
        <w:spacing w:before="0" w:beforeAutospacing="0" w:after="0" w:afterAutospacing="0"/>
        <w:jc w:val="center"/>
        <w:divId w:val="282809969"/>
        <w:rPr>
          <w:sz w:val="20"/>
          <w:szCs w:val="20"/>
        </w:rPr>
      </w:pPr>
      <w:r>
        <w:rPr>
          <w:sz w:val="20"/>
          <w:szCs w:val="20"/>
        </w:rPr>
        <w:t> </w:t>
      </w:r>
    </w:p>
    <w:p w:rsidR="00000000" w:rsidRDefault="00D2754D">
      <w:pPr>
        <w:pStyle w:val="NormalWeb"/>
        <w:spacing w:before="0" w:beforeAutospacing="0" w:after="0" w:afterAutospacing="0"/>
        <w:jc w:val="center"/>
        <w:divId w:val="282809969"/>
        <w:rPr>
          <w:sz w:val="20"/>
          <w:szCs w:val="20"/>
        </w:rPr>
      </w:pPr>
      <w:r>
        <w:rPr>
          <w:rStyle w:val="Strong"/>
          <w:sz w:val="20"/>
          <w:szCs w:val="20"/>
        </w:rPr>
        <w:t>AS ADOPTED PURSUANT TO</w:t>
      </w:r>
    </w:p>
    <w:p w:rsidR="00000000" w:rsidRDefault="00D2754D">
      <w:pPr>
        <w:pStyle w:val="NormalWeb"/>
        <w:spacing w:before="0" w:beforeAutospacing="0" w:after="0" w:afterAutospacing="0"/>
        <w:jc w:val="center"/>
        <w:divId w:val="282809969"/>
        <w:rPr>
          <w:sz w:val="20"/>
          <w:szCs w:val="20"/>
        </w:rPr>
      </w:pPr>
      <w:r>
        <w:rPr>
          <w:sz w:val="20"/>
          <w:szCs w:val="20"/>
        </w:rPr>
        <w:t> </w:t>
      </w:r>
    </w:p>
    <w:p w:rsidR="00000000" w:rsidRDefault="00D2754D">
      <w:pPr>
        <w:pStyle w:val="NormalWeb"/>
        <w:spacing w:before="0" w:beforeAutospacing="0" w:after="0" w:afterAutospacing="0"/>
        <w:jc w:val="center"/>
        <w:divId w:val="282809969"/>
        <w:rPr>
          <w:sz w:val="20"/>
          <w:szCs w:val="20"/>
        </w:rPr>
      </w:pPr>
      <w:r>
        <w:rPr>
          <w:rStyle w:val="Strong"/>
          <w:sz w:val="20"/>
          <w:szCs w:val="20"/>
        </w:rPr>
        <w:t>SECTION 906 OF THE SARBANES-OXLEY ACT OF 2002</w:t>
      </w:r>
    </w:p>
    <w:p w:rsidR="00000000" w:rsidRDefault="00D2754D">
      <w:pPr>
        <w:pStyle w:val="NormalWeb"/>
        <w:spacing w:before="0" w:beforeAutospacing="0" w:after="0" w:afterAutospacing="0"/>
        <w:jc w:val="center"/>
        <w:divId w:val="282809969"/>
        <w:rPr>
          <w:sz w:val="20"/>
          <w:szCs w:val="20"/>
        </w:rPr>
      </w:pPr>
      <w:r>
        <w:rPr>
          <w:sz w:val="20"/>
          <w:szCs w:val="20"/>
        </w:rPr>
        <w:t> </w:t>
      </w:r>
    </w:p>
    <w:p w:rsidR="00000000" w:rsidRDefault="00D2754D">
      <w:pPr>
        <w:pStyle w:val="NormalWeb"/>
        <w:spacing w:before="0" w:beforeAutospacing="0" w:after="0" w:afterAutospacing="0"/>
        <w:divId w:val="282809969"/>
        <w:rPr>
          <w:sz w:val="20"/>
          <w:szCs w:val="20"/>
        </w:rPr>
      </w:pPr>
      <w:r>
        <w:rPr>
          <w:sz w:val="20"/>
          <w:szCs w:val="20"/>
        </w:rPr>
        <w:t xml:space="preserve">In connection with the Quarterly Report of Advanced Oxygen Technologies, Inc. (the “Company”) on Form 10-Q for the 6 month period ended December 31, 2022 filed with the Securities and Exchange Commission on the date hereof (the “Report”), I, Robert Wolfe, </w:t>
      </w:r>
      <w:r>
        <w:rPr>
          <w:sz w:val="20"/>
          <w:szCs w:val="20"/>
        </w:rPr>
        <w:t>certify, pursuant to 18 U.S.C. § 1350, as adopted pursuant to 906 of the Sarbanes-Oxley Act of 2002, that:</w:t>
      </w:r>
    </w:p>
    <w:p w:rsidR="00000000" w:rsidRDefault="00D2754D">
      <w:pPr>
        <w:pStyle w:val="NormalWeb"/>
        <w:spacing w:before="0" w:beforeAutospacing="0" w:after="0" w:afterAutospacing="0"/>
        <w:divId w:val="28280996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trPr>
          <w:divId w:val="282809969"/>
          <w:trHeight w:val="225"/>
          <w:tblCellSpacing w:w="15" w:type="dxa"/>
          <w:jc w:val="center"/>
        </w:trPr>
        <w:tc>
          <w:tcPr>
            <w:tcW w:w="20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200" w:type="pct"/>
            <w:hideMark/>
          </w:tcPr>
          <w:p w:rsidR="00000000" w:rsidRDefault="00D2754D">
            <w:pPr>
              <w:pStyle w:val="NormalWeb"/>
              <w:spacing w:before="0" w:beforeAutospacing="0" w:after="0" w:afterAutospacing="0"/>
              <w:jc w:val="both"/>
              <w:rPr>
                <w:sz w:val="20"/>
                <w:szCs w:val="20"/>
              </w:rPr>
            </w:pPr>
            <w:r>
              <w:rPr>
                <w:sz w:val="20"/>
                <w:szCs w:val="20"/>
              </w:rPr>
              <w:t>(1)</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The Report fully complies with the requirements of Section 13(a) or 15(d) of the Securities Exchange Act of 1934; and</w:t>
            </w:r>
          </w:p>
        </w:tc>
      </w:tr>
      <w:tr w:rsidR="00000000">
        <w:trPr>
          <w:divId w:val="282809969"/>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282809969"/>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(2)</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The information contained in the Report fairly presents, in all material respects, the financial condition and results of operations of the Company.</w:t>
            </w:r>
          </w:p>
        </w:tc>
      </w:tr>
    </w:tbl>
    <w:p w:rsidR="00000000" w:rsidRDefault="00D2754D">
      <w:pPr>
        <w:pStyle w:val="NormalWeb"/>
        <w:spacing w:before="0" w:beforeAutospacing="0" w:after="0" w:afterAutospacing="0"/>
        <w:jc w:val="both"/>
        <w:divId w:val="28280996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trPr>
          <w:divId w:val="282809969"/>
          <w:trHeight w:val="225"/>
          <w:tblCellSpacing w:w="15" w:type="dxa"/>
          <w:jc w:val="center"/>
        </w:trPr>
        <w:tc>
          <w:tcPr>
            <w:tcW w:w="2500" w:type="pct"/>
            <w:vAlign w:val="center"/>
            <w:hideMark/>
          </w:tcPr>
          <w:p w:rsidR="00000000" w:rsidRDefault="00D2754D">
            <w:pPr>
              <w:pStyle w:val="NormalWeb"/>
              <w:spacing w:before="0" w:beforeAutospacing="0" w:after="0" w:afterAutospacing="0"/>
              <w:rPr>
                <w:sz w:val="20"/>
                <w:szCs w:val="20"/>
              </w:rPr>
            </w:pPr>
            <w:r>
              <w:rPr>
                <w:sz w:val="20"/>
                <w:szCs w:val="20"/>
              </w:rPr>
              <w:t>Date: February 13, 2023</w:t>
            </w:r>
          </w:p>
        </w:tc>
        <w:tc>
          <w:tcPr>
            <w:tcW w:w="150" w:type="pct"/>
            <w:vAlign w:val="center"/>
            <w:hideMark/>
          </w:tcPr>
          <w:p w:rsidR="00000000" w:rsidRDefault="00D2754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rsidR="00000000" w:rsidRDefault="00D2754D">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rsidR="00000000" w:rsidRDefault="00D2754D">
            <w:pPr>
              <w:rPr>
                <w:sz w:val="20"/>
                <w:szCs w:val="20"/>
              </w:rPr>
            </w:pPr>
          </w:p>
        </w:tc>
      </w:tr>
      <w:tr w:rsidR="00000000">
        <w:trPr>
          <w:divId w:val="282809969"/>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Robert Wolfe</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282809969"/>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lastRenderedPageBreak/>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Chief Executive Officer</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pStyle w:val="NormalWeb"/>
        <w:spacing w:before="0" w:beforeAutospacing="0" w:after="0" w:afterAutospacing="0"/>
        <w:jc w:val="both"/>
        <w:divId w:val="282809969"/>
        <w:rPr>
          <w:sz w:val="20"/>
          <w:szCs w:val="20"/>
        </w:rPr>
      </w:pPr>
      <w:r>
        <w:rPr>
          <w:sz w:val="20"/>
          <w:szCs w:val="20"/>
        </w:rPr>
        <w:t> </w:t>
      </w:r>
    </w:p>
    <w:p w:rsidR="00000000" w:rsidRDefault="00D2754D">
      <w:pPr>
        <w:divId w:val="1161118497"/>
        <w:rPr>
          <w:rFonts w:eastAsia="Times New Roman"/>
        </w:rPr>
      </w:pPr>
      <w:r>
        <w:rPr>
          <w:rFonts w:eastAsia="Times New Roman"/>
        </w:rPr>
        <w:t> </w:t>
      </w:r>
    </w:p>
    <w:p w:rsidR="00000000" w:rsidRDefault="00D2754D">
      <w:pPr>
        <w:rPr>
          <w:rFonts w:eastAsia="Times New Roman"/>
        </w:rPr>
      </w:pPr>
    </w:p>
    <w:p w:rsidR="00000000" w:rsidRDefault="00D2754D">
      <w:pPr>
        <w:pStyle w:val="NormalWeb"/>
        <w:spacing w:before="0" w:beforeAutospacing="0" w:after="0" w:afterAutospacing="0"/>
        <w:jc w:val="right"/>
        <w:divId w:val="756291165"/>
        <w:rPr>
          <w:sz w:val="20"/>
          <w:szCs w:val="20"/>
        </w:rPr>
      </w:pPr>
      <w:r>
        <w:rPr>
          <w:rStyle w:val="Strong"/>
          <w:sz w:val="20"/>
          <w:szCs w:val="20"/>
        </w:rPr>
        <w:t>EXHIBIT 32.2</w:t>
      </w:r>
    </w:p>
    <w:p w:rsidR="00000000" w:rsidRDefault="00D2754D">
      <w:pPr>
        <w:pStyle w:val="NormalWeb"/>
        <w:spacing w:before="0" w:beforeAutospacing="0" w:after="0" w:afterAutospacing="0"/>
        <w:jc w:val="right"/>
        <w:divId w:val="756291165"/>
        <w:rPr>
          <w:sz w:val="20"/>
          <w:szCs w:val="20"/>
        </w:rPr>
      </w:pPr>
      <w:r>
        <w:rPr>
          <w:sz w:val="20"/>
          <w:szCs w:val="20"/>
        </w:rPr>
        <w:t> </w:t>
      </w:r>
    </w:p>
    <w:p w:rsidR="00000000" w:rsidRDefault="00D2754D">
      <w:pPr>
        <w:pStyle w:val="NormalWeb"/>
        <w:spacing w:before="0" w:beforeAutospacing="0" w:after="0" w:afterAutospacing="0"/>
        <w:jc w:val="center"/>
        <w:divId w:val="756291165"/>
        <w:rPr>
          <w:sz w:val="20"/>
          <w:szCs w:val="20"/>
        </w:rPr>
      </w:pPr>
      <w:r>
        <w:rPr>
          <w:rStyle w:val="Strong"/>
          <w:sz w:val="20"/>
          <w:szCs w:val="20"/>
        </w:rPr>
        <w:t>CERTIFICATION PURSUANT TO</w:t>
      </w:r>
    </w:p>
    <w:p w:rsidR="00000000" w:rsidRDefault="00D2754D">
      <w:pPr>
        <w:pStyle w:val="NormalWeb"/>
        <w:spacing w:before="0" w:beforeAutospacing="0" w:after="0" w:afterAutospacing="0"/>
        <w:jc w:val="center"/>
        <w:divId w:val="756291165"/>
        <w:rPr>
          <w:sz w:val="20"/>
          <w:szCs w:val="20"/>
        </w:rPr>
      </w:pPr>
      <w:r>
        <w:rPr>
          <w:sz w:val="20"/>
          <w:szCs w:val="20"/>
        </w:rPr>
        <w:t> </w:t>
      </w:r>
    </w:p>
    <w:p w:rsidR="00000000" w:rsidRDefault="00D2754D">
      <w:pPr>
        <w:pStyle w:val="NormalWeb"/>
        <w:spacing w:before="0" w:beforeAutospacing="0" w:after="0" w:afterAutospacing="0"/>
        <w:jc w:val="center"/>
        <w:divId w:val="756291165"/>
        <w:rPr>
          <w:sz w:val="20"/>
          <w:szCs w:val="20"/>
        </w:rPr>
      </w:pPr>
      <w:r>
        <w:rPr>
          <w:rStyle w:val="Strong"/>
          <w:sz w:val="20"/>
          <w:szCs w:val="20"/>
        </w:rPr>
        <w:t>18 U.S.C. SECTION 1350,</w:t>
      </w:r>
    </w:p>
    <w:p w:rsidR="00000000" w:rsidRDefault="00D2754D">
      <w:pPr>
        <w:pStyle w:val="NormalWeb"/>
        <w:spacing w:before="0" w:beforeAutospacing="0" w:after="0" w:afterAutospacing="0"/>
        <w:jc w:val="center"/>
        <w:divId w:val="756291165"/>
        <w:rPr>
          <w:sz w:val="20"/>
          <w:szCs w:val="20"/>
        </w:rPr>
      </w:pPr>
      <w:r>
        <w:rPr>
          <w:sz w:val="20"/>
          <w:szCs w:val="20"/>
        </w:rPr>
        <w:t> </w:t>
      </w:r>
    </w:p>
    <w:p w:rsidR="00000000" w:rsidRDefault="00D2754D">
      <w:pPr>
        <w:pStyle w:val="NormalWeb"/>
        <w:spacing w:before="0" w:beforeAutospacing="0" w:after="0" w:afterAutospacing="0"/>
        <w:jc w:val="center"/>
        <w:divId w:val="756291165"/>
        <w:rPr>
          <w:sz w:val="20"/>
          <w:szCs w:val="20"/>
        </w:rPr>
      </w:pPr>
      <w:r>
        <w:rPr>
          <w:rStyle w:val="Strong"/>
          <w:sz w:val="20"/>
          <w:szCs w:val="20"/>
        </w:rPr>
        <w:t>AS ADOPTED PURSUANT TO</w:t>
      </w:r>
    </w:p>
    <w:p w:rsidR="00000000" w:rsidRDefault="00D2754D">
      <w:pPr>
        <w:pStyle w:val="NormalWeb"/>
        <w:spacing w:before="0" w:beforeAutospacing="0" w:after="0" w:afterAutospacing="0"/>
        <w:jc w:val="center"/>
        <w:divId w:val="756291165"/>
        <w:rPr>
          <w:sz w:val="20"/>
          <w:szCs w:val="20"/>
        </w:rPr>
      </w:pPr>
      <w:r>
        <w:rPr>
          <w:sz w:val="20"/>
          <w:szCs w:val="20"/>
        </w:rPr>
        <w:t> </w:t>
      </w:r>
    </w:p>
    <w:p w:rsidR="00000000" w:rsidRDefault="00D2754D">
      <w:pPr>
        <w:pStyle w:val="NormalWeb"/>
        <w:spacing w:before="0" w:beforeAutospacing="0" w:after="0" w:afterAutospacing="0"/>
        <w:jc w:val="center"/>
        <w:divId w:val="756291165"/>
        <w:rPr>
          <w:sz w:val="20"/>
          <w:szCs w:val="20"/>
        </w:rPr>
      </w:pPr>
      <w:r>
        <w:rPr>
          <w:rStyle w:val="Strong"/>
          <w:sz w:val="20"/>
          <w:szCs w:val="20"/>
        </w:rPr>
        <w:t>SECTION 906 OF THE SARBANES-OXLEY ACT OF 2002</w:t>
      </w:r>
    </w:p>
    <w:p w:rsidR="00000000" w:rsidRDefault="00D2754D">
      <w:pPr>
        <w:pStyle w:val="NormalWeb"/>
        <w:spacing w:before="0" w:beforeAutospacing="0" w:after="0" w:afterAutospacing="0"/>
        <w:jc w:val="center"/>
        <w:divId w:val="756291165"/>
        <w:rPr>
          <w:sz w:val="20"/>
          <w:szCs w:val="20"/>
        </w:rPr>
      </w:pPr>
      <w:r>
        <w:rPr>
          <w:sz w:val="20"/>
          <w:szCs w:val="20"/>
        </w:rPr>
        <w:t> </w:t>
      </w:r>
    </w:p>
    <w:p w:rsidR="00000000" w:rsidRDefault="00D2754D">
      <w:pPr>
        <w:pStyle w:val="NormalWeb"/>
        <w:spacing w:before="0" w:beforeAutospacing="0" w:after="0" w:afterAutospacing="0"/>
        <w:jc w:val="both"/>
        <w:divId w:val="756291165"/>
        <w:rPr>
          <w:sz w:val="20"/>
          <w:szCs w:val="20"/>
        </w:rPr>
      </w:pPr>
      <w:r>
        <w:rPr>
          <w:sz w:val="20"/>
          <w:szCs w:val="20"/>
        </w:rPr>
        <w:t>In connection with the Quarterly Report of Advanced Oxygen Technologies, Inc. (the “Company”) on Form 10-Q for th</w:t>
      </w:r>
      <w:r>
        <w:rPr>
          <w:sz w:val="20"/>
          <w:szCs w:val="20"/>
        </w:rPr>
        <w:t>e period ended December 31, 2022 filed with the Securities and Exchange Commission on the date hereof (the “Report”), I, Robert Wolfe, certify, pursuant to 18 U.S.C. § 1350, as adopted pursuant to 906 of the Sarbanes-Oxley Act of 2002, that:</w:t>
      </w:r>
    </w:p>
    <w:p w:rsidR="00000000" w:rsidRDefault="00D2754D">
      <w:pPr>
        <w:pStyle w:val="NormalWeb"/>
        <w:spacing w:before="0" w:beforeAutospacing="0" w:after="0" w:afterAutospacing="0"/>
        <w:jc w:val="both"/>
        <w:divId w:val="75629116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trPr>
          <w:divId w:val="756291165"/>
          <w:trHeight w:val="225"/>
          <w:tblCellSpacing w:w="15" w:type="dxa"/>
          <w:jc w:val="center"/>
        </w:trPr>
        <w:tc>
          <w:tcPr>
            <w:tcW w:w="200" w:type="pct"/>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200" w:type="pct"/>
            <w:hideMark/>
          </w:tcPr>
          <w:p w:rsidR="00000000" w:rsidRDefault="00D2754D">
            <w:pPr>
              <w:pStyle w:val="NormalWeb"/>
              <w:spacing w:before="0" w:beforeAutospacing="0" w:after="0" w:afterAutospacing="0"/>
              <w:jc w:val="both"/>
              <w:rPr>
                <w:sz w:val="20"/>
                <w:szCs w:val="20"/>
              </w:rPr>
            </w:pPr>
            <w:r>
              <w:rPr>
                <w:sz w:val="20"/>
                <w:szCs w:val="20"/>
              </w:rPr>
              <w:t>(1)</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The Re</w:t>
            </w:r>
            <w:r>
              <w:rPr>
                <w:sz w:val="20"/>
                <w:szCs w:val="20"/>
              </w:rPr>
              <w:t>port fully complies with the requirements of Section 13(a) or 15(d) of the Securities Exchange Act of 1934; and</w:t>
            </w:r>
          </w:p>
        </w:tc>
      </w:tr>
      <w:tr w:rsidR="00000000">
        <w:trPr>
          <w:divId w:val="756291165"/>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r>
      <w:tr w:rsidR="00000000">
        <w:trPr>
          <w:divId w:val="756291165"/>
          <w:trHeight w:val="225"/>
          <w:tblCellSpacing w:w="15" w:type="dxa"/>
          <w:jc w:val="center"/>
        </w:trPr>
        <w:tc>
          <w:tcPr>
            <w:tcW w:w="0" w:type="auto"/>
            <w:vAlign w:val="center"/>
            <w:hideMark/>
          </w:tcPr>
          <w:p w:rsidR="00000000" w:rsidRDefault="00D2754D">
            <w:pPr>
              <w:pStyle w:val="NormalWeb"/>
              <w:spacing w:before="0" w:beforeAutospacing="0" w:after="0" w:afterAutospacing="0"/>
              <w:jc w:val="both"/>
              <w:rPr>
                <w:sz w:val="20"/>
                <w:szCs w:val="20"/>
              </w:rPr>
            </w:pPr>
            <w:r>
              <w:rPr>
                <w:sz w:val="20"/>
                <w:szCs w:val="20"/>
              </w:rPr>
              <w:t> </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(2)</w:t>
            </w:r>
          </w:p>
        </w:tc>
        <w:tc>
          <w:tcPr>
            <w:tcW w:w="0" w:type="auto"/>
            <w:hideMark/>
          </w:tcPr>
          <w:p w:rsidR="00000000" w:rsidRDefault="00D2754D">
            <w:pPr>
              <w:pStyle w:val="NormalWeb"/>
              <w:spacing w:before="0" w:beforeAutospacing="0" w:after="0" w:afterAutospacing="0"/>
              <w:jc w:val="both"/>
              <w:rPr>
                <w:sz w:val="20"/>
                <w:szCs w:val="20"/>
              </w:rPr>
            </w:pPr>
            <w:r>
              <w:rPr>
                <w:sz w:val="20"/>
                <w:szCs w:val="20"/>
              </w:rPr>
              <w:t>The information contained in the Report fairly presents, in all material respects, the financial condition and results of operations of the Company.</w:t>
            </w:r>
          </w:p>
        </w:tc>
      </w:tr>
    </w:tbl>
    <w:p w:rsidR="00000000" w:rsidRDefault="00D2754D">
      <w:pPr>
        <w:pStyle w:val="NormalWeb"/>
        <w:spacing w:before="0" w:beforeAutospacing="0" w:after="0" w:afterAutospacing="0"/>
        <w:jc w:val="both"/>
        <w:divId w:val="75629116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trPr>
          <w:divId w:val="756291165"/>
          <w:trHeight w:val="225"/>
          <w:tblCellSpacing w:w="15" w:type="dxa"/>
          <w:jc w:val="center"/>
        </w:trPr>
        <w:tc>
          <w:tcPr>
            <w:tcW w:w="2500" w:type="pct"/>
            <w:vAlign w:val="center"/>
            <w:hideMark/>
          </w:tcPr>
          <w:p w:rsidR="00000000" w:rsidRDefault="00D2754D">
            <w:pPr>
              <w:pStyle w:val="NormalWeb"/>
              <w:spacing w:before="0" w:beforeAutospacing="0" w:after="0" w:afterAutospacing="0"/>
              <w:rPr>
                <w:sz w:val="20"/>
                <w:szCs w:val="20"/>
              </w:rPr>
            </w:pPr>
            <w:r>
              <w:rPr>
                <w:sz w:val="20"/>
                <w:szCs w:val="20"/>
              </w:rPr>
              <w:t>Date: February 13, 2023</w:t>
            </w:r>
          </w:p>
        </w:tc>
        <w:tc>
          <w:tcPr>
            <w:tcW w:w="150" w:type="pct"/>
            <w:vAlign w:val="center"/>
            <w:hideMark/>
          </w:tcPr>
          <w:p w:rsidR="00000000" w:rsidRDefault="00D2754D">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rsidR="00000000" w:rsidRDefault="00D2754D">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rsidR="00000000" w:rsidRDefault="00D2754D">
            <w:pPr>
              <w:rPr>
                <w:sz w:val="20"/>
                <w:szCs w:val="20"/>
              </w:rPr>
            </w:pPr>
          </w:p>
        </w:tc>
      </w:tr>
      <w:tr w:rsidR="00000000">
        <w:trPr>
          <w:divId w:val="756291165"/>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Robert Wolfe</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r w:rsidR="00000000">
        <w:trPr>
          <w:divId w:val="756291165"/>
          <w:trHeight w:val="225"/>
          <w:tblCellSpacing w:w="15" w:type="dxa"/>
          <w:jc w:val="center"/>
        </w:trPr>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Chief Financial Officer</w:t>
            </w:r>
          </w:p>
        </w:tc>
        <w:tc>
          <w:tcPr>
            <w:tcW w:w="0" w:type="auto"/>
            <w:vAlign w:val="center"/>
            <w:hideMark/>
          </w:tcPr>
          <w:p w:rsidR="00000000" w:rsidRDefault="00D2754D">
            <w:pPr>
              <w:pStyle w:val="NormalWeb"/>
              <w:spacing w:before="0" w:beforeAutospacing="0" w:after="0" w:afterAutospacing="0"/>
              <w:rPr>
                <w:sz w:val="20"/>
                <w:szCs w:val="20"/>
              </w:rPr>
            </w:pPr>
            <w:r>
              <w:rPr>
                <w:sz w:val="20"/>
                <w:szCs w:val="20"/>
              </w:rPr>
              <w:t> </w:t>
            </w:r>
          </w:p>
        </w:tc>
      </w:tr>
    </w:tbl>
    <w:p w:rsidR="00000000" w:rsidRDefault="00D2754D">
      <w:pPr>
        <w:divId w:val="1886718811"/>
        <w:rPr>
          <w:rFonts w:eastAsia="Times New Roman"/>
        </w:rPr>
      </w:pPr>
      <w:r>
        <w:rPr>
          <w:rFonts w:eastAsia="Times New Roman"/>
        </w:rPr>
        <w:t> </w:t>
      </w:r>
    </w:p>
    <w:p w:rsidR="00000000" w:rsidRDefault="00D2754D">
      <w:pPr>
        <w:jc w:val="center"/>
        <w:divId w:val="728649858"/>
        <w:rPr>
          <w:rFonts w:eastAsia="Times New Roman"/>
          <w:sz w:val="30"/>
          <w:szCs w:val="30"/>
        </w:rPr>
      </w:pPr>
      <w:r>
        <w:rPr>
          <w:rFonts w:eastAsia="Times New Roman"/>
          <w:sz w:val="30"/>
          <w:szCs w:val="30"/>
        </w:rPr>
        <w:t>THIS PAGE IS INTENTIONALLY LEFT BLANK</w:t>
      </w:r>
      <w:r>
        <w:rPr>
          <w:rFonts w:eastAsia="Times New Roman"/>
          <w:sz w:val="30"/>
          <w:szCs w:val="30"/>
        </w:rPr>
        <w:br/>
        <w:t>IT IS NOT A PART OF EDGAR SUBMISSION</w:t>
      </w:r>
    </w:p>
    <w:p w:rsidR="00000000" w:rsidRDefault="00D2754D">
      <w:pPr>
        <w:pStyle w:val="Heading4"/>
        <w:divId w:val="819469511"/>
        <w:rPr>
          <w:rFonts w:eastAsia="Times New Roman"/>
          <w:vanish/>
        </w:rPr>
      </w:pPr>
      <w:r>
        <w:rPr>
          <w:rFonts w:eastAsia="Times New Roman"/>
          <w:vanish/>
        </w:rPr>
        <w:t>View &amp; Add Comments</w:t>
      </w:r>
    </w:p>
    <w:p w:rsidR="00000000" w:rsidRDefault="00D2754D">
      <w:pPr>
        <w:divId w:val="699471933"/>
        <w:rPr>
          <w:rFonts w:eastAsia="Times New Roman"/>
          <w:vanish/>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25pt" o:ole="">
            <v:imagedata r:id="rId16" o:title=""/>
          </v:shape>
          <w:control r:id="rId17" w:name="DefaultOcxName" w:shapeid="_x0000_i1031"/>
        </w:object>
      </w:r>
    </w:p>
    <w:p w:rsidR="00000000" w:rsidRDefault="00D2754D">
      <w:pPr>
        <w:divId w:val="2083141369"/>
        <w:rPr>
          <w:rFonts w:eastAsia="Times New Roman"/>
          <w:vanish/>
        </w:rPr>
      </w:pPr>
      <w:r>
        <w:rPr>
          <w:rFonts w:eastAsia="Times New Roman"/>
          <w:vanish/>
        </w:rPr>
        <w:t>Page No.</w:t>
      </w:r>
      <w:r>
        <w:rPr>
          <w:rFonts w:eastAsia="Times New Roman"/>
          <w:vanish/>
        </w:rPr>
        <w:t>:</w:t>
      </w:r>
      <w:r>
        <w:rPr>
          <w:rFonts w:eastAsia="Times New Roman"/>
          <w:vanish/>
        </w:rPr>
        <w:object w:dxaOrig="1440" w:dyaOrig="1440">
          <v:shape id="_x0000_i1035" type="#_x0000_t75" style="width:52.35pt;height:18.25pt" o:ole="">
            <v:imagedata r:id="rId18" o:title=""/>
          </v:shape>
          <w:control r:id="rId19" w:name="DefaultOcxName1" w:shapeid="_x0000_i1035"/>
        </w:object>
      </w:r>
    </w:p>
    <w:p w:rsidR="00000000" w:rsidRDefault="00D2754D">
      <w:pPr>
        <w:divId w:val="293757753"/>
        <w:rPr>
          <w:rFonts w:eastAsia="Times New Roman"/>
          <w:vanish/>
        </w:rPr>
      </w:pPr>
      <w:r>
        <w:rPr>
          <w:rFonts w:eastAsia="Times New Roman"/>
          <w:vanish/>
        </w:rPr>
        <w:t>Reviewer</w:t>
      </w:r>
      <w:r>
        <w:rPr>
          <w:rFonts w:eastAsia="Times New Roman"/>
          <w:vanish/>
        </w:rPr>
        <w:t>:</w:t>
      </w:r>
      <w:r>
        <w:rPr>
          <w:rFonts w:eastAsia="Times New Roman"/>
          <w:vanish/>
        </w:rPr>
        <w:object w:dxaOrig="1440" w:dyaOrig="1440">
          <v:shape id="_x0000_i1039" type="#_x0000_t75" style="width:52.35pt;height:18.25pt" o:ole="">
            <v:imagedata r:id="rId18" o:title=""/>
          </v:shape>
          <w:control r:id="rId20" w:name="DefaultOcxName2" w:shapeid="_x0000_i1039"/>
        </w:object>
      </w:r>
    </w:p>
    <w:p w:rsidR="00000000" w:rsidRDefault="00D2754D">
      <w:pPr>
        <w:divId w:val="1863351055"/>
        <w:rPr>
          <w:rFonts w:eastAsia="Times New Roman"/>
          <w:vanish/>
        </w:rPr>
      </w:pPr>
      <w:r>
        <w:rPr>
          <w:rFonts w:eastAsia="Times New Roman"/>
          <w:vanish/>
        </w:rPr>
        <w:object w:dxaOrig="1440" w:dyaOrig="1440">
          <v:shape id="_x0000_i1043" type="#_x0000_t75" style="width:52.35pt;height:18.25pt" o:ole="">
            <v:imagedata r:id="rId18" o:title=""/>
          </v:shape>
          <w:control r:id="rId21" w:name="DefaultOcxName3" w:shapeid="_x0000_i1043"/>
        </w:object>
      </w:r>
    </w:p>
    <w:p w:rsidR="00000000" w:rsidRDefault="00D2754D">
      <w:pPr>
        <w:pStyle w:val="Heading4"/>
        <w:divId w:val="1910848508"/>
        <w:rPr>
          <w:rFonts w:eastAsia="Times New Roman"/>
          <w:vanish/>
        </w:rPr>
      </w:pPr>
      <w:r>
        <w:rPr>
          <w:rFonts w:eastAsia="Times New Roman"/>
          <w:vanish/>
        </w:rPr>
        <w:t>View All Comments</w:t>
      </w:r>
    </w:p>
    <w:p w:rsidR="00000000" w:rsidRDefault="00D2754D">
      <w:pPr>
        <w:rPr>
          <w:rFonts w:eastAsia="Times New Roman"/>
        </w:rPr>
      </w:pPr>
      <w:r>
        <w:rPr>
          <w:rFonts w:eastAsia="Times New Roman"/>
          <w:vanish/>
        </w:rPr>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3D47"/>
    <w:rsid w:val="00133D47"/>
    <w:rsid w:val="00D2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06D69"/>
  <w15:chartTrackingRefBased/>
  <w15:docId w15:val="{EB9F4DF8-1239-4E11-B333-88FE176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4029">
      <w:marLeft w:val="0"/>
      <w:marRight w:val="0"/>
      <w:marTop w:val="0"/>
      <w:marBottom w:val="0"/>
      <w:divBdr>
        <w:top w:val="none" w:sz="0" w:space="0" w:color="auto"/>
        <w:left w:val="none" w:sz="0" w:space="0" w:color="auto"/>
        <w:bottom w:val="none" w:sz="0" w:space="0" w:color="auto"/>
        <w:right w:val="none" w:sz="0" w:space="0" w:color="auto"/>
      </w:divBdr>
    </w:div>
    <w:div w:id="282809969">
      <w:marLeft w:val="0"/>
      <w:marRight w:val="0"/>
      <w:marTop w:val="0"/>
      <w:marBottom w:val="0"/>
      <w:divBdr>
        <w:top w:val="none" w:sz="0" w:space="0" w:color="auto"/>
        <w:left w:val="none" w:sz="0" w:space="0" w:color="auto"/>
        <w:bottom w:val="none" w:sz="0" w:space="0" w:color="auto"/>
        <w:right w:val="none" w:sz="0" w:space="0" w:color="auto"/>
      </w:divBdr>
    </w:div>
    <w:div w:id="378087324">
      <w:marLeft w:val="0"/>
      <w:marRight w:val="0"/>
      <w:marTop w:val="0"/>
      <w:marBottom w:val="0"/>
      <w:divBdr>
        <w:top w:val="none" w:sz="0" w:space="0" w:color="auto"/>
        <w:left w:val="none" w:sz="0" w:space="0" w:color="auto"/>
        <w:bottom w:val="none" w:sz="0" w:space="0" w:color="auto"/>
        <w:right w:val="none" w:sz="0" w:space="0" w:color="auto"/>
      </w:divBdr>
    </w:div>
    <w:div w:id="455609885">
      <w:marLeft w:val="0"/>
      <w:marRight w:val="0"/>
      <w:marTop w:val="0"/>
      <w:marBottom w:val="0"/>
      <w:divBdr>
        <w:top w:val="none" w:sz="0" w:space="0" w:color="auto"/>
        <w:left w:val="none" w:sz="0" w:space="0" w:color="auto"/>
        <w:bottom w:val="none" w:sz="0" w:space="0" w:color="auto"/>
        <w:right w:val="none" w:sz="0" w:space="0" w:color="auto"/>
      </w:divBdr>
    </w:div>
    <w:div w:id="728649858">
      <w:marLeft w:val="0"/>
      <w:marRight w:val="0"/>
      <w:marTop w:val="1500"/>
      <w:marBottom w:val="1500"/>
      <w:divBdr>
        <w:top w:val="none" w:sz="0" w:space="0" w:color="auto"/>
        <w:left w:val="none" w:sz="0" w:space="0" w:color="auto"/>
        <w:bottom w:val="none" w:sz="0" w:space="0" w:color="auto"/>
        <w:right w:val="none" w:sz="0" w:space="0" w:color="auto"/>
      </w:divBdr>
    </w:div>
    <w:div w:id="756291165">
      <w:marLeft w:val="0"/>
      <w:marRight w:val="0"/>
      <w:marTop w:val="0"/>
      <w:marBottom w:val="0"/>
      <w:divBdr>
        <w:top w:val="none" w:sz="0" w:space="0" w:color="auto"/>
        <w:left w:val="none" w:sz="0" w:space="0" w:color="auto"/>
        <w:bottom w:val="none" w:sz="0" w:space="0" w:color="auto"/>
        <w:right w:val="none" w:sz="0" w:space="0" w:color="auto"/>
      </w:divBdr>
    </w:div>
    <w:div w:id="855849836">
      <w:marLeft w:val="0"/>
      <w:marRight w:val="0"/>
      <w:marTop w:val="0"/>
      <w:marBottom w:val="0"/>
      <w:divBdr>
        <w:top w:val="none" w:sz="0" w:space="0" w:color="auto"/>
        <w:left w:val="none" w:sz="0" w:space="0" w:color="auto"/>
        <w:bottom w:val="none" w:sz="0" w:space="0" w:color="auto"/>
        <w:right w:val="none" w:sz="0" w:space="0" w:color="auto"/>
      </w:divBdr>
      <w:divsChild>
        <w:div w:id="851261043">
          <w:marLeft w:val="7"/>
          <w:marRight w:val="7"/>
          <w:marTop w:val="0"/>
          <w:marBottom w:val="0"/>
          <w:divBdr>
            <w:top w:val="none" w:sz="0" w:space="0" w:color="auto"/>
            <w:left w:val="none" w:sz="0" w:space="0" w:color="auto"/>
            <w:bottom w:val="none" w:sz="0" w:space="0" w:color="auto"/>
            <w:right w:val="none" w:sz="0" w:space="0" w:color="auto"/>
          </w:divBdr>
        </w:div>
      </w:divsChild>
    </w:div>
    <w:div w:id="1040857262">
      <w:marLeft w:val="0"/>
      <w:marRight w:val="0"/>
      <w:marTop w:val="0"/>
      <w:marBottom w:val="0"/>
      <w:divBdr>
        <w:top w:val="none" w:sz="0" w:space="0" w:color="auto"/>
        <w:left w:val="none" w:sz="0" w:space="0" w:color="auto"/>
        <w:bottom w:val="none" w:sz="0" w:space="0" w:color="auto"/>
        <w:right w:val="none" w:sz="0" w:space="0" w:color="auto"/>
      </w:divBdr>
      <w:divsChild>
        <w:div w:id="301691817">
          <w:marLeft w:val="0"/>
          <w:marRight w:val="0"/>
          <w:marTop w:val="0"/>
          <w:marBottom w:val="0"/>
          <w:divBdr>
            <w:top w:val="none" w:sz="0" w:space="0" w:color="auto"/>
            <w:left w:val="none" w:sz="0" w:space="0" w:color="auto"/>
            <w:bottom w:val="none" w:sz="0" w:space="0" w:color="auto"/>
            <w:right w:val="none" w:sz="0" w:space="0" w:color="auto"/>
          </w:divBdr>
          <w:divsChild>
            <w:div w:id="1791046230">
              <w:marLeft w:val="0"/>
              <w:marRight w:val="0"/>
              <w:marTop w:val="0"/>
              <w:marBottom w:val="0"/>
              <w:divBdr>
                <w:top w:val="none" w:sz="0" w:space="0" w:color="auto"/>
                <w:left w:val="none" w:sz="0" w:space="0" w:color="auto"/>
                <w:bottom w:val="none" w:sz="0" w:space="0" w:color="auto"/>
                <w:right w:val="none" w:sz="0" w:space="0" w:color="auto"/>
              </w:divBdr>
              <w:divsChild>
                <w:div w:id="819469511">
                  <w:marLeft w:val="0"/>
                  <w:marRight w:val="0"/>
                  <w:marTop w:val="0"/>
                  <w:marBottom w:val="0"/>
                  <w:divBdr>
                    <w:top w:val="none" w:sz="0" w:space="0" w:color="auto"/>
                    <w:left w:val="none" w:sz="0" w:space="0" w:color="auto"/>
                    <w:bottom w:val="none" w:sz="0" w:space="0" w:color="auto"/>
                    <w:right w:val="none" w:sz="0" w:space="0" w:color="auto"/>
                  </w:divBdr>
                </w:div>
                <w:div w:id="741218495">
                  <w:marLeft w:val="0"/>
                  <w:marRight w:val="0"/>
                  <w:marTop w:val="0"/>
                  <w:marBottom w:val="0"/>
                  <w:divBdr>
                    <w:top w:val="none" w:sz="0" w:space="0" w:color="auto"/>
                    <w:left w:val="none" w:sz="0" w:space="0" w:color="auto"/>
                    <w:bottom w:val="none" w:sz="0" w:space="0" w:color="auto"/>
                    <w:right w:val="none" w:sz="0" w:space="0" w:color="auto"/>
                  </w:divBdr>
                  <w:divsChild>
                    <w:div w:id="699471933">
                      <w:marLeft w:val="0"/>
                      <w:marRight w:val="0"/>
                      <w:marTop w:val="0"/>
                      <w:marBottom w:val="120"/>
                      <w:divBdr>
                        <w:top w:val="none" w:sz="0" w:space="0" w:color="auto"/>
                        <w:left w:val="none" w:sz="0" w:space="0" w:color="auto"/>
                        <w:bottom w:val="none" w:sz="0" w:space="0" w:color="auto"/>
                        <w:right w:val="none" w:sz="0" w:space="0" w:color="auto"/>
                      </w:divBdr>
                      <w:divsChild>
                        <w:div w:id="2083141369">
                          <w:marLeft w:val="0"/>
                          <w:marRight w:val="0"/>
                          <w:marTop w:val="0"/>
                          <w:marBottom w:val="0"/>
                          <w:divBdr>
                            <w:top w:val="none" w:sz="0" w:space="0" w:color="auto"/>
                            <w:left w:val="none" w:sz="0" w:space="0" w:color="auto"/>
                            <w:bottom w:val="none" w:sz="0" w:space="0" w:color="auto"/>
                            <w:right w:val="none" w:sz="0" w:space="0" w:color="auto"/>
                          </w:divBdr>
                        </w:div>
                        <w:div w:id="293757753">
                          <w:marLeft w:val="0"/>
                          <w:marRight w:val="0"/>
                          <w:marTop w:val="0"/>
                          <w:marBottom w:val="0"/>
                          <w:divBdr>
                            <w:top w:val="none" w:sz="0" w:space="0" w:color="auto"/>
                            <w:left w:val="none" w:sz="0" w:space="0" w:color="auto"/>
                            <w:bottom w:val="none" w:sz="0" w:space="0" w:color="auto"/>
                            <w:right w:val="none" w:sz="0" w:space="0" w:color="auto"/>
                          </w:divBdr>
                        </w:div>
                      </w:divsChild>
                    </w:div>
                    <w:div w:id="658537105">
                      <w:marLeft w:val="0"/>
                      <w:marRight w:val="0"/>
                      <w:marTop w:val="0"/>
                      <w:marBottom w:val="120"/>
                      <w:divBdr>
                        <w:top w:val="none" w:sz="0" w:space="0" w:color="auto"/>
                        <w:left w:val="none" w:sz="0" w:space="0" w:color="auto"/>
                        <w:bottom w:val="none" w:sz="0" w:space="0" w:color="auto"/>
                        <w:right w:val="none" w:sz="0" w:space="0" w:color="auto"/>
                      </w:divBdr>
                      <w:divsChild>
                        <w:div w:id="18633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79417">
      <w:marLeft w:val="0"/>
      <w:marRight w:val="0"/>
      <w:marTop w:val="0"/>
      <w:marBottom w:val="0"/>
      <w:divBdr>
        <w:top w:val="none" w:sz="0" w:space="0" w:color="auto"/>
        <w:left w:val="none" w:sz="0" w:space="0" w:color="auto"/>
        <w:bottom w:val="none" w:sz="0" w:space="0" w:color="auto"/>
        <w:right w:val="none" w:sz="0" w:space="0" w:color="auto"/>
      </w:divBdr>
    </w:div>
    <w:div w:id="1140728044">
      <w:marLeft w:val="0"/>
      <w:marRight w:val="0"/>
      <w:marTop w:val="0"/>
      <w:marBottom w:val="0"/>
      <w:divBdr>
        <w:top w:val="none" w:sz="0" w:space="0" w:color="auto"/>
        <w:left w:val="none" w:sz="0" w:space="0" w:color="auto"/>
        <w:bottom w:val="none" w:sz="0" w:space="0" w:color="auto"/>
        <w:right w:val="none" w:sz="0" w:space="0" w:color="auto"/>
      </w:divBdr>
    </w:div>
    <w:div w:id="1161118497">
      <w:marLeft w:val="0"/>
      <w:marRight w:val="0"/>
      <w:marTop w:val="0"/>
      <w:marBottom w:val="0"/>
      <w:divBdr>
        <w:top w:val="none" w:sz="0" w:space="0" w:color="auto"/>
        <w:left w:val="none" w:sz="0" w:space="0" w:color="auto"/>
        <w:bottom w:val="none" w:sz="0" w:space="0" w:color="auto"/>
        <w:right w:val="none" w:sz="0" w:space="0" w:color="auto"/>
      </w:divBdr>
    </w:div>
    <w:div w:id="1169171092">
      <w:marLeft w:val="0"/>
      <w:marRight w:val="0"/>
      <w:marTop w:val="0"/>
      <w:marBottom w:val="0"/>
      <w:divBdr>
        <w:top w:val="none" w:sz="0" w:space="0" w:color="auto"/>
        <w:left w:val="none" w:sz="0" w:space="0" w:color="auto"/>
        <w:bottom w:val="none" w:sz="0" w:space="0" w:color="auto"/>
        <w:right w:val="none" w:sz="0" w:space="0" w:color="auto"/>
      </w:divBdr>
    </w:div>
    <w:div w:id="1200315600">
      <w:marLeft w:val="0"/>
      <w:marRight w:val="0"/>
      <w:marTop w:val="0"/>
      <w:marBottom w:val="0"/>
      <w:divBdr>
        <w:top w:val="none" w:sz="0" w:space="0" w:color="auto"/>
        <w:left w:val="none" w:sz="0" w:space="0" w:color="auto"/>
        <w:bottom w:val="none" w:sz="0" w:space="0" w:color="auto"/>
        <w:right w:val="none" w:sz="0" w:space="0" w:color="auto"/>
      </w:divBdr>
    </w:div>
    <w:div w:id="1388645800">
      <w:marLeft w:val="-105"/>
      <w:marRight w:val="-105"/>
      <w:marTop w:val="0"/>
      <w:marBottom w:val="0"/>
      <w:divBdr>
        <w:top w:val="none" w:sz="0" w:space="0" w:color="auto"/>
        <w:left w:val="none" w:sz="0" w:space="0" w:color="auto"/>
        <w:bottom w:val="none" w:sz="0" w:space="0" w:color="auto"/>
        <w:right w:val="none" w:sz="0" w:space="0" w:color="auto"/>
      </w:divBdr>
    </w:div>
    <w:div w:id="1511019325">
      <w:marLeft w:val="0"/>
      <w:marRight w:val="0"/>
      <w:marTop w:val="0"/>
      <w:marBottom w:val="0"/>
      <w:divBdr>
        <w:top w:val="none" w:sz="0" w:space="0" w:color="auto"/>
        <w:left w:val="none" w:sz="0" w:space="0" w:color="auto"/>
        <w:bottom w:val="none" w:sz="0" w:space="0" w:color="auto"/>
        <w:right w:val="none" w:sz="0" w:space="0" w:color="auto"/>
      </w:divBdr>
      <w:divsChild>
        <w:div w:id="1932011445">
          <w:marLeft w:val="0"/>
          <w:marRight w:val="0"/>
          <w:marTop w:val="0"/>
          <w:marBottom w:val="0"/>
          <w:divBdr>
            <w:top w:val="none" w:sz="0" w:space="0" w:color="auto"/>
            <w:left w:val="none" w:sz="0" w:space="0" w:color="auto"/>
            <w:bottom w:val="none" w:sz="0" w:space="0" w:color="auto"/>
            <w:right w:val="none" w:sz="0" w:space="0" w:color="auto"/>
          </w:divBdr>
          <w:divsChild>
            <w:div w:id="1028139684">
              <w:marLeft w:val="0"/>
              <w:marRight w:val="0"/>
              <w:marTop w:val="0"/>
              <w:marBottom w:val="0"/>
              <w:divBdr>
                <w:top w:val="none" w:sz="0" w:space="0" w:color="auto"/>
                <w:left w:val="none" w:sz="0" w:space="0" w:color="auto"/>
                <w:bottom w:val="none" w:sz="0" w:space="0" w:color="auto"/>
                <w:right w:val="none" w:sz="0" w:space="0" w:color="auto"/>
              </w:divBdr>
              <w:divsChild>
                <w:div w:id="19108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88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dger\eric@discountedgar.com\aoxy_ex311.htm" TargetMode="External"/><Relationship Id="rId13" Type="http://schemas.openxmlformats.org/officeDocument/2006/relationships/hyperlink" Target="file:///C:\Edger\eric@discountedgar.com\aoxy_ex321.htm" TargetMode="External"/><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control" Target="activeX/activeX4.xml"/><Relationship Id="rId7" Type="http://schemas.openxmlformats.org/officeDocument/2006/relationships/hyperlink" Target="http://www.sec.gov/Archives/edgar/data/352991/000147793222007245/aoxy_ex32.htm" TargetMode="External"/><Relationship Id="rId12" Type="http://schemas.openxmlformats.org/officeDocument/2006/relationships/hyperlink" Target="file:///C:\Edger\eric@discountedgar.com\aoxy_ex321.htm" TargetMode="External"/><Relationship Id="rId1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control" Target="activeX/activeX3.xml"/><Relationship Id="rId1" Type="http://schemas.openxmlformats.org/officeDocument/2006/relationships/styles" Target="styles.xml"/><Relationship Id="rId6" Type="http://schemas.openxmlformats.org/officeDocument/2006/relationships/hyperlink" Target="http://www.sec.gov/Archives/edgar/data/352991/000147793222007245/aoxy_ex32.htm" TargetMode="External"/><Relationship Id="rId11" Type="http://schemas.openxmlformats.org/officeDocument/2006/relationships/hyperlink" Target="file:///C:\Edger\eric@discountedgar.com\aoxy_ex312.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C:\Edger\eric@discountedgar.com\aoxy_ex322.htm" TargetMode="External"/><Relationship Id="rId23" Type="http://schemas.openxmlformats.org/officeDocument/2006/relationships/theme" Target="theme/theme1.xml"/><Relationship Id="rId10" Type="http://schemas.openxmlformats.org/officeDocument/2006/relationships/hyperlink" Target="file:///C:\Edger\eric@discountedgar.com\aoxy_ex312.htm" TargetMode="External"/><Relationship Id="rId19" Type="http://schemas.openxmlformats.org/officeDocument/2006/relationships/control" Target="activeX/activeX2.xm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C:\Edger\eric@discountedgar.com\aoxy_ex311.htm" TargetMode="External"/><Relationship Id="rId14" Type="http://schemas.openxmlformats.org/officeDocument/2006/relationships/hyperlink" Target="file:///C:\Edger\eric@discountedgar.com\aoxy_ex322.htm"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9143</Words>
  <Characters>66055</Characters>
  <Application>Microsoft Office Word</Application>
  <DocSecurity>0</DocSecurity>
  <Lines>550</Lines>
  <Paragraphs>150</Paragraphs>
  <ScaleCrop>false</ScaleCrop>
  <Company/>
  <LinksUpToDate>false</LinksUpToDate>
  <CharactersWithSpaces>75048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DiscountEDGAR</dc:creator>
  <cp:keywords/>
  <dc:description/>
  <cp:lastModifiedBy>DiscountEDGAR</cp:lastModifiedBy>
  <cp:revision>2</cp:revision>
  <dcterms:created xsi:type="dcterms:W3CDTF">2023-02-13T22:09:00Z</dcterms:created>
  <dcterms:modified xsi:type="dcterms:W3CDTF">2023-02-13T22:09:00Z</dcterms:modified>
</cp:coreProperties>
</file>