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AD2CA" w14:textId="7405D960" w:rsidR="00EF1718" w:rsidRPr="00DD7FDE" w:rsidRDefault="00EF1718" w:rsidP="0007356F">
      <w:pPr>
        <w:spacing w:after="0"/>
        <w:ind w:left="720" w:right="900"/>
        <w:jc w:val="center"/>
        <w:rPr>
          <w:rFonts w:ascii="Times New Roman" w:hAnsi="Times New Roman" w:cs="Times New Roman"/>
          <w:sz w:val="20"/>
          <w:szCs w:val="20"/>
        </w:rPr>
      </w:pPr>
      <w:r w:rsidRPr="00DD7FDE">
        <w:rPr>
          <w:rFonts w:ascii="Times New Roman" w:hAnsi="Times New Roman" w:cs="Times New Roman"/>
          <w:b/>
          <w:bCs/>
          <w:sz w:val="20"/>
          <w:szCs w:val="20"/>
        </w:rPr>
        <w:t>UNITED STATES</w:t>
      </w:r>
      <w:r w:rsidRPr="00DD7FDE">
        <w:rPr>
          <w:rFonts w:ascii="Times New Roman" w:hAnsi="Times New Roman" w:cs="Times New Roman"/>
          <w:b/>
          <w:bCs/>
          <w:sz w:val="20"/>
          <w:szCs w:val="20"/>
        </w:rPr>
        <w:br/>
        <w:t>SECURITIES AND EXCHANGE COMMISSION</w:t>
      </w:r>
      <w:r w:rsidRPr="00DD7FDE">
        <w:rPr>
          <w:rFonts w:ascii="Times New Roman" w:hAnsi="Times New Roman" w:cs="Times New Roman"/>
          <w:b/>
          <w:bCs/>
          <w:sz w:val="20"/>
          <w:szCs w:val="20"/>
        </w:rPr>
        <w:br/>
        <w:t>Washington, DC 20549</w:t>
      </w:r>
    </w:p>
    <w:p w14:paraId="63E580D3"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p w14:paraId="768BF8CA"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FORM 8-K</w:t>
      </w:r>
    </w:p>
    <w:p w14:paraId="72D44AED"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p w14:paraId="554B5584"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CURRENT REPORT</w:t>
      </w:r>
    </w:p>
    <w:p w14:paraId="461C86B0"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p w14:paraId="4F67F0B1"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Pursuant to Section 13 or 15(d) of the</w:t>
      </w:r>
      <w:r w:rsidRPr="00DD7FDE">
        <w:rPr>
          <w:rFonts w:ascii="Times New Roman" w:hAnsi="Times New Roman" w:cs="Times New Roman"/>
          <w:b/>
          <w:bCs/>
          <w:sz w:val="20"/>
          <w:szCs w:val="20"/>
        </w:rPr>
        <w:br/>
        <w:t>Securities Exchange Act of 1934</w:t>
      </w:r>
    </w:p>
    <w:p w14:paraId="61899F93"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p w14:paraId="77BBAC1B" w14:textId="5A8DF1BE"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Date of Report (Date of earliest event reported): </w:t>
      </w:r>
      <w:r w:rsidR="00914C6A" w:rsidRPr="00DD7FDE">
        <w:rPr>
          <w:rFonts w:ascii="Times New Roman" w:hAnsi="Times New Roman" w:cs="Times New Roman"/>
          <w:b/>
          <w:bCs/>
          <w:sz w:val="20"/>
          <w:szCs w:val="20"/>
        </w:rPr>
        <w:t>June 30, 2020</w:t>
      </w:r>
    </w:p>
    <w:p w14:paraId="75C6829D"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 </w:t>
      </w:r>
    </w:p>
    <w:p w14:paraId="5B8DB626" w14:textId="36AE6942" w:rsidR="00EF1718" w:rsidRPr="00DD7FDE" w:rsidRDefault="00331D70" w:rsidP="00331D70">
      <w:pPr>
        <w:spacing w:after="0"/>
        <w:jc w:val="center"/>
        <w:rPr>
          <w:rFonts w:ascii="Times New Roman" w:hAnsi="Times New Roman" w:cs="Times New Roman"/>
          <w:sz w:val="20"/>
          <w:szCs w:val="20"/>
        </w:rPr>
      </w:pPr>
      <w:r w:rsidRPr="00DD7FDE">
        <w:rPr>
          <w:rFonts w:ascii="Times New Roman" w:hAnsi="Times New Roman" w:cs="Times New Roman"/>
          <w:b/>
          <w:bCs/>
          <w:sz w:val="20"/>
          <w:szCs w:val="20"/>
          <w:u w:val="single"/>
        </w:rPr>
        <w:t>ADVANCED OXYGEN TECHNOLOGIES</w:t>
      </w:r>
      <w:r w:rsidR="00EF1718" w:rsidRPr="00DD7FDE">
        <w:rPr>
          <w:rFonts w:ascii="Times New Roman" w:hAnsi="Times New Roman" w:cs="Times New Roman"/>
          <w:b/>
          <w:bCs/>
          <w:sz w:val="20"/>
          <w:szCs w:val="20"/>
          <w:u w:val="single"/>
        </w:rPr>
        <w:t xml:space="preserve"> INC.</w:t>
      </w:r>
      <w:r w:rsidR="00EF1718" w:rsidRPr="00DD7FDE">
        <w:rPr>
          <w:rFonts w:ascii="Times New Roman" w:hAnsi="Times New Roman" w:cs="Times New Roman"/>
          <w:sz w:val="20"/>
          <w:szCs w:val="20"/>
        </w:rPr>
        <w:br/>
        <w:t>(Exact name of registrant as specified in its charter)</w:t>
      </w:r>
    </w:p>
    <w:p w14:paraId="6691A60C"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3316"/>
        <w:gridCol w:w="71"/>
        <w:gridCol w:w="3467"/>
        <w:gridCol w:w="71"/>
        <w:gridCol w:w="2435"/>
      </w:tblGrid>
      <w:tr w:rsidR="00EF1718" w:rsidRPr="00DD7FDE" w14:paraId="1803F227" w14:textId="77777777" w:rsidTr="00EF1718">
        <w:tc>
          <w:tcPr>
            <w:tcW w:w="1771" w:type="pct"/>
            <w:tcBorders>
              <w:bottom w:val="single" w:sz="12" w:space="0" w:color="000000"/>
            </w:tcBorders>
            <w:tcMar>
              <w:top w:w="0" w:type="dxa"/>
              <w:left w:w="108" w:type="dxa"/>
              <w:bottom w:w="0" w:type="dxa"/>
              <w:right w:w="108" w:type="dxa"/>
            </w:tcMar>
            <w:hideMark/>
          </w:tcPr>
          <w:p w14:paraId="7C9BF6D1"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b/>
                <w:bCs/>
                <w:sz w:val="20"/>
                <w:szCs w:val="20"/>
              </w:rPr>
              <w:t>Delaware</w:t>
            </w:r>
          </w:p>
        </w:tc>
        <w:tc>
          <w:tcPr>
            <w:tcW w:w="38" w:type="pct"/>
            <w:hideMark/>
          </w:tcPr>
          <w:p w14:paraId="0658B5AD"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852" w:type="pct"/>
            <w:tcBorders>
              <w:bottom w:val="single" w:sz="12" w:space="0" w:color="000000"/>
            </w:tcBorders>
            <w:tcMar>
              <w:top w:w="0" w:type="dxa"/>
              <w:left w:w="108" w:type="dxa"/>
              <w:bottom w:w="0" w:type="dxa"/>
              <w:right w:w="108" w:type="dxa"/>
            </w:tcMar>
            <w:hideMark/>
          </w:tcPr>
          <w:p w14:paraId="143E6A2B" w14:textId="6A71B8F8" w:rsidR="00EF1718" w:rsidRPr="00DD7FDE" w:rsidRDefault="000676A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b/>
                <w:bCs/>
                <w:sz w:val="20"/>
                <w:szCs w:val="20"/>
              </w:rPr>
              <w:t>0-9951</w:t>
            </w:r>
          </w:p>
        </w:tc>
        <w:tc>
          <w:tcPr>
            <w:tcW w:w="38" w:type="pct"/>
            <w:hideMark/>
          </w:tcPr>
          <w:p w14:paraId="397BAF91"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301" w:type="pct"/>
            <w:tcBorders>
              <w:bottom w:val="single" w:sz="12" w:space="0" w:color="000000"/>
            </w:tcBorders>
            <w:tcMar>
              <w:top w:w="0" w:type="dxa"/>
              <w:left w:w="108" w:type="dxa"/>
              <w:bottom w:w="0" w:type="dxa"/>
              <w:right w:w="108" w:type="dxa"/>
            </w:tcMar>
            <w:hideMark/>
          </w:tcPr>
          <w:p w14:paraId="590B0D24" w14:textId="4A337D9E" w:rsidR="00EF1718" w:rsidRPr="00DD7FDE" w:rsidRDefault="000676A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b/>
                <w:bCs/>
                <w:sz w:val="20"/>
                <w:szCs w:val="20"/>
              </w:rPr>
              <w:t>91-1143622</w:t>
            </w:r>
          </w:p>
        </w:tc>
      </w:tr>
      <w:tr w:rsidR="00EF1718" w:rsidRPr="00DD7FDE" w14:paraId="4CF0DA99" w14:textId="77777777" w:rsidTr="00EF1718">
        <w:tc>
          <w:tcPr>
            <w:tcW w:w="1771" w:type="pct"/>
            <w:tcMar>
              <w:top w:w="0" w:type="dxa"/>
              <w:left w:w="108" w:type="dxa"/>
              <w:bottom w:w="0" w:type="dxa"/>
              <w:right w:w="108" w:type="dxa"/>
            </w:tcMar>
            <w:hideMark/>
          </w:tcPr>
          <w:p w14:paraId="6A6D6E00"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xml:space="preserve">(State or </w:t>
            </w:r>
            <w:proofErr w:type="gramStart"/>
            <w:r w:rsidRPr="00DD7FDE">
              <w:rPr>
                <w:rFonts w:ascii="Times New Roman" w:eastAsia="Times New Roman" w:hAnsi="Times New Roman" w:cs="Times New Roman"/>
                <w:sz w:val="20"/>
                <w:szCs w:val="20"/>
              </w:rPr>
              <w:t>other</w:t>
            </w:r>
            <w:proofErr w:type="gramEnd"/>
            <w:r w:rsidRPr="00DD7FDE">
              <w:rPr>
                <w:rFonts w:ascii="Times New Roman" w:eastAsia="Times New Roman" w:hAnsi="Times New Roman" w:cs="Times New Roman"/>
                <w:sz w:val="20"/>
                <w:szCs w:val="20"/>
              </w:rPr>
              <w:t xml:space="preserve"> jurisdiction</w:t>
            </w:r>
          </w:p>
        </w:tc>
        <w:tc>
          <w:tcPr>
            <w:tcW w:w="38" w:type="pct"/>
            <w:hideMark/>
          </w:tcPr>
          <w:p w14:paraId="0321D9CF"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852" w:type="pct"/>
            <w:tcMar>
              <w:top w:w="0" w:type="dxa"/>
              <w:left w:w="108" w:type="dxa"/>
              <w:bottom w:w="0" w:type="dxa"/>
              <w:right w:w="108" w:type="dxa"/>
            </w:tcMar>
            <w:hideMark/>
          </w:tcPr>
          <w:p w14:paraId="44AD8B94"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(Commission File Number)</w:t>
            </w:r>
          </w:p>
        </w:tc>
        <w:tc>
          <w:tcPr>
            <w:tcW w:w="38" w:type="pct"/>
            <w:hideMark/>
          </w:tcPr>
          <w:p w14:paraId="50D07B24"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301" w:type="pct"/>
            <w:tcMar>
              <w:top w:w="0" w:type="dxa"/>
              <w:left w:w="108" w:type="dxa"/>
              <w:bottom w:w="0" w:type="dxa"/>
              <w:right w:w="108" w:type="dxa"/>
            </w:tcMar>
            <w:hideMark/>
          </w:tcPr>
          <w:p w14:paraId="691104C5"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(I.R.S. Employer</w:t>
            </w:r>
          </w:p>
        </w:tc>
      </w:tr>
      <w:tr w:rsidR="00EF1718" w:rsidRPr="00DD7FDE" w14:paraId="37EC3C3B" w14:textId="77777777" w:rsidTr="00EF1718">
        <w:tc>
          <w:tcPr>
            <w:tcW w:w="1771" w:type="pct"/>
            <w:tcMar>
              <w:top w:w="0" w:type="dxa"/>
              <w:left w:w="108" w:type="dxa"/>
              <w:bottom w:w="0" w:type="dxa"/>
              <w:right w:w="108" w:type="dxa"/>
            </w:tcMar>
            <w:hideMark/>
          </w:tcPr>
          <w:p w14:paraId="4EFF020A"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of incorporation)</w:t>
            </w:r>
          </w:p>
        </w:tc>
        <w:tc>
          <w:tcPr>
            <w:tcW w:w="38" w:type="pct"/>
            <w:hideMark/>
          </w:tcPr>
          <w:p w14:paraId="27FE0709"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852" w:type="pct"/>
            <w:tcMar>
              <w:top w:w="0" w:type="dxa"/>
              <w:left w:w="108" w:type="dxa"/>
              <w:bottom w:w="0" w:type="dxa"/>
              <w:right w:w="108" w:type="dxa"/>
            </w:tcMar>
            <w:hideMark/>
          </w:tcPr>
          <w:p w14:paraId="5760B019"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38" w:type="pct"/>
            <w:hideMark/>
          </w:tcPr>
          <w:p w14:paraId="33508207"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1301" w:type="pct"/>
            <w:tcMar>
              <w:top w:w="0" w:type="dxa"/>
              <w:left w:w="108" w:type="dxa"/>
              <w:bottom w:w="0" w:type="dxa"/>
              <w:right w:w="108" w:type="dxa"/>
            </w:tcMar>
            <w:hideMark/>
          </w:tcPr>
          <w:p w14:paraId="3299234E" w14:textId="77777777" w:rsidR="00EF1718" w:rsidRPr="00DD7FDE" w:rsidRDefault="00EF1718" w:rsidP="00EF1718">
            <w:pPr>
              <w:spacing w:after="0" w:line="235" w:lineRule="atLeast"/>
              <w:jc w:val="center"/>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Identification No.)</w:t>
            </w:r>
          </w:p>
        </w:tc>
      </w:tr>
    </w:tbl>
    <w:p w14:paraId="7CCF758D"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9360"/>
      </w:tblGrid>
      <w:tr w:rsidR="00EF1718" w:rsidRPr="00DD7FDE" w14:paraId="2D117F53" w14:textId="77777777" w:rsidTr="00EF1718">
        <w:tc>
          <w:tcPr>
            <w:tcW w:w="5000" w:type="pct"/>
            <w:tcMar>
              <w:top w:w="0" w:type="dxa"/>
              <w:left w:w="108" w:type="dxa"/>
              <w:bottom w:w="0" w:type="dxa"/>
              <w:right w:w="108" w:type="dxa"/>
            </w:tcMar>
            <w:hideMark/>
          </w:tcPr>
          <w:p w14:paraId="3DDDA56C" w14:textId="450651A3" w:rsidR="00EF1718" w:rsidRPr="00DD7FDE" w:rsidRDefault="00331D70" w:rsidP="00EF1718">
            <w:pPr>
              <w:spacing w:after="0"/>
              <w:jc w:val="center"/>
              <w:rPr>
                <w:rFonts w:ascii="Times New Roman" w:hAnsi="Times New Roman" w:cs="Times New Roman"/>
                <w:sz w:val="20"/>
                <w:szCs w:val="20"/>
                <w:u w:val="single"/>
              </w:rPr>
            </w:pPr>
            <w:r w:rsidRPr="00DD7FDE">
              <w:rPr>
                <w:rFonts w:ascii="Times New Roman" w:hAnsi="Times New Roman" w:cs="Times New Roman"/>
                <w:b/>
                <w:bCs/>
                <w:sz w:val="20"/>
                <w:szCs w:val="20"/>
                <w:u w:val="single"/>
              </w:rPr>
              <w:t>C/O Crossfield Inc.</w:t>
            </w:r>
            <w:r w:rsidR="007E59F0">
              <w:rPr>
                <w:rFonts w:ascii="Times New Roman" w:hAnsi="Times New Roman" w:cs="Times New Roman"/>
                <w:b/>
                <w:bCs/>
                <w:sz w:val="20"/>
                <w:szCs w:val="20"/>
                <w:u w:val="single"/>
              </w:rPr>
              <w:t>,</w:t>
            </w:r>
            <w:r w:rsidRPr="00DD7FDE">
              <w:rPr>
                <w:rFonts w:ascii="Times New Roman" w:hAnsi="Times New Roman" w:cs="Times New Roman"/>
                <w:b/>
                <w:bCs/>
                <w:sz w:val="20"/>
                <w:szCs w:val="20"/>
                <w:u w:val="single"/>
              </w:rPr>
              <w:t xml:space="preserve"> </w:t>
            </w:r>
            <w:r w:rsidR="007E59F0">
              <w:rPr>
                <w:rFonts w:ascii="Times New Roman" w:hAnsi="Times New Roman" w:cs="Times New Roman"/>
                <w:b/>
                <w:bCs/>
                <w:sz w:val="20"/>
                <w:szCs w:val="20"/>
                <w:u w:val="single"/>
              </w:rPr>
              <w:t xml:space="preserve">653 VT Route 12A, </w:t>
            </w:r>
            <w:r w:rsidRPr="00DD7FDE">
              <w:rPr>
                <w:rFonts w:ascii="Times New Roman" w:hAnsi="Times New Roman" w:cs="Times New Roman"/>
                <w:b/>
                <w:bCs/>
                <w:sz w:val="20"/>
                <w:szCs w:val="20"/>
                <w:u w:val="single"/>
              </w:rPr>
              <w:t>P.O. Box 189</w:t>
            </w:r>
            <w:r w:rsidR="007E59F0">
              <w:rPr>
                <w:rFonts w:ascii="Times New Roman" w:hAnsi="Times New Roman" w:cs="Times New Roman"/>
                <w:b/>
                <w:bCs/>
                <w:sz w:val="20"/>
                <w:szCs w:val="20"/>
                <w:u w:val="single"/>
              </w:rPr>
              <w:t>,</w:t>
            </w:r>
            <w:r w:rsidRPr="00DD7FDE">
              <w:rPr>
                <w:rFonts w:ascii="Times New Roman" w:hAnsi="Times New Roman" w:cs="Times New Roman"/>
                <w:b/>
                <w:bCs/>
                <w:sz w:val="20"/>
                <w:szCs w:val="20"/>
                <w:u w:val="single"/>
              </w:rPr>
              <w:t xml:space="preserve"> Randolph, VT 05060</w:t>
            </w:r>
          </w:p>
          <w:p w14:paraId="17337B65" w14:textId="40A36CF4" w:rsidR="00EF1718" w:rsidRPr="00DD7FDE" w:rsidRDefault="00331D70" w:rsidP="00331D70">
            <w:pPr>
              <w:spacing w:after="0"/>
              <w:jc w:val="center"/>
              <w:rPr>
                <w:rFonts w:ascii="Times New Roman" w:hAnsi="Times New Roman" w:cs="Times New Roman"/>
                <w:sz w:val="20"/>
                <w:szCs w:val="20"/>
              </w:rPr>
            </w:pPr>
            <w:r w:rsidRPr="00DD7FDE">
              <w:rPr>
                <w:rFonts w:ascii="Times New Roman" w:hAnsi="Times New Roman" w:cs="Times New Roman"/>
                <w:sz w:val="20"/>
                <w:szCs w:val="20"/>
              </w:rPr>
              <w:t>(Address of Principal Executive Offices) (Zip Code)</w:t>
            </w:r>
          </w:p>
        </w:tc>
      </w:tr>
    </w:tbl>
    <w:p w14:paraId="134E5E62"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  </w:t>
      </w:r>
    </w:p>
    <w:p w14:paraId="4087972A" w14:textId="1571AF96" w:rsidR="00EF1718" w:rsidRPr="00DD7FDE" w:rsidRDefault="00331D70"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u w:val="single"/>
        </w:rPr>
        <w:t>(212) 727-7085</w:t>
      </w:r>
    </w:p>
    <w:p w14:paraId="2CBEFDA0"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sz w:val="20"/>
          <w:szCs w:val="20"/>
        </w:rPr>
        <w:t>(Registrant’s telephone number, including area code)</w:t>
      </w:r>
    </w:p>
    <w:p w14:paraId="3614B506" w14:textId="77777777"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p w14:paraId="53716F1C"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Check the appropriate box below if the Form 8-K filing is intended to simultaneously satisfy the filing obligation of the registrant under any of the following provisions:</w:t>
      </w:r>
    </w:p>
    <w:p w14:paraId="41C06D66" w14:textId="77777777"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tbl>
      <w:tblPr>
        <w:tblW w:w="20172" w:type="dxa"/>
        <w:tblCellSpacing w:w="0" w:type="dxa"/>
        <w:tblCellMar>
          <w:left w:w="0" w:type="dxa"/>
          <w:right w:w="0" w:type="dxa"/>
        </w:tblCellMar>
        <w:tblLook w:val="04A0" w:firstRow="1" w:lastRow="0" w:firstColumn="1" w:lastColumn="0" w:noHBand="0" w:noVBand="1"/>
      </w:tblPr>
      <w:tblGrid>
        <w:gridCol w:w="1009"/>
        <w:gridCol w:w="19163"/>
      </w:tblGrid>
      <w:tr w:rsidR="00EF1718" w:rsidRPr="00DD7FDE" w14:paraId="55DE9597" w14:textId="77777777" w:rsidTr="00EF1718">
        <w:trPr>
          <w:tblCellSpacing w:w="0" w:type="dxa"/>
        </w:trPr>
        <w:tc>
          <w:tcPr>
            <w:tcW w:w="1009" w:type="dxa"/>
            <w:hideMark/>
          </w:tcPr>
          <w:p w14:paraId="0E31AEEF" w14:textId="77777777" w:rsidR="00EF1718" w:rsidRPr="00DD7FDE" w:rsidRDefault="00EF1718" w:rsidP="00EF1718">
            <w:pPr>
              <w:spacing w:after="0" w:line="235" w:lineRule="atLeast"/>
              <w:rPr>
                <w:rFonts w:ascii="Times New Roman" w:eastAsia="Times New Roman" w:hAnsi="Times New Roman" w:cs="Times New Roman"/>
                <w:sz w:val="20"/>
                <w:szCs w:val="20"/>
              </w:rPr>
            </w:pPr>
            <w:r w:rsidRPr="00DD7FDE">
              <w:rPr>
                <w:rFonts w:ascii="Segoe UI Symbol" w:eastAsia="Times New Roman" w:hAnsi="Segoe UI Symbol" w:cs="Segoe UI Symbol"/>
                <w:sz w:val="20"/>
                <w:szCs w:val="20"/>
              </w:rPr>
              <w:t>☐</w:t>
            </w:r>
          </w:p>
        </w:tc>
        <w:tc>
          <w:tcPr>
            <w:tcW w:w="0" w:type="auto"/>
            <w:hideMark/>
          </w:tcPr>
          <w:p w14:paraId="2310C83D" w14:textId="77777777" w:rsidR="00EF1718" w:rsidRPr="00DD7FDE" w:rsidRDefault="00EF1718" w:rsidP="00EF1718">
            <w:pPr>
              <w:spacing w:after="0" w:line="235" w:lineRule="atLeast"/>
              <w:jc w:val="both"/>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Written communications pursuant to Rule 425 under the Securities Act (17 CFR 230.425)</w:t>
            </w:r>
          </w:p>
        </w:tc>
      </w:tr>
      <w:tr w:rsidR="00EF1718" w:rsidRPr="00DD7FDE" w14:paraId="74EDDD31" w14:textId="77777777" w:rsidTr="00EF1718">
        <w:trPr>
          <w:tblCellSpacing w:w="0" w:type="dxa"/>
        </w:trPr>
        <w:tc>
          <w:tcPr>
            <w:tcW w:w="0" w:type="auto"/>
            <w:hideMark/>
          </w:tcPr>
          <w:p w14:paraId="571D9BFE" w14:textId="77777777" w:rsidR="00EF1718" w:rsidRPr="00DD7FDE" w:rsidRDefault="00EF1718" w:rsidP="00EF1718">
            <w:pPr>
              <w:spacing w:after="0" w:line="235" w:lineRule="atLeast"/>
              <w:rPr>
                <w:rFonts w:ascii="Times New Roman" w:eastAsia="Times New Roman" w:hAnsi="Times New Roman" w:cs="Times New Roman"/>
                <w:sz w:val="20"/>
                <w:szCs w:val="20"/>
              </w:rPr>
            </w:pPr>
            <w:r w:rsidRPr="00DD7FDE">
              <w:rPr>
                <w:rFonts w:ascii="Segoe UI Symbol" w:eastAsia="Times New Roman" w:hAnsi="Segoe UI Symbol" w:cs="Segoe UI Symbol"/>
                <w:sz w:val="20"/>
                <w:szCs w:val="20"/>
              </w:rPr>
              <w:t>☐</w:t>
            </w:r>
          </w:p>
        </w:tc>
        <w:tc>
          <w:tcPr>
            <w:tcW w:w="0" w:type="auto"/>
            <w:hideMark/>
          </w:tcPr>
          <w:p w14:paraId="25F64CD2" w14:textId="77777777" w:rsidR="00EF1718" w:rsidRPr="00DD7FDE" w:rsidRDefault="00EF1718" w:rsidP="00EF1718">
            <w:pPr>
              <w:spacing w:after="0" w:line="235" w:lineRule="atLeast"/>
              <w:jc w:val="both"/>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Soliciting material pursuant to Rule 14a-12 under the Exchange Act (17 CFR 240.14a-12)</w:t>
            </w:r>
          </w:p>
        </w:tc>
      </w:tr>
      <w:tr w:rsidR="00EF1718" w:rsidRPr="00DD7FDE" w14:paraId="68B0DC6B" w14:textId="77777777" w:rsidTr="00EF1718">
        <w:trPr>
          <w:tblCellSpacing w:w="0" w:type="dxa"/>
        </w:trPr>
        <w:tc>
          <w:tcPr>
            <w:tcW w:w="0" w:type="auto"/>
            <w:hideMark/>
          </w:tcPr>
          <w:p w14:paraId="644B96E3" w14:textId="77777777" w:rsidR="00EF1718" w:rsidRPr="00DD7FDE" w:rsidRDefault="00EF1718" w:rsidP="00EF1718">
            <w:pPr>
              <w:spacing w:after="0" w:line="235" w:lineRule="atLeast"/>
              <w:rPr>
                <w:rFonts w:ascii="Times New Roman" w:eastAsia="Times New Roman" w:hAnsi="Times New Roman" w:cs="Times New Roman"/>
                <w:sz w:val="20"/>
                <w:szCs w:val="20"/>
              </w:rPr>
            </w:pPr>
            <w:r w:rsidRPr="00DD7FDE">
              <w:rPr>
                <w:rFonts w:ascii="Segoe UI Symbol" w:eastAsia="Times New Roman" w:hAnsi="Segoe UI Symbol" w:cs="Segoe UI Symbol"/>
                <w:sz w:val="20"/>
                <w:szCs w:val="20"/>
              </w:rPr>
              <w:t>☐</w:t>
            </w:r>
          </w:p>
        </w:tc>
        <w:tc>
          <w:tcPr>
            <w:tcW w:w="0" w:type="auto"/>
            <w:hideMark/>
          </w:tcPr>
          <w:p w14:paraId="42E8667F" w14:textId="77777777" w:rsidR="00EF1718" w:rsidRPr="00DD7FDE" w:rsidRDefault="00EF1718" w:rsidP="00EF1718">
            <w:pPr>
              <w:spacing w:after="0" w:line="235" w:lineRule="atLeast"/>
              <w:jc w:val="both"/>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Pre-commencement communications pursuant to Rule 14d-2(b) under the Exchange Act (17 CFR 240.14d-2(b))</w:t>
            </w:r>
          </w:p>
        </w:tc>
      </w:tr>
      <w:tr w:rsidR="00EF1718" w:rsidRPr="00DD7FDE" w14:paraId="435D7690" w14:textId="77777777" w:rsidTr="00EF1718">
        <w:trPr>
          <w:tblCellSpacing w:w="0" w:type="dxa"/>
        </w:trPr>
        <w:tc>
          <w:tcPr>
            <w:tcW w:w="0" w:type="auto"/>
            <w:hideMark/>
          </w:tcPr>
          <w:p w14:paraId="6404DD3F" w14:textId="77777777" w:rsidR="00EF1718" w:rsidRPr="00DD7FDE" w:rsidRDefault="00EF1718" w:rsidP="00EF1718">
            <w:pPr>
              <w:spacing w:after="0" w:line="235" w:lineRule="atLeast"/>
              <w:rPr>
                <w:rFonts w:ascii="Times New Roman" w:eastAsia="Times New Roman" w:hAnsi="Times New Roman" w:cs="Times New Roman"/>
                <w:sz w:val="20"/>
                <w:szCs w:val="20"/>
              </w:rPr>
            </w:pPr>
            <w:r w:rsidRPr="00DD7FDE">
              <w:rPr>
                <w:rFonts w:ascii="Segoe UI Symbol" w:eastAsia="Times New Roman" w:hAnsi="Segoe UI Symbol" w:cs="Segoe UI Symbol"/>
                <w:sz w:val="20"/>
                <w:szCs w:val="20"/>
              </w:rPr>
              <w:t>☐</w:t>
            </w:r>
          </w:p>
        </w:tc>
        <w:tc>
          <w:tcPr>
            <w:tcW w:w="0" w:type="auto"/>
            <w:hideMark/>
          </w:tcPr>
          <w:p w14:paraId="29A894B4" w14:textId="77777777" w:rsidR="00EF1718" w:rsidRPr="00DD7FDE" w:rsidRDefault="00EF1718" w:rsidP="00EF1718">
            <w:pPr>
              <w:spacing w:after="0" w:line="235" w:lineRule="atLeast"/>
              <w:jc w:val="both"/>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Pre-commencement communications pursuant to Rule 13e-4(c) under the Exchange Act (17 CFR 240.13e-4(c))</w:t>
            </w:r>
          </w:p>
        </w:tc>
      </w:tr>
    </w:tbl>
    <w:p w14:paraId="739A3C7D" w14:textId="77777777"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p w14:paraId="03A4AB73" w14:textId="77777777" w:rsidR="007D4E02" w:rsidRPr="00DD7FDE" w:rsidRDefault="007D4E02" w:rsidP="007D4E02">
      <w:pPr>
        <w:widowControl w:val="0"/>
        <w:autoSpaceDE w:val="0"/>
        <w:autoSpaceDN w:val="0"/>
        <w:adjustRightInd w:val="0"/>
        <w:jc w:val="both"/>
        <w:rPr>
          <w:rFonts w:ascii="Times New Roman" w:eastAsia="PMingLiU" w:hAnsi="Times New Roman" w:cs="Times New Roman"/>
          <w:sz w:val="20"/>
          <w:szCs w:val="20"/>
        </w:rPr>
      </w:pPr>
      <w:r w:rsidRPr="00DD7FDE">
        <w:rPr>
          <w:rFonts w:ascii="Times New Roman" w:eastAsia="PMingLiU" w:hAnsi="Times New Roman" w:cs="Times New Roman"/>
          <w:sz w:val="20"/>
          <w:szCs w:val="20"/>
        </w:rPr>
        <w:t>Securities registered pursuant to Section 12(b) of the Act:  None.</w:t>
      </w:r>
    </w:p>
    <w:p w14:paraId="7C4A169D" w14:textId="77777777" w:rsidR="007D4E02" w:rsidRPr="00DD7FDE" w:rsidRDefault="007D4E02" w:rsidP="00EF1718">
      <w:pPr>
        <w:spacing w:after="0"/>
        <w:jc w:val="both"/>
        <w:rPr>
          <w:rFonts w:ascii="Times New Roman" w:hAnsi="Times New Roman" w:cs="Times New Roman"/>
          <w:sz w:val="20"/>
          <w:szCs w:val="20"/>
        </w:rPr>
      </w:pPr>
    </w:p>
    <w:p w14:paraId="7F0F80DE" w14:textId="4818D903"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Indicate by check mark whether the registrant is an emerging growth company as defined in Rule 405 of the Securities Act of 1933 (§230.405 of this chapter) or Rule 12b-2 of the Securities Exchange Act of 1934 (§240.12b-2 of this chapter).</w:t>
      </w:r>
    </w:p>
    <w:p w14:paraId="10CFAF6D" w14:textId="77777777"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p w14:paraId="01FA5B04" w14:textId="77777777" w:rsidR="0007356F"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Emerging growth company      </w:t>
      </w:r>
      <w:r w:rsidR="0007356F" w:rsidRPr="00DD7FDE">
        <w:rPr>
          <w:rFonts w:ascii="Segoe UI Symbol" w:hAnsi="Segoe UI Symbol" w:cs="Segoe UI Symbol"/>
          <w:sz w:val="20"/>
          <w:szCs w:val="20"/>
        </w:rPr>
        <w:t>☐</w:t>
      </w:r>
    </w:p>
    <w:p w14:paraId="5B49A12D" w14:textId="7C825B1A"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p w14:paraId="32B933C2"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sidRPr="00DD7FDE">
        <w:rPr>
          <w:rFonts w:ascii="Segoe UI Symbol" w:hAnsi="Segoe UI Symbol" w:cs="Segoe UI Symbol"/>
          <w:sz w:val="20"/>
          <w:szCs w:val="20"/>
        </w:rPr>
        <w:t>☐</w:t>
      </w:r>
    </w:p>
    <w:p w14:paraId="06036F59"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 </w:t>
      </w:r>
    </w:p>
    <w:tbl>
      <w:tblPr>
        <w:tblW w:w="20172" w:type="dxa"/>
        <w:tblCellMar>
          <w:left w:w="0" w:type="dxa"/>
          <w:right w:w="0" w:type="dxa"/>
        </w:tblCellMar>
        <w:tblLook w:val="04A0" w:firstRow="1" w:lastRow="0" w:firstColumn="1" w:lastColumn="0" w:noHBand="0" w:noVBand="1"/>
      </w:tblPr>
      <w:tblGrid>
        <w:gridCol w:w="6656"/>
        <w:gridCol w:w="6859"/>
        <w:gridCol w:w="6657"/>
      </w:tblGrid>
      <w:tr w:rsidR="00EF1718" w:rsidRPr="00DD7FDE" w14:paraId="37DE7445" w14:textId="77777777" w:rsidTr="00EF1718">
        <w:tc>
          <w:tcPr>
            <w:tcW w:w="6657" w:type="dxa"/>
            <w:hideMark/>
          </w:tcPr>
          <w:p w14:paraId="4CD362F4" w14:textId="77777777" w:rsidR="00EF1718" w:rsidRPr="00DD7FDE" w:rsidRDefault="00EF1718" w:rsidP="00EF1718">
            <w:pPr>
              <w:spacing w:after="0"/>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6859" w:type="dxa"/>
            <w:hideMark/>
          </w:tcPr>
          <w:p w14:paraId="6487F844" w14:textId="089858E0" w:rsidR="00EF1718" w:rsidRPr="00DD7FDE" w:rsidRDefault="00EF1718" w:rsidP="00EF1718">
            <w:pPr>
              <w:spacing w:after="0"/>
              <w:jc w:val="center"/>
              <w:rPr>
                <w:rFonts w:ascii="Times New Roman" w:eastAsia="Times New Roman" w:hAnsi="Times New Roman" w:cs="Times New Roman"/>
                <w:sz w:val="20"/>
                <w:szCs w:val="20"/>
              </w:rPr>
            </w:pPr>
          </w:p>
        </w:tc>
        <w:tc>
          <w:tcPr>
            <w:tcW w:w="6657" w:type="dxa"/>
            <w:hideMark/>
          </w:tcPr>
          <w:p w14:paraId="4F4C296F" w14:textId="77777777" w:rsidR="00EF1718" w:rsidRPr="00DD7FDE" w:rsidRDefault="00EF1718" w:rsidP="00EF1718">
            <w:pPr>
              <w:spacing w:after="0"/>
              <w:jc w:val="righ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r>
    </w:tbl>
    <w:p w14:paraId="6C1F58F3" w14:textId="2BCF1AF0" w:rsidR="00EE306A" w:rsidRPr="00DD7FDE" w:rsidRDefault="00EE306A" w:rsidP="00EF1718">
      <w:pPr>
        <w:spacing w:after="120"/>
        <w:rPr>
          <w:rFonts w:ascii="Times New Roman" w:hAnsi="Times New Roman" w:cs="Times New Roman"/>
          <w:sz w:val="20"/>
          <w:szCs w:val="20"/>
        </w:rPr>
      </w:pPr>
    </w:p>
    <w:p w14:paraId="434926B4" w14:textId="77777777" w:rsidR="00EE306A" w:rsidRPr="00DD7FDE" w:rsidRDefault="00EE306A">
      <w:pPr>
        <w:rPr>
          <w:rFonts w:ascii="Times New Roman" w:hAnsi="Times New Roman" w:cs="Times New Roman"/>
          <w:sz w:val="20"/>
          <w:szCs w:val="20"/>
        </w:rPr>
      </w:pPr>
      <w:r w:rsidRPr="00DD7FDE">
        <w:rPr>
          <w:rFonts w:ascii="Times New Roman" w:hAnsi="Times New Roman" w:cs="Times New Roman"/>
          <w:sz w:val="20"/>
          <w:szCs w:val="20"/>
        </w:rPr>
        <w:br w:type="page"/>
      </w:r>
    </w:p>
    <w:p w14:paraId="113E20A4" w14:textId="37C71C53" w:rsidR="00930A6A" w:rsidRPr="00DD7FDE" w:rsidRDefault="00914C6A" w:rsidP="007E500A">
      <w:pPr>
        <w:spacing w:after="0"/>
        <w:jc w:val="both"/>
        <w:rPr>
          <w:rFonts w:ascii="Times New Roman" w:hAnsi="Times New Roman" w:cs="Times New Roman"/>
          <w:b/>
          <w:bCs/>
          <w:sz w:val="20"/>
          <w:szCs w:val="20"/>
        </w:rPr>
      </w:pPr>
      <w:r w:rsidRPr="00DD7FDE">
        <w:rPr>
          <w:rFonts w:ascii="Times New Roman" w:hAnsi="Times New Roman" w:cs="Times New Roman"/>
          <w:b/>
          <w:bCs/>
          <w:sz w:val="20"/>
          <w:szCs w:val="20"/>
        </w:rPr>
        <w:lastRenderedPageBreak/>
        <w:t xml:space="preserve">Item </w:t>
      </w:r>
      <w:proofErr w:type="gramStart"/>
      <w:r w:rsidR="007E59F0">
        <w:rPr>
          <w:rFonts w:ascii="Times New Roman" w:hAnsi="Times New Roman" w:cs="Times New Roman"/>
          <w:b/>
          <w:bCs/>
          <w:sz w:val="20"/>
          <w:szCs w:val="20"/>
        </w:rPr>
        <w:t>8.01  Other</w:t>
      </w:r>
      <w:proofErr w:type="gramEnd"/>
      <w:r w:rsidR="007E59F0">
        <w:rPr>
          <w:rFonts w:ascii="Times New Roman" w:hAnsi="Times New Roman" w:cs="Times New Roman"/>
          <w:b/>
          <w:bCs/>
          <w:sz w:val="20"/>
          <w:szCs w:val="20"/>
        </w:rPr>
        <w:t xml:space="preserve"> Events. </w:t>
      </w:r>
    </w:p>
    <w:p w14:paraId="1A416FB6" w14:textId="77777777" w:rsidR="00914C6A" w:rsidRPr="00DD7FDE" w:rsidRDefault="00914C6A" w:rsidP="007E500A">
      <w:pPr>
        <w:spacing w:after="0"/>
        <w:jc w:val="both"/>
        <w:rPr>
          <w:rStyle w:val="NonTocText"/>
          <w:rFonts w:ascii="Times New Roman" w:hAnsi="Times New Roman" w:cs="Times New Roman"/>
          <w:color w:val="000000" w:themeColor="text1"/>
          <w:sz w:val="20"/>
          <w:szCs w:val="20"/>
        </w:rPr>
      </w:pPr>
    </w:p>
    <w:p w14:paraId="605A2906" w14:textId="4DB64DD5" w:rsidR="00930A6A" w:rsidRDefault="00DD7FDE" w:rsidP="00EC3CBC">
      <w:pPr>
        <w:spacing w:after="0"/>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On June </w:t>
      </w:r>
      <w:r w:rsidR="007E59F0">
        <w:rPr>
          <w:rFonts w:ascii="Times New Roman" w:hAnsi="Times New Roman" w:cs="Times New Roman"/>
          <w:color w:val="000000" w:themeColor="text1"/>
          <w:sz w:val="20"/>
          <w:szCs w:val="20"/>
        </w:rPr>
        <w:t>30</w:t>
      </w:r>
      <w:r>
        <w:rPr>
          <w:rFonts w:ascii="Times New Roman" w:hAnsi="Times New Roman" w:cs="Times New Roman"/>
          <w:color w:val="000000" w:themeColor="text1"/>
          <w:sz w:val="20"/>
          <w:szCs w:val="20"/>
        </w:rPr>
        <w:t>, 2020, Advanced Oxygen Technologies, Inc.</w:t>
      </w:r>
      <w:r w:rsidR="00F00525">
        <w:rPr>
          <w:rFonts w:ascii="Times New Roman" w:hAnsi="Times New Roman" w:cs="Times New Roman"/>
          <w:color w:val="000000" w:themeColor="text1"/>
          <w:sz w:val="20"/>
          <w:szCs w:val="20"/>
        </w:rPr>
        <w:t xml:space="preserve"> (collectively with its subsidiaries</w:t>
      </w:r>
      <w:r w:rsidR="007E59F0">
        <w:rPr>
          <w:rFonts w:ascii="Times New Roman" w:hAnsi="Times New Roman" w:cs="Times New Roman"/>
          <w:color w:val="000000" w:themeColor="text1"/>
          <w:sz w:val="20"/>
          <w:szCs w:val="20"/>
        </w:rPr>
        <w:t xml:space="preserve">, </w:t>
      </w:r>
      <w:r w:rsidR="00F00525">
        <w:rPr>
          <w:rFonts w:ascii="Times New Roman" w:hAnsi="Times New Roman" w:cs="Times New Roman"/>
          <w:color w:val="000000" w:themeColor="text1"/>
          <w:sz w:val="20"/>
          <w:szCs w:val="20"/>
        </w:rPr>
        <w:t xml:space="preserve">the “Company”), </w:t>
      </w:r>
      <w:r w:rsidR="007E59F0">
        <w:rPr>
          <w:rFonts w:ascii="Times New Roman" w:hAnsi="Times New Roman" w:cs="Times New Roman"/>
          <w:color w:val="000000" w:themeColor="text1"/>
          <w:sz w:val="20"/>
          <w:szCs w:val="20"/>
        </w:rPr>
        <w:t>through its indirect wholly owned subsidiary, Sharx DK ApS, a Danish corporation,</w:t>
      </w:r>
      <w:r>
        <w:rPr>
          <w:rFonts w:ascii="Times New Roman" w:hAnsi="Times New Roman" w:cs="Times New Roman"/>
          <w:color w:val="000000" w:themeColor="text1"/>
          <w:sz w:val="20"/>
          <w:szCs w:val="20"/>
        </w:rPr>
        <w:t xml:space="preserve"> entered into a Distribution Agreement (</w:t>
      </w:r>
      <w:r w:rsidR="00F00525">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w:t>
      </w:r>
      <w:r w:rsidR="00F00525">
        <w:rPr>
          <w:rFonts w:ascii="Times New Roman" w:hAnsi="Times New Roman" w:cs="Times New Roman"/>
          <w:color w:val="000000" w:themeColor="text1"/>
          <w:sz w:val="20"/>
          <w:szCs w:val="20"/>
        </w:rPr>
        <w:t xml:space="preserve">Distribution </w:t>
      </w:r>
      <w:r>
        <w:rPr>
          <w:rFonts w:ascii="Times New Roman" w:hAnsi="Times New Roman" w:cs="Times New Roman"/>
          <w:color w:val="000000" w:themeColor="text1"/>
          <w:sz w:val="20"/>
          <w:szCs w:val="20"/>
        </w:rPr>
        <w:t>Agreement”)</w:t>
      </w:r>
      <w:r w:rsidR="007E59F0">
        <w:rPr>
          <w:rFonts w:ascii="Times New Roman" w:hAnsi="Times New Roman" w:cs="Times New Roman"/>
          <w:color w:val="000000" w:themeColor="text1"/>
          <w:sz w:val="20"/>
          <w:szCs w:val="20"/>
        </w:rPr>
        <w:t xml:space="preserve"> with </w:t>
      </w:r>
      <w:r>
        <w:rPr>
          <w:rFonts w:ascii="Times New Roman" w:hAnsi="Times New Roman" w:cs="Times New Roman"/>
          <w:color w:val="000000" w:themeColor="text1"/>
          <w:sz w:val="20"/>
          <w:szCs w:val="20"/>
        </w:rPr>
        <w:t xml:space="preserve">Cleaver ApS, a </w:t>
      </w:r>
      <w:r w:rsidR="00CC1F68">
        <w:rPr>
          <w:rFonts w:ascii="Times New Roman" w:hAnsi="Times New Roman" w:cs="Times New Roman"/>
          <w:color w:val="000000" w:themeColor="text1"/>
          <w:sz w:val="20"/>
          <w:szCs w:val="20"/>
        </w:rPr>
        <w:t xml:space="preserve">Danish </w:t>
      </w:r>
      <w:r w:rsidR="007E59F0">
        <w:rPr>
          <w:rFonts w:ascii="Times New Roman" w:hAnsi="Times New Roman" w:cs="Times New Roman"/>
          <w:color w:val="000000" w:themeColor="text1"/>
          <w:sz w:val="20"/>
          <w:szCs w:val="20"/>
        </w:rPr>
        <w:t>c</w:t>
      </w:r>
      <w:r w:rsidR="00CC1F68">
        <w:rPr>
          <w:rFonts w:ascii="Times New Roman" w:hAnsi="Times New Roman" w:cs="Times New Roman"/>
          <w:color w:val="000000" w:themeColor="text1"/>
          <w:sz w:val="20"/>
          <w:szCs w:val="20"/>
        </w:rPr>
        <w:t>orporation (“</w:t>
      </w:r>
      <w:r w:rsidR="007E59F0">
        <w:rPr>
          <w:rFonts w:ascii="Times New Roman" w:hAnsi="Times New Roman" w:cs="Times New Roman"/>
          <w:color w:val="000000" w:themeColor="text1"/>
          <w:sz w:val="20"/>
          <w:szCs w:val="20"/>
        </w:rPr>
        <w:t>Cleaver</w:t>
      </w:r>
      <w:r w:rsidR="007E59F0" w:rsidDel="007E59F0">
        <w:rPr>
          <w:rFonts w:ascii="Times New Roman" w:hAnsi="Times New Roman" w:cs="Times New Roman"/>
          <w:color w:val="000000" w:themeColor="text1"/>
          <w:sz w:val="20"/>
          <w:szCs w:val="20"/>
        </w:rPr>
        <w:t xml:space="preserve"> </w:t>
      </w:r>
      <w:r w:rsidR="00CC1F68">
        <w:rPr>
          <w:rFonts w:ascii="Times New Roman" w:hAnsi="Times New Roman" w:cs="Times New Roman"/>
          <w:color w:val="000000" w:themeColor="text1"/>
          <w:sz w:val="20"/>
          <w:szCs w:val="20"/>
        </w:rPr>
        <w:t xml:space="preserve">”),  whereby </w:t>
      </w:r>
      <w:r w:rsidR="007E59F0">
        <w:rPr>
          <w:rFonts w:ascii="Times New Roman" w:hAnsi="Times New Roman" w:cs="Times New Roman"/>
          <w:color w:val="000000" w:themeColor="text1"/>
          <w:sz w:val="20"/>
          <w:szCs w:val="20"/>
        </w:rPr>
        <w:t xml:space="preserve">Cleaver has </w:t>
      </w:r>
      <w:r w:rsidR="00CC1F68">
        <w:rPr>
          <w:rFonts w:ascii="Times New Roman" w:hAnsi="Times New Roman" w:cs="Times New Roman"/>
          <w:color w:val="000000" w:themeColor="text1"/>
          <w:sz w:val="20"/>
          <w:szCs w:val="20"/>
        </w:rPr>
        <w:t>appoint</w:t>
      </w:r>
      <w:r w:rsidR="007E59F0">
        <w:rPr>
          <w:rFonts w:ascii="Times New Roman" w:hAnsi="Times New Roman" w:cs="Times New Roman"/>
          <w:color w:val="000000" w:themeColor="text1"/>
          <w:sz w:val="20"/>
          <w:szCs w:val="20"/>
        </w:rPr>
        <w:t>ed</w:t>
      </w:r>
      <w:r w:rsidR="00CC1F68">
        <w:rPr>
          <w:rFonts w:ascii="Times New Roman" w:hAnsi="Times New Roman" w:cs="Times New Roman"/>
          <w:color w:val="000000" w:themeColor="text1"/>
          <w:sz w:val="20"/>
          <w:szCs w:val="20"/>
        </w:rPr>
        <w:t xml:space="preserve"> </w:t>
      </w:r>
      <w:r w:rsidR="007E59F0">
        <w:rPr>
          <w:rFonts w:ascii="Times New Roman" w:hAnsi="Times New Roman" w:cs="Times New Roman"/>
          <w:color w:val="000000" w:themeColor="text1"/>
          <w:sz w:val="20"/>
          <w:szCs w:val="20"/>
        </w:rPr>
        <w:t xml:space="preserve">the Company </w:t>
      </w:r>
      <w:r w:rsidR="00CC1F68">
        <w:rPr>
          <w:rFonts w:ascii="Times New Roman" w:hAnsi="Times New Roman" w:cs="Times New Roman"/>
          <w:color w:val="000000" w:themeColor="text1"/>
          <w:sz w:val="20"/>
          <w:szCs w:val="20"/>
        </w:rPr>
        <w:t xml:space="preserve">as </w:t>
      </w:r>
      <w:r w:rsidR="007E59F0">
        <w:rPr>
          <w:rFonts w:ascii="Times New Roman" w:hAnsi="Times New Roman" w:cs="Times New Roman"/>
          <w:color w:val="000000" w:themeColor="text1"/>
          <w:sz w:val="20"/>
          <w:szCs w:val="20"/>
        </w:rPr>
        <w:t xml:space="preserve">Cleaver’s </w:t>
      </w:r>
      <w:r w:rsidR="00CC1F68">
        <w:rPr>
          <w:rFonts w:ascii="Times New Roman" w:hAnsi="Times New Roman" w:cs="Times New Roman"/>
          <w:color w:val="000000" w:themeColor="text1"/>
          <w:sz w:val="20"/>
          <w:szCs w:val="20"/>
        </w:rPr>
        <w:t>nonexclusive distributor of its products in Europe, South America and North America.</w:t>
      </w:r>
      <w:r w:rsidR="007E59F0">
        <w:rPr>
          <w:rFonts w:ascii="Times New Roman" w:hAnsi="Times New Roman" w:cs="Times New Roman"/>
          <w:color w:val="000000" w:themeColor="text1"/>
          <w:sz w:val="20"/>
          <w:szCs w:val="20"/>
        </w:rPr>
        <w:t xml:space="preserve">  Cleaver is a manufacturer of a line of products for the logistics and cargo industry.   </w:t>
      </w:r>
    </w:p>
    <w:p w14:paraId="25DA7736" w14:textId="491C0DBC" w:rsidR="004A6BF7" w:rsidRDefault="004A6BF7" w:rsidP="00EC3CBC">
      <w:pPr>
        <w:spacing w:after="0"/>
        <w:ind w:firstLine="720"/>
        <w:jc w:val="both"/>
        <w:rPr>
          <w:rFonts w:ascii="Times New Roman" w:hAnsi="Times New Roman" w:cs="Times New Roman"/>
          <w:color w:val="000000" w:themeColor="text1"/>
          <w:sz w:val="20"/>
          <w:szCs w:val="20"/>
        </w:rPr>
      </w:pPr>
    </w:p>
    <w:p w14:paraId="2E4936EB" w14:textId="4437A8FF" w:rsidR="00DD7FDE" w:rsidRDefault="00DD7FDE" w:rsidP="00B65AB3">
      <w:pPr>
        <w:pStyle w:val="NormalWeb"/>
        <w:spacing w:before="0" w:beforeAutospacing="0" w:after="0" w:afterAutospacing="0"/>
        <w:ind w:firstLine="720"/>
        <w:jc w:val="both"/>
        <w:rPr>
          <w:sz w:val="22"/>
          <w:szCs w:val="22"/>
        </w:rPr>
      </w:pPr>
      <w:r>
        <w:t xml:space="preserve">On </w:t>
      </w:r>
      <w:r w:rsidR="00CC1F68">
        <w:t>July 7, 2020</w:t>
      </w:r>
      <w:r>
        <w:t xml:space="preserve">, the Company issued a press release announcing the </w:t>
      </w:r>
      <w:r w:rsidR="00F00525">
        <w:t xml:space="preserve">Distribution </w:t>
      </w:r>
      <w:r>
        <w:t xml:space="preserve">Agreement and </w:t>
      </w:r>
      <w:r w:rsidR="007E59F0">
        <w:t xml:space="preserve">initial </w:t>
      </w:r>
      <w:r w:rsidR="00CC1F68">
        <w:t xml:space="preserve">sale of </w:t>
      </w:r>
      <w:r w:rsidR="007E59F0">
        <w:t xml:space="preserve">product pursuant thereto which sale amount equaled approximately </w:t>
      </w:r>
      <w:r w:rsidR="008D65BE">
        <w:t>$14,000</w:t>
      </w:r>
      <w:r>
        <w:t>. A copy of the press release is furnished as Exhibit 99.1 to this Current Report on Form 8-K.</w:t>
      </w:r>
    </w:p>
    <w:p w14:paraId="49CCACAA" w14:textId="77777777" w:rsidR="00DD7FDE" w:rsidRDefault="00DD7FDE" w:rsidP="00DD7FDE">
      <w:pPr>
        <w:pStyle w:val="NormalWeb"/>
        <w:spacing w:before="0" w:beforeAutospacing="0" w:after="0" w:afterAutospacing="0"/>
        <w:rPr>
          <w:sz w:val="22"/>
          <w:szCs w:val="22"/>
        </w:rPr>
      </w:pPr>
      <w:r>
        <w:rPr>
          <w:b/>
          <w:bCs/>
        </w:rPr>
        <w:t> </w:t>
      </w:r>
    </w:p>
    <w:p w14:paraId="4C08C0B0" w14:textId="77777777" w:rsidR="00DD7FDE" w:rsidRDefault="00DD7FDE" w:rsidP="00DD7FDE">
      <w:pPr>
        <w:pStyle w:val="NormalWeb"/>
        <w:spacing w:before="0" w:beforeAutospacing="0" w:after="0" w:afterAutospacing="0"/>
        <w:rPr>
          <w:sz w:val="22"/>
          <w:szCs w:val="22"/>
        </w:rPr>
      </w:pPr>
      <w:r>
        <w:rPr>
          <w:b/>
          <w:bCs/>
        </w:rPr>
        <w:t>Item 9.01 Financial Statements and Exhibits</w:t>
      </w:r>
    </w:p>
    <w:p w14:paraId="06D4EBFE" w14:textId="77777777" w:rsidR="00DD7FDE" w:rsidRDefault="00DD7FDE" w:rsidP="00DD7FDE">
      <w:pPr>
        <w:pStyle w:val="NormalWeb"/>
        <w:spacing w:before="0" w:beforeAutospacing="0" w:after="0" w:afterAutospacing="0"/>
        <w:rPr>
          <w:sz w:val="22"/>
          <w:szCs w:val="22"/>
        </w:rPr>
      </w:pPr>
      <w:r>
        <w:t> </w:t>
      </w:r>
    </w:p>
    <w:p w14:paraId="316E30C3" w14:textId="77777777" w:rsidR="00DD7FDE" w:rsidRDefault="00DD7FDE" w:rsidP="00DD7FDE">
      <w:pPr>
        <w:pStyle w:val="NormalWeb"/>
        <w:spacing w:before="0" w:beforeAutospacing="0" w:after="0" w:afterAutospacing="0"/>
        <w:rPr>
          <w:rFonts w:ascii="Calibri" w:hAnsi="Calibri" w:cs="Calibri"/>
          <w:sz w:val="22"/>
          <w:szCs w:val="22"/>
        </w:rPr>
      </w:pPr>
      <w: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rsidR="00DD7FDE" w14:paraId="5AB73F73" w14:textId="77777777" w:rsidTr="00DD7FDE">
        <w:trPr>
          <w:tblCellSpacing w:w="0" w:type="dxa"/>
        </w:trPr>
        <w:tc>
          <w:tcPr>
            <w:tcW w:w="720" w:type="dxa"/>
            <w:hideMark/>
          </w:tcPr>
          <w:p w14:paraId="6B51793C" w14:textId="77777777" w:rsidR="00DD7FDE" w:rsidRDefault="00DD7FDE">
            <w:pPr>
              <w:rPr>
                <w:rFonts w:ascii="Times New Roman" w:hAnsi="Times New Roman" w:cs="Times New Roman"/>
              </w:rPr>
            </w:pPr>
            <w:r>
              <w:rPr>
                <w:sz w:val="20"/>
                <w:szCs w:val="20"/>
              </w:rPr>
              <w:t> </w:t>
            </w:r>
          </w:p>
        </w:tc>
        <w:tc>
          <w:tcPr>
            <w:tcW w:w="360" w:type="dxa"/>
            <w:hideMark/>
          </w:tcPr>
          <w:p w14:paraId="2FA4EF2E" w14:textId="77777777" w:rsidR="00DD7FDE" w:rsidRDefault="00DD7FDE">
            <w:pPr>
              <w:rPr>
                <w:rFonts w:ascii="Calibri" w:hAnsi="Calibri" w:cs="Calibri"/>
                <w:sz w:val="22"/>
                <w:szCs w:val="22"/>
              </w:rPr>
            </w:pPr>
            <w:r>
              <w:rPr>
                <w:sz w:val="20"/>
                <w:szCs w:val="20"/>
              </w:rPr>
              <w:t>(d)</w:t>
            </w:r>
          </w:p>
        </w:tc>
        <w:tc>
          <w:tcPr>
            <w:tcW w:w="0" w:type="auto"/>
            <w:hideMark/>
          </w:tcPr>
          <w:p w14:paraId="65787F44" w14:textId="77777777" w:rsidR="00DD7FDE" w:rsidRDefault="00DD7FDE">
            <w:pPr>
              <w:rPr>
                <w:rFonts w:ascii="Calibri" w:hAnsi="Calibri" w:cs="Calibri"/>
                <w:sz w:val="22"/>
                <w:szCs w:val="22"/>
              </w:rPr>
            </w:pPr>
            <w:r>
              <w:rPr>
                <w:sz w:val="20"/>
                <w:szCs w:val="20"/>
              </w:rPr>
              <w:t>Exhibits:</w:t>
            </w:r>
          </w:p>
        </w:tc>
      </w:tr>
    </w:tbl>
    <w:p w14:paraId="430A0042" w14:textId="77777777" w:rsidR="00DD7FDE" w:rsidRDefault="00DD7FDE" w:rsidP="00DD7FDE">
      <w:pPr>
        <w:pStyle w:val="NormalWeb"/>
        <w:spacing w:before="0" w:beforeAutospacing="0" w:after="0" w:afterAutospacing="0"/>
        <w:rPr>
          <w:rFonts w:ascii="Calibri" w:hAnsi="Calibri" w:cs="Calibri"/>
          <w:sz w:val="22"/>
          <w:szCs w:val="22"/>
        </w:rPr>
      </w:pPr>
      <w:r>
        <w:t> </w:t>
      </w:r>
    </w:p>
    <w:tbl>
      <w:tblPr>
        <w:tblW w:w="5000" w:type="pct"/>
        <w:tblCellMar>
          <w:left w:w="0" w:type="dxa"/>
          <w:right w:w="0" w:type="dxa"/>
        </w:tblCellMar>
        <w:tblLook w:val="04A0" w:firstRow="1" w:lastRow="0" w:firstColumn="1" w:lastColumn="0" w:noHBand="0" w:noVBand="1"/>
      </w:tblPr>
      <w:tblGrid>
        <w:gridCol w:w="2707"/>
        <w:gridCol w:w="110"/>
        <w:gridCol w:w="109"/>
        <w:gridCol w:w="2934"/>
        <w:gridCol w:w="109"/>
        <w:gridCol w:w="3391"/>
      </w:tblGrid>
      <w:tr w:rsidR="00DD7FDE" w14:paraId="795A11E4" w14:textId="77777777" w:rsidTr="00DD7FDE">
        <w:tc>
          <w:tcPr>
            <w:tcW w:w="0" w:type="auto"/>
            <w:vAlign w:val="bottom"/>
            <w:hideMark/>
          </w:tcPr>
          <w:p w14:paraId="71B8C9E0" w14:textId="77777777" w:rsidR="00DD7FDE" w:rsidRDefault="00DD7FDE">
            <w:pPr>
              <w:rPr>
                <w:rFonts w:ascii="Calibri" w:hAnsi="Calibri" w:cs="Calibri"/>
                <w:sz w:val="22"/>
                <w:szCs w:val="22"/>
              </w:rPr>
            </w:pPr>
            <w:r>
              <w:rPr>
                <w:sz w:val="20"/>
                <w:szCs w:val="20"/>
              </w:rPr>
              <w:t> </w:t>
            </w:r>
          </w:p>
        </w:tc>
        <w:tc>
          <w:tcPr>
            <w:tcW w:w="0" w:type="auto"/>
            <w:vAlign w:val="bottom"/>
            <w:hideMark/>
          </w:tcPr>
          <w:p w14:paraId="592597C6" w14:textId="77777777" w:rsidR="00DD7FDE" w:rsidRDefault="00DD7FDE">
            <w:pPr>
              <w:rPr>
                <w:rFonts w:ascii="Calibri" w:hAnsi="Calibri" w:cs="Calibri"/>
                <w:sz w:val="22"/>
                <w:szCs w:val="22"/>
              </w:rPr>
            </w:pPr>
            <w:r>
              <w:rPr>
                <w:sz w:val="20"/>
                <w:szCs w:val="20"/>
              </w:rPr>
              <w:t> </w:t>
            </w:r>
          </w:p>
        </w:tc>
        <w:tc>
          <w:tcPr>
            <w:tcW w:w="0" w:type="auto"/>
            <w:vAlign w:val="bottom"/>
            <w:hideMark/>
          </w:tcPr>
          <w:p w14:paraId="123C7B72" w14:textId="77777777" w:rsidR="00DD7FDE" w:rsidRDefault="00DD7FDE">
            <w:pPr>
              <w:rPr>
                <w:rFonts w:ascii="Calibri" w:hAnsi="Calibri" w:cs="Calibri"/>
                <w:sz w:val="22"/>
                <w:szCs w:val="22"/>
              </w:rPr>
            </w:pPr>
            <w:r>
              <w:rPr>
                <w:sz w:val="20"/>
                <w:szCs w:val="20"/>
              </w:rPr>
              <w:t> </w:t>
            </w:r>
          </w:p>
        </w:tc>
        <w:tc>
          <w:tcPr>
            <w:tcW w:w="0" w:type="auto"/>
            <w:vAlign w:val="bottom"/>
            <w:hideMark/>
          </w:tcPr>
          <w:p w14:paraId="35588933" w14:textId="77777777" w:rsidR="00DD7FDE" w:rsidRDefault="00DD7FDE">
            <w:pPr>
              <w:rPr>
                <w:rFonts w:ascii="Calibri" w:hAnsi="Calibri" w:cs="Calibri"/>
                <w:sz w:val="22"/>
                <w:szCs w:val="22"/>
              </w:rPr>
            </w:pPr>
            <w:r>
              <w:rPr>
                <w:sz w:val="20"/>
                <w:szCs w:val="20"/>
              </w:rPr>
              <w:t> </w:t>
            </w:r>
          </w:p>
        </w:tc>
        <w:tc>
          <w:tcPr>
            <w:tcW w:w="0" w:type="auto"/>
            <w:vAlign w:val="bottom"/>
            <w:hideMark/>
          </w:tcPr>
          <w:p w14:paraId="209439A1" w14:textId="77777777" w:rsidR="00DD7FDE" w:rsidRDefault="00DD7FDE">
            <w:pPr>
              <w:rPr>
                <w:rFonts w:ascii="Calibri" w:hAnsi="Calibri" w:cs="Calibri"/>
                <w:sz w:val="22"/>
                <w:szCs w:val="22"/>
              </w:rPr>
            </w:pPr>
            <w:r>
              <w:rPr>
                <w:sz w:val="20"/>
                <w:szCs w:val="20"/>
              </w:rPr>
              <w:t> </w:t>
            </w:r>
          </w:p>
        </w:tc>
        <w:tc>
          <w:tcPr>
            <w:tcW w:w="0" w:type="auto"/>
            <w:vAlign w:val="bottom"/>
            <w:hideMark/>
          </w:tcPr>
          <w:p w14:paraId="71738FA1" w14:textId="77777777" w:rsidR="00DD7FDE" w:rsidRDefault="00DD7FDE">
            <w:pPr>
              <w:rPr>
                <w:rFonts w:ascii="Calibri" w:hAnsi="Calibri" w:cs="Calibri"/>
                <w:sz w:val="22"/>
                <w:szCs w:val="22"/>
              </w:rPr>
            </w:pPr>
            <w:r>
              <w:rPr>
                <w:sz w:val="20"/>
                <w:szCs w:val="20"/>
              </w:rPr>
              <w:t> </w:t>
            </w:r>
          </w:p>
        </w:tc>
      </w:tr>
      <w:tr w:rsidR="00DD7FDE" w14:paraId="0C82D751" w14:textId="77777777" w:rsidTr="00DD7FDE">
        <w:tc>
          <w:tcPr>
            <w:tcW w:w="0" w:type="auto"/>
            <w:tcBorders>
              <w:bottom w:val="single" w:sz="12" w:space="0" w:color="000000"/>
            </w:tcBorders>
            <w:vAlign w:val="bottom"/>
            <w:hideMark/>
          </w:tcPr>
          <w:p w14:paraId="0F6D4228" w14:textId="77777777" w:rsidR="00DD7FDE" w:rsidRDefault="00DD7FDE">
            <w:pPr>
              <w:rPr>
                <w:rFonts w:ascii="Calibri" w:hAnsi="Calibri" w:cs="Calibri"/>
                <w:sz w:val="22"/>
                <w:szCs w:val="22"/>
              </w:rPr>
            </w:pPr>
            <w:r>
              <w:rPr>
                <w:b/>
                <w:bCs/>
                <w:sz w:val="20"/>
                <w:szCs w:val="20"/>
              </w:rPr>
              <w:t>EXHIBIT NO.</w:t>
            </w:r>
          </w:p>
        </w:tc>
        <w:tc>
          <w:tcPr>
            <w:tcW w:w="0" w:type="auto"/>
            <w:vAlign w:val="bottom"/>
            <w:hideMark/>
          </w:tcPr>
          <w:p w14:paraId="6D8FA26A" w14:textId="77777777" w:rsidR="00DD7FDE" w:rsidRDefault="00DD7FDE">
            <w:pPr>
              <w:rPr>
                <w:rFonts w:ascii="Calibri" w:hAnsi="Calibri" w:cs="Calibri"/>
                <w:sz w:val="22"/>
                <w:szCs w:val="22"/>
              </w:rPr>
            </w:pPr>
            <w:r>
              <w:rPr>
                <w:sz w:val="20"/>
                <w:szCs w:val="20"/>
              </w:rPr>
              <w:t> </w:t>
            </w:r>
          </w:p>
        </w:tc>
        <w:tc>
          <w:tcPr>
            <w:tcW w:w="0" w:type="auto"/>
            <w:vAlign w:val="bottom"/>
            <w:hideMark/>
          </w:tcPr>
          <w:p w14:paraId="3A56AAF4" w14:textId="77777777" w:rsidR="00DD7FDE" w:rsidRDefault="00DD7FDE">
            <w:pPr>
              <w:rPr>
                <w:rFonts w:ascii="Calibri" w:hAnsi="Calibri" w:cs="Calibri"/>
                <w:sz w:val="22"/>
                <w:szCs w:val="22"/>
              </w:rPr>
            </w:pPr>
            <w:r>
              <w:rPr>
                <w:sz w:val="20"/>
                <w:szCs w:val="20"/>
              </w:rPr>
              <w:t> </w:t>
            </w:r>
          </w:p>
        </w:tc>
        <w:tc>
          <w:tcPr>
            <w:tcW w:w="0" w:type="auto"/>
            <w:tcBorders>
              <w:bottom w:val="single" w:sz="12" w:space="0" w:color="000000"/>
            </w:tcBorders>
            <w:vAlign w:val="bottom"/>
            <w:hideMark/>
          </w:tcPr>
          <w:p w14:paraId="29E92297" w14:textId="77777777" w:rsidR="00DD7FDE" w:rsidRDefault="00DD7FDE">
            <w:pPr>
              <w:rPr>
                <w:rFonts w:ascii="Calibri" w:hAnsi="Calibri" w:cs="Calibri"/>
                <w:sz w:val="22"/>
                <w:szCs w:val="22"/>
              </w:rPr>
            </w:pPr>
            <w:r>
              <w:rPr>
                <w:b/>
                <w:bCs/>
                <w:sz w:val="20"/>
                <w:szCs w:val="20"/>
              </w:rPr>
              <w:t>DESCRIPTION</w:t>
            </w:r>
          </w:p>
        </w:tc>
        <w:tc>
          <w:tcPr>
            <w:tcW w:w="0" w:type="auto"/>
            <w:vAlign w:val="bottom"/>
            <w:hideMark/>
          </w:tcPr>
          <w:p w14:paraId="6FE0CD6D" w14:textId="77777777" w:rsidR="00DD7FDE" w:rsidRDefault="00DD7FDE">
            <w:pPr>
              <w:rPr>
                <w:rFonts w:ascii="Calibri" w:hAnsi="Calibri" w:cs="Calibri"/>
                <w:sz w:val="22"/>
                <w:szCs w:val="22"/>
              </w:rPr>
            </w:pPr>
            <w:r>
              <w:rPr>
                <w:sz w:val="20"/>
                <w:szCs w:val="20"/>
              </w:rPr>
              <w:t> </w:t>
            </w:r>
          </w:p>
        </w:tc>
        <w:tc>
          <w:tcPr>
            <w:tcW w:w="0" w:type="auto"/>
            <w:tcBorders>
              <w:bottom w:val="single" w:sz="12" w:space="0" w:color="000000"/>
            </w:tcBorders>
            <w:vAlign w:val="bottom"/>
            <w:hideMark/>
          </w:tcPr>
          <w:p w14:paraId="1E35AEE2" w14:textId="77777777" w:rsidR="00DD7FDE" w:rsidRDefault="00DD7FDE">
            <w:pPr>
              <w:rPr>
                <w:rFonts w:ascii="Calibri" w:hAnsi="Calibri" w:cs="Calibri"/>
                <w:sz w:val="22"/>
                <w:szCs w:val="22"/>
              </w:rPr>
            </w:pPr>
            <w:r>
              <w:rPr>
                <w:b/>
                <w:bCs/>
                <w:sz w:val="20"/>
                <w:szCs w:val="20"/>
              </w:rPr>
              <w:t>LOCATION</w:t>
            </w:r>
          </w:p>
        </w:tc>
      </w:tr>
      <w:tr w:rsidR="00DD7FDE" w14:paraId="7E5D7237" w14:textId="77777777" w:rsidTr="00DD7FDE">
        <w:tc>
          <w:tcPr>
            <w:tcW w:w="0" w:type="auto"/>
            <w:vAlign w:val="bottom"/>
            <w:hideMark/>
          </w:tcPr>
          <w:p w14:paraId="000BD116" w14:textId="7683D5AF" w:rsidR="00DD7FDE" w:rsidRDefault="00DD7FDE">
            <w:pPr>
              <w:rPr>
                <w:rFonts w:ascii="Calibri" w:hAnsi="Calibri" w:cs="Calibri"/>
                <w:sz w:val="22"/>
                <w:szCs w:val="22"/>
              </w:rPr>
            </w:pPr>
            <w:r w:rsidRPr="00DD7FDE">
              <w:rPr>
                <w:sz w:val="20"/>
                <w:szCs w:val="20"/>
              </w:rPr>
              <w:t>99.1</w:t>
            </w:r>
          </w:p>
        </w:tc>
        <w:tc>
          <w:tcPr>
            <w:tcW w:w="0" w:type="auto"/>
            <w:vAlign w:val="bottom"/>
            <w:hideMark/>
          </w:tcPr>
          <w:p w14:paraId="6060E606" w14:textId="77777777" w:rsidR="00DD7FDE" w:rsidRDefault="00DD7FDE">
            <w:pPr>
              <w:rPr>
                <w:rFonts w:ascii="Calibri" w:hAnsi="Calibri" w:cs="Calibri"/>
                <w:sz w:val="22"/>
                <w:szCs w:val="22"/>
              </w:rPr>
            </w:pPr>
            <w:r>
              <w:rPr>
                <w:sz w:val="20"/>
                <w:szCs w:val="20"/>
              </w:rPr>
              <w:t> </w:t>
            </w:r>
          </w:p>
        </w:tc>
        <w:tc>
          <w:tcPr>
            <w:tcW w:w="0" w:type="auto"/>
            <w:vAlign w:val="bottom"/>
            <w:hideMark/>
          </w:tcPr>
          <w:p w14:paraId="00655465" w14:textId="77777777" w:rsidR="00DD7FDE" w:rsidRDefault="00DD7FDE">
            <w:pPr>
              <w:rPr>
                <w:rFonts w:ascii="Calibri" w:hAnsi="Calibri" w:cs="Calibri"/>
                <w:sz w:val="22"/>
                <w:szCs w:val="22"/>
              </w:rPr>
            </w:pPr>
            <w:r>
              <w:rPr>
                <w:sz w:val="20"/>
                <w:szCs w:val="20"/>
              </w:rPr>
              <w:t> </w:t>
            </w:r>
          </w:p>
        </w:tc>
        <w:tc>
          <w:tcPr>
            <w:tcW w:w="0" w:type="auto"/>
            <w:vAlign w:val="bottom"/>
            <w:hideMark/>
          </w:tcPr>
          <w:p w14:paraId="4A634A22" w14:textId="241EA1AF" w:rsidR="00DD7FDE" w:rsidRDefault="00DD7FDE">
            <w:pPr>
              <w:rPr>
                <w:rFonts w:ascii="Calibri" w:hAnsi="Calibri" w:cs="Calibri"/>
                <w:sz w:val="22"/>
                <w:szCs w:val="22"/>
              </w:rPr>
            </w:pPr>
            <w:r w:rsidRPr="00DD7FDE">
              <w:rPr>
                <w:sz w:val="20"/>
                <w:szCs w:val="20"/>
              </w:rPr>
              <w:t xml:space="preserve">Press Release </w:t>
            </w:r>
          </w:p>
        </w:tc>
        <w:tc>
          <w:tcPr>
            <w:tcW w:w="0" w:type="auto"/>
            <w:vAlign w:val="bottom"/>
            <w:hideMark/>
          </w:tcPr>
          <w:p w14:paraId="5E1FD0F8" w14:textId="77777777" w:rsidR="00DD7FDE" w:rsidRDefault="00DD7FDE">
            <w:pPr>
              <w:rPr>
                <w:rFonts w:ascii="Calibri" w:hAnsi="Calibri" w:cs="Calibri"/>
                <w:sz w:val="22"/>
                <w:szCs w:val="22"/>
              </w:rPr>
            </w:pPr>
            <w:r>
              <w:rPr>
                <w:sz w:val="20"/>
                <w:szCs w:val="20"/>
              </w:rPr>
              <w:t> </w:t>
            </w:r>
          </w:p>
        </w:tc>
        <w:tc>
          <w:tcPr>
            <w:tcW w:w="0" w:type="auto"/>
            <w:vAlign w:val="bottom"/>
            <w:hideMark/>
          </w:tcPr>
          <w:p w14:paraId="05A0A16C" w14:textId="3E5B2DCD" w:rsidR="00DD7FDE" w:rsidRDefault="00DD7FDE">
            <w:pPr>
              <w:rPr>
                <w:rFonts w:ascii="Calibri" w:hAnsi="Calibri" w:cs="Calibri"/>
                <w:sz w:val="22"/>
                <w:szCs w:val="22"/>
              </w:rPr>
            </w:pPr>
            <w:r w:rsidRPr="00DD7FDE">
              <w:rPr>
                <w:sz w:val="20"/>
                <w:szCs w:val="20"/>
              </w:rPr>
              <w:t>Furnished herewith</w:t>
            </w:r>
          </w:p>
        </w:tc>
      </w:tr>
    </w:tbl>
    <w:p w14:paraId="61F39AD8" w14:textId="58297845" w:rsidR="00F00525" w:rsidRDefault="00DD7FDE" w:rsidP="00DD7FDE">
      <w:pPr>
        <w:pStyle w:val="NormalWeb"/>
        <w:spacing w:before="0" w:beforeAutospacing="0" w:after="0" w:afterAutospacing="0"/>
        <w:ind w:firstLine="720"/>
        <w:jc w:val="both"/>
      </w:pPr>
      <w:r>
        <w:t> </w:t>
      </w:r>
    </w:p>
    <w:p w14:paraId="70FA94C0" w14:textId="5044E005" w:rsidR="00DD7FDE" w:rsidRPr="00EC3CBC" w:rsidRDefault="00F00525" w:rsidP="00EC3CBC">
      <w:pPr>
        <w:rPr>
          <w:rFonts w:ascii="Times New Roman" w:hAnsi="Times New Roman" w:cs="Times New Roman"/>
          <w:sz w:val="20"/>
          <w:szCs w:val="20"/>
        </w:rPr>
      </w:pPr>
      <w:r>
        <w:br w:type="page"/>
      </w:r>
    </w:p>
    <w:p w14:paraId="5384CA23"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lastRenderedPageBreak/>
        <w:t> </w:t>
      </w:r>
    </w:p>
    <w:p w14:paraId="284B87D1" w14:textId="77777777" w:rsidR="00EF1718" w:rsidRPr="00DD7FDE" w:rsidRDefault="00EF1718" w:rsidP="00EF1718">
      <w:pPr>
        <w:spacing w:after="0"/>
        <w:jc w:val="center"/>
        <w:rPr>
          <w:rFonts w:ascii="Times New Roman" w:hAnsi="Times New Roman" w:cs="Times New Roman"/>
          <w:sz w:val="20"/>
          <w:szCs w:val="20"/>
        </w:rPr>
      </w:pPr>
      <w:r w:rsidRPr="00DD7FDE">
        <w:rPr>
          <w:rFonts w:ascii="Times New Roman" w:hAnsi="Times New Roman" w:cs="Times New Roman"/>
          <w:b/>
          <w:bCs/>
          <w:sz w:val="20"/>
          <w:szCs w:val="20"/>
        </w:rPr>
        <w:t>SIGNATURES</w:t>
      </w:r>
    </w:p>
    <w:p w14:paraId="74A6345D" w14:textId="77777777" w:rsidR="00EF1718" w:rsidRPr="00DD7FDE" w:rsidRDefault="00EF1718" w:rsidP="00EF1718">
      <w:pPr>
        <w:spacing w:after="0"/>
        <w:rPr>
          <w:rFonts w:ascii="Times New Roman" w:hAnsi="Times New Roman" w:cs="Times New Roman"/>
          <w:sz w:val="20"/>
          <w:szCs w:val="20"/>
        </w:rPr>
      </w:pPr>
      <w:r w:rsidRPr="00DD7FDE">
        <w:rPr>
          <w:rFonts w:ascii="Times New Roman" w:hAnsi="Times New Roman" w:cs="Times New Roman"/>
          <w:sz w:val="20"/>
          <w:szCs w:val="20"/>
        </w:rPr>
        <w:t> </w:t>
      </w:r>
    </w:p>
    <w:p w14:paraId="2733D304" w14:textId="77777777" w:rsidR="00EF1718" w:rsidRPr="00DD7FDE" w:rsidRDefault="00EF1718" w:rsidP="00EF1718">
      <w:pPr>
        <w:spacing w:after="240"/>
        <w:ind w:firstLine="720"/>
        <w:jc w:val="both"/>
        <w:rPr>
          <w:rFonts w:ascii="Times New Roman" w:hAnsi="Times New Roman" w:cs="Times New Roman"/>
          <w:sz w:val="20"/>
          <w:szCs w:val="20"/>
        </w:rPr>
      </w:pPr>
      <w:r w:rsidRPr="00DD7FDE">
        <w:rPr>
          <w:rFonts w:ascii="Times New Roman" w:hAnsi="Times New Roman" w:cs="Times New Roman"/>
          <w:sz w:val="20"/>
          <w:szCs w:val="20"/>
        </w:rPr>
        <w:t>Pursuant to the requirements of the Securities Exchange Act of 1934, the registrant has duly caused this report to be signed on its behalf by the undersigned hereunto duly authorized.</w:t>
      </w:r>
    </w:p>
    <w:tbl>
      <w:tblPr>
        <w:tblW w:w="20172" w:type="dxa"/>
        <w:tblCellSpacing w:w="0" w:type="dxa"/>
        <w:tblCellMar>
          <w:left w:w="0" w:type="dxa"/>
          <w:right w:w="0" w:type="dxa"/>
        </w:tblCellMar>
        <w:tblLook w:val="04A0" w:firstRow="1" w:lastRow="0" w:firstColumn="1" w:lastColumn="0" w:noHBand="0" w:noVBand="1"/>
      </w:tblPr>
      <w:tblGrid>
        <w:gridCol w:w="12103"/>
        <w:gridCol w:w="1210"/>
        <w:gridCol w:w="6859"/>
      </w:tblGrid>
      <w:tr w:rsidR="00EF1718" w:rsidRPr="00DD7FDE" w14:paraId="5F01C8AF" w14:textId="77777777" w:rsidTr="00EC3CBC">
        <w:trPr>
          <w:tblCellSpacing w:w="0" w:type="dxa"/>
        </w:trPr>
        <w:tc>
          <w:tcPr>
            <w:tcW w:w="0" w:type="auto"/>
            <w:hideMark/>
          </w:tcPr>
          <w:p w14:paraId="0A33046B" w14:textId="77777777" w:rsidR="00EF1718" w:rsidRPr="00DD7FDE" w:rsidRDefault="00EF1718"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0" w:type="auto"/>
            <w:gridSpan w:val="2"/>
            <w:vAlign w:val="center"/>
            <w:hideMark/>
          </w:tcPr>
          <w:p w14:paraId="623D26AE" w14:textId="77777777" w:rsidR="00EF1718" w:rsidRPr="00DD7FDE" w:rsidRDefault="00EF1718"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b/>
                <w:bCs/>
                <w:sz w:val="20"/>
                <w:szCs w:val="20"/>
              </w:rPr>
              <w:t>Enochian Biosciences, Inc.</w:t>
            </w:r>
          </w:p>
        </w:tc>
      </w:tr>
      <w:tr w:rsidR="00EF1718" w:rsidRPr="00DD7FDE" w14:paraId="4FAA036F" w14:textId="77777777" w:rsidTr="00EC3CBC">
        <w:trPr>
          <w:tblCellSpacing w:w="0" w:type="dxa"/>
        </w:trPr>
        <w:tc>
          <w:tcPr>
            <w:tcW w:w="0" w:type="auto"/>
            <w:hideMark/>
          </w:tcPr>
          <w:p w14:paraId="5D60F644" w14:textId="77777777" w:rsidR="00EF1718" w:rsidRPr="00DD7FDE" w:rsidRDefault="00EF1718"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0" w:type="auto"/>
            <w:gridSpan w:val="2"/>
            <w:vAlign w:val="center"/>
            <w:hideMark/>
          </w:tcPr>
          <w:p w14:paraId="6BD46EC2" w14:textId="77777777" w:rsidR="00EF1718" w:rsidRPr="00DD7FDE" w:rsidRDefault="00EF1718" w:rsidP="00EF1718">
            <w:pPr>
              <w:spacing w:after="0"/>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r>
      <w:tr w:rsidR="00EF1718" w:rsidRPr="00DD7FDE" w14:paraId="03B4D321" w14:textId="77777777" w:rsidTr="00EC3CBC">
        <w:trPr>
          <w:tblCellSpacing w:w="0" w:type="dxa"/>
        </w:trPr>
        <w:tc>
          <w:tcPr>
            <w:tcW w:w="12103" w:type="dxa"/>
            <w:hideMark/>
          </w:tcPr>
          <w:p w14:paraId="1B53AE9B" w14:textId="4C3B6269" w:rsidR="00EF1718" w:rsidRPr="00DD7FDE" w:rsidRDefault="00B5689D"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xml:space="preserve">Date: </w:t>
            </w:r>
            <w:r w:rsidR="00F05284">
              <w:rPr>
                <w:rFonts w:ascii="Times New Roman" w:eastAsia="Times New Roman" w:hAnsi="Times New Roman" w:cs="Times New Roman"/>
                <w:sz w:val="20"/>
                <w:szCs w:val="20"/>
              </w:rPr>
              <w:t>July 7, 2020</w:t>
            </w:r>
          </w:p>
          <w:p w14:paraId="745E27C1" w14:textId="77777777" w:rsidR="00F46262" w:rsidRPr="00DD7FDE" w:rsidRDefault="00F46262" w:rsidP="00EF1718">
            <w:pPr>
              <w:spacing w:after="0" w:line="253" w:lineRule="atLeast"/>
              <w:rPr>
                <w:rFonts w:ascii="Times New Roman" w:eastAsia="Times New Roman" w:hAnsi="Times New Roman" w:cs="Times New Roman"/>
                <w:sz w:val="20"/>
                <w:szCs w:val="20"/>
              </w:rPr>
            </w:pPr>
          </w:p>
          <w:p w14:paraId="746B32E1" w14:textId="3394409B" w:rsidR="00F46262" w:rsidRPr="00DD7FDE" w:rsidRDefault="00F46262" w:rsidP="00EF1718">
            <w:pPr>
              <w:spacing w:after="0" w:line="253" w:lineRule="atLeast"/>
              <w:rPr>
                <w:rFonts w:ascii="Times New Roman" w:eastAsia="Times New Roman" w:hAnsi="Times New Roman" w:cs="Times New Roman"/>
                <w:sz w:val="20"/>
                <w:szCs w:val="20"/>
              </w:rPr>
            </w:pPr>
          </w:p>
          <w:p w14:paraId="4F8BE71C" w14:textId="77777777" w:rsidR="00F46262" w:rsidRPr="00DD7FDE" w:rsidRDefault="00F46262" w:rsidP="00EF1718">
            <w:pPr>
              <w:spacing w:after="0" w:line="253" w:lineRule="atLeast"/>
              <w:rPr>
                <w:rFonts w:ascii="Times New Roman" w:eastAsia="Times New Roman" w:hAnsi="Times New Roman" w:cs="Times New Roman"/>
                <w:sz w:val="20"/>
                <w:szCs w:val="20"/>
              </w:rPr>
            </w:pPr>
          </w:p>
          <w:p w14:paraId="452E034D" w14:textId="77777777" w:rsidR="00F46262" w:rsidRPr="00DD7FDE" w:rsidRDefault="00F46262" w:rsidP="00EF1718">
            <w:pPr>
              <w:spacing w:after="0" w:line="253" w:lineRule="atLeast"/>
              <w:rPr>
                <w:rFonts w:ascii="Times New Roman" w:eastAsia="Times New Roman" w:hAnsi="Times New Roman" w:cs="Times New Roman"/>
                <w:sz w:val="20"/>
                <w:szCs w:val="20"/>
              </w:rPr>
            </w:pPr>
          </w:p>
          <w:p w14:paraId="11416A8E" w14:textId="6CFC62FB" w:rsidR="00F46262" w:rsidRPr="00DD7FDE" w:rsidRDefault="00B65AB3" w:rsidP="00EF1718">
            <w:pPr>
              <w:spacing w:after="0" w:line="253"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Advanced Oxygen Technologies, Inc.</w:t>
            </w:r>
          </w:p>
          <w:p w14:paraId="15A18B4D" w14:textId="77777777" w:rsidR="00F46262" w:rsidRPr="00DD7FDE" w:rsidRDefault="00F46262" w:rsidP="00EF1718">
            <w:pPr>
              <w:spacing w:after="0" w:line="253" w:lineRule="atLeast"/>
              <w:rPr>
                <w:rFonts w:ascii="Times New Roman" w:eastAsia="Times New Roman" w:hAnsi="Times New Roman" w:cs="Times New Roman"/>
                <w:sz w:val="20"/>
                <w:szCs w:val="20"/>
              </w:rPr>
            </w:pPr>
          </w:p>
          <w:p w14:paraId="5B2800D6" w14:textId="1D3B44E4" w:rsidR="00F46262" w:rsidRPr="00DD7FDE" w:rsidRDefault="00F46262"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/s/ Robert E.</w:t>
            </w:r>
            <w:r w:rsidR="00F05284">
              <w:rPr>
                <w:rFonts w:ascii="Times New Roman" w:eastAsia="Times New Roman" w:hAnsi="Times New Roman" w:cs="Times New Roman"/>
                <w:sz w:val="20"/>
                <w:szCs w:val="20"/>
              </w:rPr>
              <w:t xml:space="preserve"> </w:t>
            </w:r>
            <w:r w:rsidRPr="00DD7FDE">
              <w:rPr>
                <w:rFonts w:ascii="Times New Roman" w:eastAsia="Times New Roman" w:hAnsi="Times New Roman" w:cs="Times New Roman"/>
                <w:sz w:val="20"/>
                <w:szCs w:val="20"/>
              </w:rPr>
              <w:t>Wolfe</w:t>
            </w:r>
          </w:p>
          <w:p w14:paraId="41737125" w14:textId="77777777" w:rsidR="00F46262" w:rsidRPr="00DD7FDE" w:rsidRDefault="00F46262"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w:t>
            </w:r>
          </w:p>
          <w:p w14:paraId="3E4927F1" w14:textId="77777777" w:rsidR="00F46262" w:rsidRPr="00DD7FDE" w:rsidRDefault="00F46262"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xml:space="preserve">Robert </w:t>
            </w:r>
            <w:proofErr w:type="gramStart"/>
            <w:r w:rsidRPr="00DD7FDE">
              <w:rPr>
                <w:rFonts w:ascii="Times New Roman" w:eastAsia="Times New Roman" w:hAnsi="Times New Roman" w:cs="Times New Roman"/>
                <w:sz w:val="20"/>
                <w:szCs w:val="20"/>
              </w:rPr>
              <w:t>E.Wolfe</w:t>
            </w:r>
            <w:proofErr w:type="gramEnd"/>
            <w:r w:rsidRPr="00DD7FDE">
              <w:rPr>
                <w:rFonts w:ascii="Times New Roman" w:eastAsia="Times New Roman" w:hAnsi="Times New Roman" w:cs="Times New Roman"/>
                <w:sz w:val="20"/>
                <w:szCs w:val="20"/>
              </w:rPr>
              <w:t>, Chairman of the Board and</w:t>
            </w:r>
          </w:p>
          <w:p w14:paraId="48529603" w14:textId="168E2A08" w:rsidR="00F46262" w:rsidRPr="00DD7FDE" w:rsidRDefault="00F46262" w:rsidP="00EF1718">
            <w:pPr>
              <w:spacing w:after="0" w:line="253" w:lineRule="atLeas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xml:space="preserve">Chief </w:t>
            </w:r>
            <w:r w:rsidR="00DC57DE" w:rsidRPr="00DD7FDE">
              <w:rPr>
                <w:rFonts w:ascii="Times New Roman" w:eastAsia="Times New Roman" w:hAnsi="Times New Roman" w:cs="Times New Roman"/>
                <w:sz w:val="20"/>
                <w:szCs w:val="20"/>
              </w:rPr>
              <w:t>Executive</w:t>
            </w:r>
            <w:r w:rsidRPr="00DD7FDE">
              <w:rPr>
                <w:rFonts w:ascii="Times New Roman" w:eastAsia="Times New Roman" w:hAnsi="Times New Roman" w:cs="Times New Roman"/>
                <w:sz w:val="20"/>
                <w:szCs w:val="20"/>
              </w:rPr>
              <w:t xml:space="preserve"> </w:t>
            </w:r>
            <w:r w:rsidR="00DC57DE" w:rsidRPr="00DD7FDE">
              <w:rPr>
                <w:rFonts w:ascii="Times New Roman" w:eastAsia="Times New Roman" w:hAnsi="Times New Roman" w:cs="Times New Roman"/>
                <w:sz w:val="20"/>
                <w:szCs w:val="20"/>
              </w:rPr>
              <w:t>Officer</w:t>
            </w:r>
            <w:r w:rsidRPr="00DD7FDE">
              <w:rPr>
                <w:rFonts w:ascii="Times New Roman" w:eastAsia="Times New Roman" w:hAnsi="Times New Roman" w:cs="Times New Roman"/>
                <w:sz w:val="20"/>
                <w:szCs w:val="20"/>
              </w:rPr>
              <w:t xml:space="preserve"> and Principal Financial Officer</w:t>
            </w:r>
          </w:p>
        </w:tc>
        <w:tc>
          <w:tcPr>
            <w:tcW w:w="1210" w:type="dxa"/>
            <w:vAlign w:val="center"/>
            <w:hideMark/>
          </w:tcPr>
          <w:p w14:paraId="2351BF04" w14:textId="77777777" w:rsidR="00EF1718" w:rsidRPr="00DD7FDE" w:rsidRDefault="00EF1718" w:rsidP="00EF1718">
            <w:pPr>
              <w:spacing w:after="0"/>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6859" w:type="dxa"/>
            <w:hideMark/>
          </w:tcPr>
          <w:p w14:paraId="1219D2B3" w14:textId="77777777" w:rsidR="00EF1718" w:rsidRPr="00DD7FDE" w:rsidRDefault="00EF1718" w:rsidP="00EF1718">
            <w:pPr>
              <w:spacing w:after="0"/>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r>
    </w:tbl>
    <w:p w14:paraId="4B145202"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 </w:t>
      </w:r>
    </w:p>
    <w:tbl>
      <w:tblPr>
        <w:tblW w:w="20172" w:type="dxa"/>
        <w:tblCellMar>
          <w:left w:w="0" w:type="dxa"/>
          <w:right w:w="0" w:type="dxa"/>
        </w:tblCellMar>
        <w:tblLook w:val="04A0" w:firstRow="1" w:lastRow="0" w:firstColumn="1" w:lastColumn="0" w:noHBand="0" w:noVBand="1"/>
      </w:tblPr>
      <w:tblGrid>
        <w:gridCol w:w="6656"/>
        <w:gridCol w:w="6859"/>
        <w:gridCol w:w="6657"/>
      </w:tblGrid>
      <w:tr w:rsidR="00EF1718" w:rsidRPr="00DD7FDE" w14:paraId="7388DE27" w14:textId="77777777" w:rsidTr="00EF1718">
        <w:tc>
          <w:tcPr>
            <w:tcW w:w="6657" w:type="dxa"/>
            <w:hideMark/>
          </w:tcPr>
          <w:p w14:paraId="659AF955" w14:textId="77777777" w:rsidR="00EF1718" w:rsidRPr="00DD7FDE" w:rsidRDefault="00EF1718" w:rsidP="00EF1718">
            <w:pPr>
              <w:spacing w:after="0"/>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c>
          <w:tcPr>
            <w:tcW w:w="6859" w:type="dxa"/>
            <w:hideMark/>
          </w:tcPr>
          <w:p w14:paraId="055C0D38" w14:textId="237115BC" w:rsidR="00EF1718" w:rsidRPr="00DD7FDE" w:rsidRDefault="00EF1718" w:rsidP="00EF1718">
            <w:pPr>
              <w:spacing w:after="0"/>
              <w:jc w:val="center"/>
              <w:rPr>
                <w:rFonts w:ascii="Times New Roman" w:eastAsia="Times New Roman" w:hAnsi="Times New Roman" w:cs="Times New Roman"/>
                <w:sz w:val="20"/>
                <w:szCs w:val="20"/>
              </w:rPr>
            </w:pPr>
          </w:p>
        </w:tc>
        <w:tc>
          <w:tcPr>
            <w:tcW w:w="6657" w:type="dxa"/>
            <w:hideMark/>
          </w:tcPr>
          <w:p w14:paraId="3773E0EE" w14:textId="77777777" w:rsidR="00EF1718" w:rsidRPr="00DD7FDE" w:rsidRDefault="00EF1718" w:rsidP="00EF1718">
            <w:pPr>
              <w:spacing w:after="0"/>
              <w:jc w:val="right"/>
              <w:rPr>
                <w:rFonts w:ascii="Times New Roman" w:eastAsia="Times New Roman" w:hAnsi="Times New Roman" w:cs="Times New Roman"/>
                <w:sz w:val="20"/>
                <w:szCs w:val="20"/>
              </w:rPr>
            </w:pPr>
            <w:r w:rsidRPr="00DD7FDE">
              <w:rPr>
                <w:rFonts w:ascii="Times New Roman" w:eastAsia="Times New Roman" w:hAnsi="Times New Roman" w:cs="Times New Roman"/>
                <w:sz w:val="20"/>
                <w:szCs w:val="20"/>
              </w:rPr>
              <w:t> </w:t>
            </w:r>
          </w:p>
        </w:tc>
      </w:tr>
    </w:tbl>
    <w:p w14:paraId="64BF7A3F" w14:textId="77777777" w:rsidR="00EF1718" w:rsidRPr="00DD7FDE" w:rsidRDefault="00EF1718" w:rsidP="00EF1718">
      <w:pPr>
        <w:spacing w:after="0"/>
        <w:jc w:val="both"/>
        <w:rPr>
          <w:rFonts w:ascii="Times New Roman" w:hAnsi="Times New Roman" w:cs="Times New Roman"/>
          <w:sz w:val="20"/>
          <w:szCs w:val="20"/>
        </w:rPr>
      </w:pPr>
      <w:r w:rsidRPr="00DD7FDE">
        <w:rPr>
          <w:rFonts w:ascii="Times New Roman" w:hAnsi="Times New Roman" w:cs="Times New Roman"/>
          <w:sz w:val="20"/>
          <w:szCs w:val="20"/>
        </w:rPr>
        <w:t> </w:t>
      </w:r>
    </w:p>
    <w:p w14:paraId="414D95D9" w14:textId="265B2763" w:rsidR="00986A2D" w:rsidRDefault="00986A2D" w:rsidP="00986A2D">
      <w:pPr>
        <w:pStyle w:val="ListParagraph"/>
        <w:rPr>
          <w:rFonts w:ascii="Times New Roman" w:hAnsi="Times New Roman" w:cs="Times New Roman"/>
          <w:sz w:val="20"/>
          <w:szCs w:val="20"/>
        </w:rPr>
      </w:pPr>
    </w:p>
    <w:p w14:paraId="1202D842" w14:textId="122F26E8" w:rsidR="00EC3CBC" w:rsidRPr="00EC3CBC" w:rsidRDefault="00EC3CBC" w:rsidP="00EC3CBC"/>
    <w:p w14:paraId="35F45E56" w14:textId="7AD3CABA" w:rsidR="00EC3CBC" w:rsidRDefault="00EC3CBC" w:rsidP="00EC3CBC">
      <w:pPr>
        <w:rPr>
          <w:rFonts w:ascii="Times New Roman" w:hAnsi="Times New Roman" w:cs="Times New Roman"/>
          <w:sz w:val="20"/>
          <w:szCs w:val="20"/>
        </w:rPr>
      </w:pPr>
    </w:p>
    <w:p w14:paraId="2A153855" w14:textId="0B1EEAFA" w:rsidR="00EC3CBC" w:rsidRDefault="00EC3CBC">
      <w:r>
        <w:br w:type="page"/>
      </w:r>
    </w:p>
    <w:p w14:paraId="673D723A" w14:textId="77777777" w:rsidR="00EC3CBC" w:rsidRDefault="00EC3CBC" w:rsidP="00EC3CBC">
      <w:pPr>
        <w:pStyle w:val="NormalWeb"/>
        <w:spacing w:before="237" w:beforeAutospacing="0" w:after="0" w:afterAutospacing="0"/>
        <w:ind w:left="100"/>
      </w:pPr>
    </w:p>
    <w:p w14:paraId="3B54004D" w14:textId="77777777" w:rsidR="00EC3CBC" w:rsidRDefault="00EC3CBC" w:rsidP="00EC3CBC">
      <w:pPr>
        <w:pStyle w:val="NormalWeb"/>
        <w:spacing w:before="237" w:beforeAutospacing="0" w:after="0" w:afterAutospacing="0"/>
        <w:ind w:left="100"/>
        <w:jc w:val="center"/>
        <w:rPr>
          <w:b/>
          <w:bCs/>
          <w:sz w:val="22"/>
          <w:szCs w:val="22"/>
        </w:rPr>
      </w:pPr>
      <w:r>
        <w:rPr>
          <w:b/>
          <w:bCs/>
          <w:sz w:val="22"/>
          <w:szCs w:val="22"/>
        </w:rPr>
        <w:t>FOR IMMEDIATE RELEASE</w:t>
      </w:r>
    </w:p>
    <w:p w14:paraId="209C4CA9" w14:textId="77777777" w:rsidR="00EC3CBC" w:rsidRDefault="00EC3CBC" w:rsidP="00EC3CBC">
      <w:pPr>
        <w:pStyle w:val="NormalWeb"/>
        <w:spacing w:before="237" w:beforeAutospacing="0" w:after="0" w:afterAutospacing="0"/>
        <w:ind w:left="100"/>
        <w:jc w:val="center"/>
        <w:rPr>
          <w:b/>
          <w:bCs/>
          <w:sz w:val="22"/>
          <w:szCs w:val="22"/>
        </w:rPr>
      </w:pPr>
    </w:p>
    <w:p w14:paraId="2735BC33" w14:textId="77777777" w:rsidR="00EC3CBC" w:rsidRDefault="00EC3CBC" w:rsidP="00EC3CBC">
      <w:pPr>
        <w:pStyle w:val="NormalWeb"/>
        <w:spacing w:before="2" w:beforeAutospacing="0" w:after="0" w:afterAutospacing="0"/>
        <w:jc w:val="center"/>
        <w:rPr>
          <w:b/>
          <w:bCs/>
        </w:rPr>
      </w:pPr>
      <w:r>
        <w:rPr>
          <w:b/>
          <w:bCs/>
        </w:rPr>
        <w:t>Advanced Oxygen Technologies, Inc. Announces Distributorship Agreement and Initial Sales</w:t>
      </w:r>
    </w:p>
    <w:p w14:paraId="5381AAF8" w14:textId="77777777" w:rsidR="00EC3CBC" w:rsidRDefault="00EC3CBC" w:rsidP="00EC3CBC">
      <w:pPr>
        <w:pStyle w:val="NormalWeb"/>
        <w:spacing w:before="2" w:beforeAutospacing="0" w:after="0" w:afterAutospacing="0"/>
        <w:jc w:val="center"/>
        <w:rPr>
          <w:rFonts w:ascii="Arial" w:hAnsi="Arial" w:cs="Arial"/>
          <w:b/>
          <w:bCs/>
          <w:sz w:val="13"/>
          <w:szCs w:val="13"/>
        </w:rPr>
      </w:pPr>
    </w:p>
    <w:p w14:paraId="3088E002" w14:textId="77777777" w:rsidR="00EC3CBC" w:rsidRDefault="00EC3CBC" w:rsidP="00EC3CBC">
      <w:pPr>
        <w:pStyle w:val="NormalWeb"/>
        <w:spacing w:before="0" w:beforeAutospacing="0" w:after="0" w:afterAutospacing="0"/>
        <w:jc w:val="both"/>
        <w:rPr>
          <w:rFonts w:ascii="Arial" w:hAnsi="Arial" w:cs="Arial"/>
          <w:sz w:val="18"/>
          <w:szCs w:val="18"/>
        </w:rPr>
      </w:pPr>
      <w:r>
        <w:t>Randolph, VT, July 7, 2020 (GLOBE NEWSWIRE) -- Advanced Oxygen Technologies (OTC: AOXY) (the “Company”) announced today that through its indirect wholly owned subsidiary, Sharx DK ApS, the Company has entered into a Distribution Agreement with Cleaver ApS, a Danish Manufacturer (“Cleaver”), whereby the Company will serve as nonexclusive distributor of Cleaver’s products in Europe, South and North America.  Cleaver is a manufacturer of a line of products for the logistics and cargo industry.  The Company reported that the Company had sales of approximately $14,000 in the first week of the Distribution Agreement.</w:t>
      </w:r>
    </w:p>
    <w:p w14:paraId="0E06867E" w14:textId="77777777" w:rsidR="00EC3CBC" w:rsidRDefault="00EC3CBC" w:rsidP="00EC3CBC">
      <w:pPr>
        <w:pStyle w:val="NormalWeb"/>
        <w:spacing w:before="0" w:beforeAutospacing="0" w:after="0" w:afterAutospacing="0"/>
        <w:jc w:val="both"/>
        <w:rPr>
          <w:rFonts w:ascii="Arial" w:hAnsi="Arial" w:cs="Arial"/>
          <w:sz w:val="12"/>
          <w:szCs w:val="12"/>
        </w:rPr>
      </w:pPr>
      <w:r>
        <w:t> </w:t>
      </w:r>
    </w:p>
    <w:p w14:paraId="2B625A7B" w14:textId="77777777" w:rsidR="00EC3CBC" w:rsidRDefault="00EC3CBC" w:rsidP="00EC3CBC">
      <w:pPr>
        <w:pStyle w:val="NormalWeb"/>
        <w:spacing w:before="0" w:beforeAutospacing="0" w:after="0" w:afterAutospacing="0"/>
        <w:jc w:val="both"/>
      </w:pPr>
      <w:r>
        <w:t xml:space="preserve">Girt </w:t>
      </w:r>
      <w:proofErr w:type="spellStart"/>
      <w:r>
        <w:t>Koustrup</w:t>
      </w:r>
      <w:proofErr w:type="spellEnd"/>
      <w:r>
        <w:t xml:space="preserve">, Cleaver’s managing director said, “Our logistics line of products </w:t>
      </w:r>
      <w:proofErr w:type="gramStart"/>
      <w:r>
        <w:t>are</w:t>
      </w:r>
      <w:proofErr w:type="gramEnd"/>
      <w:r>
        <w:t xml:space="preserve"> well received in the logistics and cargo industry and our unique design features will significantly increase the work environment standard and safety in the industry.  We believe that this relationship with Sharx/AOXY will capture market share and drive future growth."  </w:t>
      </w:r>
    </w:p>
    <w:p w14:paraId="7735D7D4" w14:textId="77777777" w:rsidR="00EC3CBC" w:rsidRDefault="00EC3CBC" w:rsidP="00EC3CBC">
      <w:pPr>
        <w:pStyle w:val="NormalWeb"/>
        <w:spacing w:before="0" w:beforeAutospacing="0" w:after="0" w:afterAutospacing="0"/>
        <w:jc w:val="both"/>
      </w:pPr>
    </w:p>
    <w:p w14:paraId="67A5D43A" w14:textId="77777777" w:rsidR="00EC3CBC" w:rsidRDefault="00EC3CBC" w:rsidP="00EC3CBC">
      <w:pPr>
        <w:pStyle w:val="NormalWeb"/>
        <w:spacing w:before="0" w:beforeAutospacing="0" w:after="0" w:afterAutospacing="0"/>
        <w:jc w:val="both"/>
      </w:pPr>
      <w:r>
        <w:t>Robert Wolfe, Chairman and CEO of AOXY, said, “We have been impressed with Cleaver’s product line and are very excited about this new relationship.”</w:t>
      </w:r>
    </w:p>
    <w:p w14:paraId="5FCBAAC8" w14:textId="77777777" w:rsidR="00EC3CBC" w:rsidRDefault="00EC3CBC" w:rsidP="00EC3CBC">
      <w:pPr>
        <w:pStyle w:val="NormalWeb"/>
        <w:spacing w:before="0" w:beforeAutospacing="0" w:after="0" w:afterAutospacing="0"/>
        <w:jc w:val="both"/>
        <w:rPr>
          <w:rFonts w:ascii="Arial" w:hAnsi="Arial" w:cs="Arial"/>
        </w:rPr>
      </w:pPr>
    </w:p>
    <w:p w14:paraId="2363A236" w14:textId="77777777" w:rsidR="00EC3CBC" w:rsidRDefault="00EC3CBC" w:rsidP="00EC3CBC">
      <w:pPr>
        <w:pStyle w:val="NormalWeb"/>
        <w:spacing w:before="0" w:beforeAutospacing="0" w:after="0" w:afterAutospacing="0"/>
        <w:rPr>
          <w:rFonts w:ascii="Arial" w:hAnsi="Arial" w:cs="Arial"/>
          <w:sz w:val="18"/>
          <w:szCs w:val="18"/>
        </w:rPr>
      </w:pPr>
      <w:r>
        <w:rPr>
          <w:b/>
          <w:bCs/>
          <w:i/>
          <w:iCs/>
        </w:rPr>
        <w:t>Forward Looking Statement</w:t>
      </w:r>
    </w:p>
    <w:p w14:paraId="4052A624" w14:textId="77777777" w:rsidR="00EC3CBC" w:rsidRDefault="00EC3CBC" w:rsidP="00EC3CBC">
      <w:pPr>
        <w:pStyle w:val="NormalWeb"/>
        <w:spacing w:before="7" w:beforeAutospacing="0" w:after="0" w:afterAutospacing="0"/>
        <w:rPr>
          <w:rFonts w:ascii="Arial" w:hAnsi="Arial" w:cs="Arial"/>
        </w:rPr>
      </w:pPr>
      <w:r>
        <w:rPr>
          <w:b/>
          <w:bCs/>
          <w:i/>
          <w:iCs/>
        </w:rPr>
        <w:t> </w:t>
      </w:r>
    </w:p>
    <w:p w14:paraId="3DBC9995" w14:textId="77777777" w:rsidR="00EC3CBC" w:rsidRDefault="00EC3CBC" w:rsidP="00EC3CBC">
      <w:pPr>
        <w:pStyle w:val="NormalWeb"/>
        <w:spacing w:before="0" w:beforeAutospacing="0" w:after="0" w:afterAutospacing="0"/>
        <w:jc w:val="both"/>
        <w:rPr>
          <w:rFonts w:ascii="Arial" w:hAnsi="Arial" w:cs="Arial"/>
          <w:sz w:val="18"/>
          <w:szCs w:val="18"/>
        </w:rPr>
      </w:pPr>
      <w:r>
        <w:t xml:space="preserve">Statements in this press release that are not strictly historical in nature are forward-looking statements. These statements are </w:t>
      </w:r>
      <w:r>
        <w:rPr>
          <w:spacing w:val="-3"/>
        </w:rPr>
        <w:t xml:space="preserve">only </w:t>
      </w:r>
      <w:r>
        <w:t>predictions based on current information and expectations and involve a number of risks and uncertainties, including but not limited to the success or efficacy of sales abilities. All statements other than historical facts are forward-looking statements, which can be identified by the use of forward-looking terminology such as “believes,” plans,” “expects,” “aims,” “intends” or similar expressions. Actual events or results may differ materially from those projected in any of such statements due to various uncertainties, including as set forth in Advanced Oxygen Technologies, Inc.’s most recent Annual Report on Form 10-K filed with the SEC. Readers are cautioned not to place undue reliance on these forward-looking statements, which speak only as of the date hereof. All forward-looking statements are qualified in their entirety by this cautionary statement and Advanced Oxygen Technologies, Inc. undertakes no obligation to revise or update this press release to reflect events or circumstances after the date hereof.</w:t>
      </w:r>
    </w:p>
    <w:p w14:paraId="075CAF31" w14:textId="77777777" w:rsidR="00EC3CBC" w:rsidRDefault="00EC3CBC" w:rsidP="00EC3CBC">
      <w:pPr>
        <w:pStyle w:val="NormalWeb"/>
        <w:spacing w:before="9" w:beforeAutospacing="0" w:after="0" w:afterAutospacing="0"/>
        <w:rPr>
          <w:rFonts w:ascii="Arial" w:hAnsi="Arial" w:cs="Arial"/>
        </w:rPr>
      </w:pPr>
      <w:r>
        <w:t> </w:t>
      </w:r>
    </w:p>
    <w:p w14:paraId="09B997E9" w14:textId="77777777" w:rsidR="00EC3CBC" w:rsidRDefault="00EC3CBC" w:rsidP="00EC3CBC">
      <w:pPr>
        <w:pStyle w:val="NormalWeb"/>
        <w:spacing w:before="0" w:beforeAutospacing="0" w:after="0" w:afterAutospacing="0"/>
        <w:jc w:val="both"/>
        <w:rPr>
          <w:b/>
          <w:bCs/>
        </w:rPr>
      </w:pPr>
      <w:r>
        <w:rPr>
          <w:b/>
          <w:bCs/>
        </w:rPr>
        <w:t xml:space="preserve">Contact: </w:t>
      </w:r>
      <w:hyperlink r:id="rId7" w:history="1">
        <w:r>
          <w:rPr>
            <w:rStyle w:val="Hyperlink"/>
            <w:b/>
            <w:bCs/>
          </w:rPr>
          <w:t>investorrelations@aoxy-ca.com</w:t>
        </w:r>
      </w:hyperlink>
    </w:p>
    <w:p w14:paraId="30058675" w14:textId="77777777" w:rsidR="00EC3CBC" w:rsidRDefault="00EC3CBC" w:rsidP="00EC3CBC">
      <w:pPr>
        <w:pStyle w:val="NormalWeb"/>
        <w:spacing w:before="0" w:beforeAutospacing="0" w:after="0" w:afterAutospacing="0"/>
        <w:jc w:val="both"/>
        <w:rPr>
          <w:rFonts w:ascii="Arial" w:hAnsi="Arial" w:cs="Arial"/>
          <w:sz w:val="18"/>
          <w:szCs w:val="18"/>
        </w:rPr>
      </w:pPr>
    </w:p>
    <w:p w14:paraId="5F0414E9" w14:textId="77777777" w:rsidR="00EC3CBC" w:rsidRDefault="00EC3CBC" w:rsidP="00EC3CBC">
      <w:pPr>
        <w:pStyle w:val="NormalWeb"/>
        <w:spacing w:before="0" w:beforeAutospacing="0" w:after="0" w:afterAutospacing="0"/>
        <w:rPr>
          <w:sz w:val="24"/>
          <w:szCs w:val="24"/>
        </w:rPr>
      </w:pPr>
      <w:r>
        <w:t> </w:t>
      </w:r>
    </w:p>
    <w:p w14:paraId="3AA329C1" w14:textId="77777777" w:rsidR="00EC3CBC" w:rsidRDefault="00EC3CBC" w:rsidP="00EC3CBC"/>
    <w:p w14:paraId="3C2920FC" w14:textId="77777777" w:rsidR="00EC3CBC" w:rsidRPr="00EC3CBC" w:rsidRDefault="00EC3CBC" w:rsidP="00EC3CBC"/>
    <w:sectPr w:rsidR="00EC3CBC" w:rsidRPr="00EC3C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DF890" w14:textId="77777777" w:rsidR="001D15F6" w:rsidRDefault="001D15F6" w:rsidP="00930A6A">
      <w:pPr>
        <w:spacing w:after="0"/>
      </w:pPr>
      <w:r>
        <w:separator/>
      </w:r>
    </w:p>
  </w:endnote>
  <w:endnote w:type="continuationSeparator" w:id="0">
    <w:p w14:paraId="2C7636DD" w14:textId="77777777" w:rsidR="001D15F6" w:rsidRDefault="001D15F6" w:rsidP="00930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DBC4F" w14:textId="77777777" w:rsidR="001D15F6" w:rsidRDefault="001D15F6" w:rsidP="00930A6A">
      <w:pPr>
        <w:spacing w:after="0"/>
      </w:pPr>
      <w:r>
        <w:separator/>
      </w:r>
    </w:p>
  </w:footnote>
  <w:footnote w:type="continuationSeparator" w:id="0">
    <w:p w14:paraId="40A48A24" w14:textId="77777777" w:rsidR="001D15F6" w:rsidRDefault="001D15F6" w:rsidP="00930A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5AB3"/>
    <w:multiLevelType w:val="hybridMultilevel"/>
    <w:tmpl w:val="01B038D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 w15:restartNumberingAfterBreak="0">
    <w:nsid w:val="3BBE2C19"/>
    <w:multiLevelType w:val="hybridMultilevel"/>
    <w:tmpl w:val="5332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2D"/>
    <w:rsid w:val="000676A8"/>
    <w:rsid w:val="0007356F"/>
    <w:rsid w:val="00116D4B"/>
    <w:rsid w:val="00172451"/>
    <w:rsid w:val="001D15F6"/>
    <w:rsid w:val="001E7F1F"/>
    <w:rsid w:val="00293BB8"/>
    <w:rsid w:val="0029646B"/>
    <w:rsid w:val="00331D70"/>
    <w:rsid w:val="003676C8"/>
    <w:rsid w:val="00407467"/>
    <w:rsid w:val="00471071"/>
    <w:rsid w:val="00477C89"/>
    <w:rsid w:val="004A6BF7"/>
    <w:rsid w:val="0057523E"/>
    <w:rsid w:val="005E19CE"/>
    <w:rsid w:val="005F18B4"/>
    <w:rsid w:val="0060634C"/>
    <w:rsid w:val="0066007C"/>
    <w:rsid w:val="00694D50"/>
    <w:rsid w:val="006C773D"/>
    <w:rsid w:val="00757C2B"/>
    <w:rsid w:val="007D4E02"/>
    <w:rsid w:val="007E500A"/>
    <w:rsid w:val="007E59F0"/>
    <w:rsid w:val="00897FB6"/>
    <w:rsid w:val="008D65BE"/>
    <w:rsid w:val="00914C6A"/>
    <w:rsid w:val="009154D4"/>
    <w:rsid w:val="00930A6A"/>
    <w:rsid w:val="00986A2D"/>
    <w:rsid w:val="00A17EF0"/>
    <w:rsid w:val="00A26006"/>
    <w:rsid w:val="00A7408F"/>
    <w:rsid w:val="00A816AB"/>
    <w:rsid w:val="00AF283F"/>
    <w:rsid w:val="00B30AA5"/>
    <w:rsid w:val="00B5689D"/>
    <w:rsid w:val="00B65AB3"/>
    <w:rsid w:val="00C23024"/>
    <w:rsid w:val="00C60D12"/>
    <w:rsid w:val="00CC1F68"/>
    <w:rsid w:val="00DC57DE"/>
    <w:rsid w:val="00DD7FDE"/>
    <w:rsid w:val="00E02F50"/>
    <w:rsid w:val="00EA52E1"/>
    <w:rsid w:val="00EC3CBC"/>
    <w:rsid w:val="00EE306A"/>
    <w:rsid w:val="00EF1718"/>
    <w:rsid w:val="00F00525"/>
    <w:rsid w:val="00F05284"/>
    <w:rsid w:val="00F06F19"/>
    <w:rsid w:val="00F46262"/>
    <w:rsid w:val="00F4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869ED"/>
  <w15:docId w15:val="{334B0ED1-C402-4BAD-8141-070558DA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udy Old Style" w:eastAsiaTheme="minorHAnsi" w:hAnsi="Goudy Old Style"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2D"/>
    <w:pPr>
      <w:ind w:left="720"/>
      <w:contextualSpacing/>
    </w:pPr>
  </w:style>
  <w:style w:type="character" w:styleId="Hyperlink">
    <w:name w:val="Hyperlink"/>
    <w:basedOn w:val="DefaultParagraphFont"/>
    <w:uiPriority w:val="99"/>
    <w:unhideWhenUsed/>
    <w:rsid w:val="00986A2D"/>
    <w:rPr>
      <w:color w:val="0000FF"/>
      <w:u w:val="single"/>
    </w:rPr>
  </w:style>
  <w:style w:type="paragraph" w:customStyle="1" w:styleId="Dokumentoverskrift">
    <w:name w:val="Dokumentoverskrift"/>
    <w:basedOn w:val="Normal"/>
    <w:next w:val="Normal"/>
    <w:rsid w:val="00116D4B"/>
    <w:pPr>
      <w:spacing w:after="0" w:line="320" w:lineRule="atLeast"/>
      <w:jc w:val="both"/>
    </w:pPr>
    <w:rPr>
      <w:rFonts w:ascii="Times New (W1)" w:eastAsia="Times New Roman" w:hAnsi="Times New (W1)" w:cs="Times New Roman"/>
      <w:b/>
      <w:caps/>
      <w:spacing w:val="26"/>
      <w:lang w:val="en-GB"/>
    </w:rPr>
  </w:style>
  <w:style w:type="character" w:customStyle="1" w:styleId="apple-converted-space">
    <w:name w:val="apple-converted-space"/>
    <w:basedOn w:val="DefaultParagraphFont"/>
    <w:rsid w:val="00EF1718"/>
  </w:style>
  <w:style w:type="paragraph" w:styleId="NormalWeb">
    <w:name w:val="Normal (Web)"/>
    <w:basedOn w:val="Normal"/>
    <w:uiPriority w:val="99"/>
    <w:unhideWhenUsed/>
    <w:rsid w:val="00EF1718"/>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7D4E02"/>
    <w:pPr>
      <w:spacing w:after="0"/>
    </w:pPr>
  </w:style>
  <w:style w:type="paragraph" w:styleId="BalloonText">
    <w:name w:val="Balloon Text"/>
    <w:basedOn w:val="Normal"/>
    <w:link w:val="BalloonTextChar"/>
    <w:uiPriority w:val="99"/>
    <w:semiHidden/>
    <w:unhideWhenUsed/>
    <w:rsid w:val="007D4E0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E02"/>
    <w:rPr>
      <w:rFonts w:ascii="Times New Roman" w:hAnsi="Times New Roman" w:cs="Times New Roman"/>
      <w:sz w:val="18"/>
      <w:szCs w:val="18"/>
    </w:rPr>
  </w:style>
  <w:style w:type="paragraph" w:styleId="Header">
    <w:name w:val="header"/>
    <w:basedOn w:val="Normal"/>
    <w:link w:val="HeaderChar"/>
    <w:uiPriority w:val="99"/>
    <w:unhideWhenUsed/>
    <w:rsid w:val="00930A6A"/>
    <w:pPr>
      <w:tabs>
        <w:tab w:val="center" w:pos="4680"/>
        <w:tab w:val="right" w:pos="9360"/>
      </w:tabs>
      <w:spacing w:after="0"/>
    </w:pPr>
  </w:style>
  <w:style w:type="character" w:customStyle="1" w:styleId="HeaderChar">
    <w:name w:val="Header Char"/>
    <w:basedOn w:val="DefaultParagraphFont"/>
    <w:link w:val="Header"/>
    <w:uiPriority w:val="99"/>
    <w:rsid w:val="00930A6A"/>
  </w:style>
  <w:style w:type="paragraph" w:styleId="Footer">
    <w:name w:val="footer"/>
    <w:basedOn w:val="Normal"/>
    <w:link w:val="FooterChar"/>
    <w:uiPriority w:val="99"/>
    <w:unhideWhenUsed/>
    <w:rsid w:val="00930A6A"/>
    <w:pPr>
      <w:tabs>
        <w:tab w:val="center" w:pos="4680"/>
        <w:tab w:val="right" w:pos="9360"/>
      </w:tabs>
      <w:spacing w:after="0"/>
    </w:pPr>
  </w:style>
  <w:style w:type="character" w:customStyle="1" w:styleId="FooterChar">
    <w:name w:val="Footer Char"/>
    <w:basedOn w:val="DefaultParagraphFont"/>
    <w:link w:val="Footer"/>
    <w:uiPriority w:val="99"/>
    <w:rsid w:val="00930A6A"/>
  </w:style>
  <w:style w:type="character" w:customStyle="1" w:styleId="NonTocText">
    <w:name w:val="Non Toc Text"/>
    <w:rsid w:val="00930A6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015717">
      <w:bodyDiv w:val="1"/>
      <w:marLeft w:val="0"/>
      <w:marRight w:val="0"/>
      <w:marTop w:val="0"/>
      <w:marBottom w:val="0"/>
      <w:divBdr>
        <w:top w:val="none" w:sz="0" w:space="0" w:color="auto"/>
        <w:left w:val="none" w:sz="0" w:space="0" w:color="auto"/>
        <w:bottom w:val="none" w:sz="0" w:space="0" w:color="auto"/>
        <w:right w:val="none" w:sz="0" w:space="0" w:color="auto"/>
      </w:divBdr>
      <w:divsChild>
        <w:div w:id="624427466">
          <w:marLeft w:val="0"/>
          <w:marRight w:val="0"/>
          <w:marTop w:val="0"/>
          <w:marBottom w:val="120"/>
          <w:divBdr>
            <w:top w:val="none" w:sz="0" w:space="0" w:color="auto"/>
            <w:left w:val="none" w:sz="0" w:space="0" w:color="auto"/>
            <w:bottom w:val="single" w:sz="12" w:space="0" w:color="000000"/>
            <w:right w:val="none" w:sz="0" w:space="0" w:color="auto"/>
          </w:divBdr>
        </w:div>
      </w:divsChild>
    </w:div>
    <w:div w:id="1191600872">
      <w:bodyDiv w:val="1"/>
      <w:marLeft w:val="0"/>
      <w:marRight w:val="0"/>
      <w:marTop w:val="0"/>
      <w:marBottom w:val="0"/>
      <w:divBdr>
        <w:top w:val="none" w:sz="0" w:space="0" w:color="auto"/>
        <w:left w:val="none" w:sz="0" w:space="0" w:color="auto"/>
        <w:bottom w:val="none" w:sz="0" w:space="0" w:color="auto"/>
        <w:right w:val="none" w:sz="0" w:space="0" w:color="auto"/>
      </w:divBdr>
      <w:divsChild>
        <w:div w:id="1513957719">
          <w:marLeft w:val="0"/>
          <w:marRight w:val="0"/>
          <w:marTop w:val="120"/>
          <w:marBottom w:val="120"/>
          <w:divBdr>
            <w:top w:val="none" w:sz="0" w:space="0" w:color="auto"/>
            <w:left w:val="none" w:sz="0" w:space="0" w:color="auto"/>
            <w:bottom w:val="single" w:sz="18" w:space="0" w:color="000000"/>
            <w:right w:val="none" w:sz="0" w:space="0" w:color="auto"/>
          </w:divBdr>
        </w:div>
        <w:div w:id="241721750">
          <w:marLeft w:val="0"/>
          <w:marRight w:val="0"/>
          <w:marTop w:val="120"/>
          <w:marBottom w:val="120"/>
          <w:divBdr>
            <w:top w:val="none" w:sz="0" w:space="0" w:color="auto"/>
            <w:left w:val="none" w:sz="0" w:space="0" w:color="auto"/>
            <w:bottom w:val="none" w:sz="0" w:space="0" w:color="auto"/>
            <w:right w:val="none" w:sz="0" w:space="0" w:color="auto"/>
          </w:divBdr>
        </w:div>
        <w:div w:id="867839083">
          <w:marLeft w:val="0"/>
          <w:marRight w:val="0"/>
          <w:marTop w:val="120"/>
          <w:marBottom w:val="120"/>
          <w:divBdr>
            <w:top w:val="none" w:sz="0" w:space="0" w:color="auto"/>
            <w:left w:val="none" w:sz="0" w:space="0" w:color="auto"/>
            <w:bottom w:val="single" w:sz="18" w:space="0" w:color="000000"/>
            <w:right w:val="none" w:sz="0" w:space="0" w:color="auto"/>
          </w:divBdr>
        </w:div>
        <w:div w:id="566843793">
          <w:marLeft w:val="0"/>
          <w:marRight w:val="0"/>
          <w:marTop w:val="120"/>
          <w:marBottom w:val="120"/>
          <w:divBdr>
            <w:top w:val="none" w:sz="0" w:space="0" w:color="auto"/>
            <w:left w:val="none" w:sz="0" w:space="0" w:color="auto"/>
            <w:bottom w:val="none" w:sz="0" w:space="0" w:color="auto"/>
            <w:right w:val="none" w:sz="0" w:space="0" w:color="auto"/>
          </w:divBdr>
        </w:div>
        <w:div w:id="1778527447">
          <w:marLeft w:val="0"/>
          <w:marRight w:val="0"/>
          <w:marTop w:val="120"/>
          <w:marBottom w:val="120"/>
          <w:divBdr>
            <w:top w:val="none" w:sz="0" w:space="0" w:color="auto"/>
            <w:left w:val="none" w:sz="0" w:space="0" w:color="auto"/>
            <w:bottom w:val="single" w:sz="18" w:space="0" w:color="000000"/>
            <w:right w:val="none" w:sz="0" w:space="0" w:color="auto"/>
          </w:divBdr>
        </w:div>
      </w:divsChild>
    </w:div>
    <w:div w:id="21366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estorrelations@aoxy-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2</cp:revision>
  <cp:lastPrinted>2020-07-06T19:42:00Z</cp:lastPrinted>
  <dcterms:created xsi:type="dcterms:W3CDTF">2020-07-07T16:26:00Z</dcterms:created>
  <dcterms:modified xsi:type="dcterms:W3CDTF">2020-07-07T16:26:00Z</dcterms:modified>
</cp:coreProperties>
</file>