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7D" w:rsidRDefault="006C7966">
      <w:pPr>
        <w:pStyle w:val="NormalWeb"/>
        <w:spacing w:before="0" w:beforeAutospacing="0" w:after="0" w:afterAutospacing="0"/>
        <w:jc w:val="both"/>
        <w:divId w:val="94592678"/>
        <w:rPr>
          <w:sz w:val="20"/>
          <w:szCs w:val="20"/>
        </w:rPr>
      </w:pPr>
      <w:bookmarkStart w:id="0" w:name="_GoBack"/>
      <w:bookmarkEnd w:id="0"/>
      <w:r>
        <w:rPr>
          <w:sz w:val="20"/>
          <w:szCs w:val="20"/>
        </w:rPr>
        <w:t xml:space="preserve">  </w:t>
      </w:r>
    </w:p>
    <w:p w:rsidR="00ED767D" w:rsidRDefault="006C7966">
      <w:pPr>
        <w:pStyle w:val="NormalWeb"/>
        <w:spacing w:before="0" w:beforeAutospacing="0" w:after="0" w:afterAutospacing="0"/>
        <w:jc w:val="center"/>
        <w:divId w:val="94592678"/>
        <w:rPr>
          <w:sz w:val="20"/>
          <w:szCs w:val="20"/>
        </w:rPr>
      </w:pPr>
      <w:r>
        <w:rPr>
          <w:b/>
          <w:bCs/>
        </w:rPr>
        <w:t>U. S. SECURITIES AND EXCHANGE COMMISSION</w:t>
      </w:r>
      <w:r>
        <w:br/>
      </w:r>
      <w:r>
        <w:rPr>
          <w:b/>
          <w:bCs/>
        </w:rPr>
        <w:t>WASHINGTON, D.C. 20549</w:t>
      </w:r>
      <w:r>
        <w:t> </w:t>
      </w:r>
    </w:p>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b/>
          <w:bCs/>
          <w:sz w:val="36"/>
          <w:szCs w:val="36"/>
        </w:rPr>
        <w:t>FORM 10-K</w:t>
      </w:r>
    </w:p>
    <w:p w:rsidR="00ED767D" w:rsidRDefault="006C7966">
      <w:pPr>
        <w:pStyle w:val="NormalWeb"/>
        <w:spacing w:before="0" w:beforeAutospacing="0" w:after="0" w:afterAutospacing="0"/>
        <w:jc w:val="center"/>
        <w:divId w:val="94592678"/>
        <w:rPr>
          <w:sz w:val="20"/>
          <w:szCs w:val="20"/>
        </w:rPr>
      </w:pPr>
      <w:r>
        <w:rPr>
          <w:sz w:val="20"/>
          <w:szCs w:val="20"/>
        </w:rPr>
        <w:br/>
        <w:t>(Mark One) </w:t>
      </w:r>
    </w:p>
    <w:p w:rsidR="00ED767D" w:rsidRDefault="006C7966">
      <w:pPr>
        <w:pStyle w:val="NormalWeb"/>
        <w:spacing w:before="0" w:beforeAutospacing="0" w:after="0" w:afterAutospacing="0"/>
        <w:jc w:val="center"/>
        <w:divId w:val="94592678"/>
        <w:rPr>
          <w:sz w:val="20"/>
          <w:szCs w:val="20"/>
        </w:rPr>
      </w:pPr>
      <w:r>
        <w:rPr>
          <w:rFonts w:ascii="Wingdings" w:hAnsi="Wingdings"/>
          <w:b/>
          <w:bCs/>
          <w:sz w:val="20"/>
          <w:szCs w:val="20"/>
        </w:rPr>
        <w:br/>
      </w:r>
      <w:r>
        <w:rPr>
          <w:rStyle w:val="Strong"/>
          <w:rFonts w:ascii="Wingdings" w:hAnsi="Wingdings"/>
          <w:sz w:val="20"/>
          <w:szCs w:val="20"/>
        </w:rPr>
        <w:t></w:t>
      </w:r>
      <w:r>
        <w:rPr>
          <w:rStyle w:val="Strong"/>
          <w:rFonts w:ascii="Wingdings" w:hAnsi="Wingdings"/>
          <w:sz w:val="20"/>
          <w:szCs w:val="20"/>
        </w:rPr>
        <w:t></w:t>
      </w:r>
      <w:r>
        <w:rPr>
          <w:rStyle w:val="Strong"/>
          <w:sz w:val="20"/>
          <w:szCs w:val="20"/>
        </w:rPr>
        <w:t xml:space="preserve">ANNUAL REPORT UNDER SECTION 13 OR 15(d) OF THE SECURITIES EXCHANGE ACT OF 1934 </w:t>
      </w:r>
    </w:p>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 xml:space="preserve">For the fiscal year ended </w:t>
      </w:r>
      <w:r>
        <w:rPr>
          <w:b/>
          <w:bCs/>
          <w:sz w:val="20"/>
          <w:szCs w:val="20"/>
          <w:u w:val="single"/>
        </w:rPr>
        <w:t>June 30, 2018</w:t>
      </w:r>
      <w:r>
        <w:rPr>
          <w:sz w:val="20"/>
          <w:szCs w:val="20"/>
        </w:rPr>
        <w:t> </w:t>
      </w:r>
    </w:p>
    <w:p w:rsidR="00ED767D" w:rsidRDefault="006C7966">
      <w:pPr>
        <w:pStyle w:val="NormalWeb"/>
        <w:spacing w:before="0" w:beforeAutospacing="0" w:after="0" w:afterAutospacing="0"/>
        <w:jc w:val="center"/>
        <w:divId w:val="94592678"/>
        <w:rPr>
          <w:sz w:val="20"/>
          <w:szCs w:val="20"/>
        </w:rPr>
      </w:pPr>
      <w:r>
        <w:rPr>
          <w:rStyle w:val="Strong"/>
          <w:rFonts w:ascii="Wingdings" w:hAnsi="Wingdings"/>
          <w:sz w:val="20"/>
          <w:szCs w:val="20"/>
        </w:rPr>
        <w:t></w:t>
      </w:r>
      <w:r>
        <w:rPr>
          <w:rStyle w:val="Strong"/>
          <w:rFonts w:ascii="Wingdings" w:hAnsi="Wingdings"/>
          <w:sz w:val="20"/>
          <w:szCs w:val="20"/>
        </w:rPr>
        <w:t></w:t>
      </w:r>
      <w:r>
        <w:rPr>
          <w:rStyle w:val="Strong"/>
          <w:sz w:val="20"/>
          <w:szCs w:val="20"/>
        </w:rPr>
        <w:t xml:space="preserve">TRANSITION REPORT UNDER SECTION 13 OR 15(d) OF THE SECURITIES EXCHANGE ACT OF 1934 </w:t>
      </w:r>
    </w:p>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For the transition period from __________ to __________</w:t>
      </w:r>
    </w:p>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 xml:space="preserve">Commission File Number: </w:t>
      </w:r>
      <w:r>
        <w:rPr>
          <w:b/>
          <w:bCs/>
          <w:sz w:val="20"/>
          <w:szCs w:val="20"/>
          <w:u w:val="single"/>
        </w:rPr>
        <w:t>0-9951</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3250" w:type="pct"/>
        <w:jc w:val="center"/>
        <w:tblCellSpacing w:w="0" w:type="dxa"/>
        <w:tblCellMar>
          <w:left w:w="0" w:type="dxa"/>
          <w:right w:w="0" w:type="dxa"/>
        </w:tblCellMar>
        <w:tblLook w:val="04A0" w:firstRow="1" w:lastRow="0" w:firstColumn="1" w:lastColumn="0" w:noHBand="0" w:noVBand="1"/>
      </w:tblPr>
      <w:tblGrid>
        <w:gridCol w:w="6084"/>
      </w:tblGrid>
      <w:tr w:rsidR="00ED767D">
        <w:trPr>
          <w:divId w:val="94592678"/>
          <w:tblCellSpacing w:w="0" w:type="dxa"/>
          <w:jc w:val="center"/>
        </w:trPr>
        <w:tc>
          <w:tcPr>
            <w:tcW w:w="0" w:type="auto"/>
            <w:tcBorders>
              <w:bottom w:val="single" w:sz="6" w:space="0" w:color="000000"/>
            </w:tcBorders>
            <w:vAlign w:val="center"/>
            <w:hideMark/>
          </w:tcPr>
          <w:p w:rsidR="00ED767D" w:rsidRDefault="006C7966">
            <w:pPr>
              <w:pStyle w:val="NormalWeb"/>
              <w:spacing w:before="0" w:beforeAutospacing="0" w:after="0" w:afterAutospacing="0"/>
              <w:jc w:val="center"/>
              <w:rPr>
                <w:sz w:val="20"/>
                <w:szCs w:val="20"/>
              </w:rPr>
            </w:pPr>
            <w:r>
              <w:rPr>
                <w:rStyle w:val="Strong"/>
                <w:sz w:val="36"/>
                <w:szCs w:val="36"/>
              </w:rPr>
              <w:t>ADVANCED OXYGEN TECHNOLOGIES, INC.</w:t>
            </w:r>
          </w:p>
        </w:tc>
      </w:tr>
      <w:tr w:rsidR="00ED767D">
        <w:trPr>
          <w:divId w:val="94592678"/>
          <w:tblCellSpacing w:w="0" w:type="dxa"/>
          <w:jc w:val="center"/>
        </w:trPr>
        <w:tc>
          <w:tcPr>
            <w:tcW w:w="0" w:type="auto"/>
            <w:vAlign w:val="center"/>
            <w:hideMark/>
          </w:tcPr>
          <w:p w:rsidR="00ED767D" w:rsidRDefault="006C7966">
            <w:pPr>
              <w:pStyle w:val="NormalWeb"/>
              <w:spacing w:before="0" w:beforeAutospacing="0" w:after="0" w:afterAutospacing="0"/>
              <w:jc w:val="center"/>
              <w:rPr>
                <w:sz w:val="20"/>
                <w:szCs w:val="20"/>
              </w:rPr>
            </w:pPr>
            <w:r>
              <w:rPr>
                <w:sz w:val="20"/>
                <w:szCs w:val="20"/>
              </w:rPr>
              <w:t>(Exact name of Registrant as specified in its charter)</w:t>
            </w:r>
          </w:p>
        </w:tc>
      </w:tr>
    </w:tbl>
    <w:p w:rsidR="00ED767D" w:rsidRDefault="006C7966">
      <w:pPr>
        <w:pStyle w:val="NormalWeb"/>
        <w:spacing w:before="0" w:beforeAutospacing="0" w:after="0" w:afterAutospacing="0"/>
        <w:jc w:val="center"/>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580"/>
        <w:gridCol w:w="796"/>
        <w:gridCol w:w="3580"/>
      </w:tblGrid>
      <w:tr w:rsidR="00ED767D">
        <w:trPr>
          <w:divId w:val="94592678"/>
          <w:trHeight w:val="180"/>
          <w:tblCellSpacing w:w="0" w:type="dxa"/>
          <w:jc w:val="center"/>
        </w:trPr>
        <w:tc>
          <w:tcPr>
            <w:tcW w:w="2250" w:type="pct"/>
            <w:tcBorders>
              <w:bottom w:val="single" w:sz="6" w:space="0" w:color="000000"/>
            </w:tcBorders>
            <w:hideMark/>
          </w:tcPr>
          <w:p w:rsidR="00ED767D" w:rsidRDefault="006C7966">
            <w:pPr>
              <w:pStyle w:val="NormalWeb"/>
              <w:spacing w:before="0" w:beforeAutospacing="0" w:after="0" w:afterAutospacing="0"/>
              <w:jc w:val="center"/>
              <w:rPr>
                <w:sz w:val="20"/>
                <w:szCs w:val="20"/>
              </w:rPr>
            </w:pPr>
            <w:r>
              <w:rPr>
                <w:sz w:val="20"/>
                <w:szCs w:val="20"/>
              </w:rPr>
              <w:t> </w:t>
            </w:r>
            <w:r>
              <w:rPr>
                <w:b/>
                <w:bCs/>
                <w:sz w:val="20"/>
                <w:szCs w:val="20"/>
              </w:rPr>
              <w:t>Delaware</w:t>
            </w:r>
          </w:p>
        </w:tc>
        <w:tc>
          <w:tcPr>
            <w:tcW w:w="500" w:type="pct"/>
            <w:vAlign w:val="center"/>
            <w:hideMark/>
          </w:tcPr>
          <w:p w:rsidR="00ED767D" w:rsidRDefault="00ED767D">
            <w:pPr>
              <w:jc w:val="both"/>
              <w:rPr>
                <w:rFonts w:eastAsia="Times New Roman"/>
                <w:sz w:val="20"/>
                <w:szCs w:val="20"/>
              </w:rPr>
            </w:pPr>
          </w:p>
        </w:tc>
        <w:tc>
          <w:tcPr>
            <w:tcW w:w="2250" w:type="pct"/>
            <w:tcBorders>
              <w:bottom w:val="single" w:sz="6" w:space="0" w:color="000000"/>
            </w:tcBorders>
            <w:hideMark/>
          </w:tcPr>
          <w:p w:rsidR="00ED767D" w:rsidRDefault="006C7966">
            <w:pPr>
              <w:pStyle w:val="NormalWeb"/>
              <w:spacing w:before="0" w:beforeAutospacing="0" w:after="0" w:afterAutospacing="0"/>
              <w:jc w:val="center"/>
              <w:rPr>
                <w:sz w:val="20"/>
                <w:szCs w:val="20"/>
              </w:rPr>
            </w:pPr>
            <w:r>
              <w:rPr>
                <w:sz w:val="20"/>
                <w:szCs w:val="20"/>
              </w:rPr>
              <w:t> </w:t>
            </w:r>
            <w:r>
              <w:rPr>
                <w:b/>
                <w:bCs/>
                <w:sz w:val="20"/>
                <w:szCs w:val="20"/>
              </w:rPr>
              <w:t>91-1143622</w:t>
            </w:r>
          </w:p>
        </w:tc>
      </w:tr>
      <w:tr w:rsidR="00ED767D">
        <w:trPr>
          <w:divId w:val="94592678"/>
          <w:trHeight w:val="180"/>
          <w:tblCellSpacing w:w="0" w:type="dxa"/>
          <w:jc w:val="center"/>
        </w:trPr>
        <w:tc>
          <w:tcPr>
            <w:tcW w:w="0" w:type="auto"/>
            <w:vAlign w:val="center"/>
            <w:hideMark/>
          </w:tcPr>
          <w:p w:rsidR="00ED767D" w:rsidRDefault="006C7966">
            <w:pPr>
              <w:pStyle w:val="NormalWeb"/>
              <w:spacing w:before="0" w:beforeAutospacing="0" w:after="0" w:afterAutospacing="0"/>
              <w:jc w:val="center"/>
              <w:rPr>
                <w:sz w:val="20"/>
                <w:szCs w:val="20"/>
              </w:rPr>
            </w:pPr>
            <w:r>
              <w:rPr>
                <w:sz w:val="20"/>
                <w:szCs w:val="20"/>
              </w:rPr>
              <w:t>(State or other jurisdiction of incorporation or organization)</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center"/>
              <w:rPr>
                <w:sz w:val="20"/>
                <w:szCs w:val="20"/>
              </w:rPr>
            </w:pPr>
            <w:r>
              <w:rPr>
                <w:sz w:val="20"/>
                <w:szCs w:val="20"/>
              </w:rPr>
              <w:t>(I.R.S. Employer Identification No.)</w:t>
            </w:r>
          </w:p>
        </w:tc>
      </w:tr>
    </w:tbl>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b/>
          <w:bCs/>
          <w:sz w:val="20"/>
          <w:szCs w:val="20"/>
        </w:rPr>
        <w:t xml:space="preserve">C/O Crossfield, Inc., </w:t>
      </w:r>
      <w:r>
        <w:rPr>
          <w:sz w:val="20"/>
          <w:szCs w:val="20"/>
        </w:rPr>
        <w:br/>
      </w:r>
      <w:r>
        <w:rPr>
          <w:b/>
          <w:bCs/>
          <w:sz w:val="20"/>
          <w:szCs w:val="20"/>
        </w:rPr>
        <w:t>653 VT Route 12A, PO Box 189</w:t>
      </w:r>
      <w:r>
        <w:rPr>
          <w:sz w:val="20"/>
          <w:szCs w:val="20"/>
        </w:rPr>
        <w:br/>
      </w:r>
      <w:r>
        <w:rPr>
          <w:b/>
          <w:bCs/>
          <w:sz w:val="20"/>
          <w:szCs w:val="20"/>
        </w:rPr>
        <w:t xml:space="preserve">Randolph, VT 05060 </w:t>
      </w:r>
      <w:r>
        <w:rPr>
          <w:sz w:val="20"/>
          <w:szCs w:val="20"/>
        </w:rPr>
        <w:br/>
      </w:r>
      <w:r>
        <w:rPr>
          <w:b/>
          <w:bCs/>
          <w:sz w:val="20"/>
          <w:szCs w:val="20"/>
          <w:u w:val="single"/>
        </w:rPr>
        <w:t>(212) 727-7085</w:t>
      </w:r>
    </w:p>
    <w:p w:rsidR="00ED767D" w:rsidRDefault="006C7966">
      <w:pPr>
        <w:pStyle w:val="NormalWeb"/>
        <w:spacing w:before="0" w:beforeAutospacing="0" w:after="0" w:afterAutospacing="0"/>
        <w:jc w:val="center"/>
        <w:divId w:val="94592678"/>
        <w:rPr>
          <w:sz w:val="20"/>
          <w:szCs w:val="20"/>
        </w:rPr>
      </w:pPr>
      <w:r>
        <w:rPr>
          <w:sz w:val="20"/>
          <w:szCs w:val="20"/>
        </w:rPr>
        <w:t>(Address and telephone number of principal executive offices) </w:t>
      </w:r>
    </w:p>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 xml:space="preserve">Securities registered pursuant to Section 12(b) of the Act: </w:t>
      </w:r>
      <w:r>
        <w:rPr>
          <w:rFonts w:ascii="Wingdings" w:hAnsi="Wingdings"/>
          <w:sz w:val="20"/>
          <w:szCs w:val="20"/>
        </w:rPr>
        <w:t></w:t>
      </w:r>
    </w:p>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Securities registered under Section 12(g) of the Exchange Act: Common Stock, par value $.01per share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Indicate by check mark if the registrant is not required to file reports pursuant to section 13 or Section 15(d) of the Act.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Indicate by check mark if disclosure of delinquent filers in response to Item 405 of Regulation S-K(§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sz w:val="20"/>
          <w:szCs w:val="20"/>
        </w:rPr>
        <w:t></w:t>
      </w:r>
      <w:r>
        <w:rPr>
          <w:rFonts w:ascii="Wingdings" w:hAnsi="Wingdings"/>
          <w:sz w:val="20"/>
          <w:szCs w:val="20"/>
        </w:rPr>
        <w:t></w:t>
      </w:r>
      <w:r>
        <w:rPr>
          <w:sz w:val="20"/>
          <w:szCs w:val="20"/>
        </w:rPr>
        <w:t>No </w:t>
      </w:r>
      <w:r>
        <w:rPr>
          <w:rFonts w:ascii="Wingdings" w:hAnsi="Wingdings"/>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387"/>
        <w:gridCol w:w="1591"/>
        <w:gridCol w:w="2387"/>
        <w:gridCol w:w="1591"/>
      </w:tblGrid>
      <w:tr w:rsidR="00ED767D">
        <w:trPr>
          <w:divId w:val="94592678"/>
          <w:trHeight w:val="180"/>
          <w:tblCellSpacing w:w="0" w:type="dxa"/>
          <w:jc w:val="center"/>
        </w:trPr>
        <w:tc>
          <w:tcPr>
            <w:tcW w:w="1500" w:type="pct"/>
            <w:vAlign w:val="center"/>
            <w:hideMark/>
          </w:tcPr>
          <w:p w:rsidR="00ED767D" w:rsidRDefault="006C7966">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rsidR="00ED767D" w:rsidRDefault="006C7966">
            <w:pPr>
              <w:pStyle w:val="NormalWeb"/>
              <w:spacing w:before="0" w:beforeAutospacing="0" w:after="0" w:afterAutospacing="0"/>
              <w:jc w:val="both"/>
              <w:rPr>
                <w:sz w:val="20"/>
                <w:szCs w:val="20"/>
              </w:rPr>
            </w:pPr>
            <w:r>
              <w:rPr>
                <w:rFonts w:ascii="Wingdings" w:hAnsi="Wingdings"/>
                <w:sz w:val="20"/>
                <w:szCs w:val="20"/>
              </w:rPr>
              <w:t></w:t>
            </w:r>
          </w:p>
        </w:tc>
        <w:tc>
          <w:tcPr>
            <w:tcW w:w="1500" w:type="pct"/>
            <w:vAlign w:val="center"/>
            <w:hideMark/>
          </w:tcPr>
          <w:p w:rsidR="00ED767D" w:rsidRDefault="006C7966">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rsidR="00ED767D" w:rsidRDefault="006C7966">
            <w:pPr>
              <w:pStyle w:val="NormalWeb"/>
              <w:spacing w:before="0" w:beforeAutospacing="0" w:after="0" w:afterAutospacing="0"/>
              <w:jc w:val="both"/>
              <w:rPr>
                <w:sz w:val="20"/>
                <w:szCs w:val="20"/>
              </w:rPr>
            </w:pPr>
            <w:r>
              <w:rPr>
                <w:rFonts w:ascii="Wingdings" w:hAnsi="Wingdings"/>
                <w:sz w:val="20"/>
                <w:szCs w:val="20"/>
              </w:rPr>
              <w:t></w:t>
            </w:r>
          </w:p>
        </w:tc>
      </w:tr>
      <w:tr w:rsidR="00ED767D">
        <w:trPr>
          <w:divId w:val="94592678"/>
          <w:trHeight w:val="180"/>
          <w:tblCellSpacing w:w="0" w:type="dxa"/>
          <w:jc w:val="center"/>
        </w:trPr>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rsidR="00ED767D" w:rsidRDefault="006C7966">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rsidR="00ED767D" w:rsidRDefault="006C7966">
            <w:pPr>
              <w:pStyle w:val="NormalWeb"/>
              <w:spacing w:before="0" w:beforeAutospacing="0" w:after="0" w:afterAutospacing="0"/>
              <w:jc w:val="both"/>
              <w:rPr>
                <w:sz w:val="20"/>
                <w:szCs w:val="20"/>
              </w:rPr>
            </w:pPr>
            <w:r>
              <w:rPr>
                <w:rFonts w:ascii="Wingdings" w:hAnsi="Wingdings"/>
                <w:sz w:val="20"/>
                <w:szCs w:val="20"/>
              </w:rPr>
              <w:t></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Emerging Growth Company     </w:t>
      </w:r>
      <w:r>
        <w:rPr>
          <w:rFonts w:ascii="Wingdings" w:hAnsi="Wingdings"/>
          <w:sz w:val="20"/>
          <w:szCs w:val="20"/>
        </w:rPr>
        <w:t></w:t>
      </w:r>
    </w:p>
    <w:p w:rsidR="00ED767D" w:rsidRDefault="00ED767D">
      <w:pPr>
        <w:jc w:val="both"/>
        <w:divId w:val="94592678"/>
        <w:rPr>
          <w:rFonts w:eastAsia="Times New Roman"/>
          <w:sz w:val="20"/>
          <w:szCs w:val="20"/>
        </w:rPr>
      </w:pPr>
    </w:p>
    <w:p w:rsidR="00ED767D" w:rsidRDefault="006C7966">
      <w:pPr>
        <w:pStyle w:val="NormalWeb"/>
        <w:spacing w:before="0" w:beforeAutospacing="0" w:after="0" w:afterAutospacing="0"/>
        <w:jc w:val="both"/>
        <w:divId w:val="94592678"/>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r>
        <w:rPr>
          <w:rFonts w:ascii="Wingdings" w:hAnsi="Wingdings"/>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Indicate by check mark whether the registrant is a shell company (as defined in Rule 12b-2 of the Exchange Act. Check one: Yes  No X</w:t>
      </w:r>
    </w:p>
    <w:p w:rsidR="00ED767D" w:rsidRDefault="006C7966">
      <w:pPr>
        <w:pStyle w:val="NormalWeb"/>
        <w:spacing w:before="0" w:beforeAutospacing="0" w:after="0" w:afterAutospacing="0"/>
        <w:jc w:val="both"/>
        <w:divId w:val="94592678"/>
        <w:rPr>
          <w:sz w:val="20"/>
          <w:szCs w:val="20"/>
        </w:rPr>
      </w:pPr>
      <w:r>
        <w:rPr>
          <w:sz w:val="20"/>
          <w:szCs w:val="20"/>
        </w:rPr>
        <w:t>For the year ended June 30, 2018, Issuer's revenues were $39,770</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aggregate market value of Common Stock at December 29, 2017 held by non-affiliates approximated $104,758,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June 30, 2018, there were 2,292,945 issued shares and outstanding shares of the registrant's Common Stock, $0.01 par value.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Documents incorporated by reference: None.</w:t>
      </w:r>
    </w:p>
    <w:p w:rsidR="00ED767D" w:rsidRDefault="006C7966">
      <w:pPr>
        <w:pStyle w:val="NormalWeb"/>
        <w:spacing w:before="0" w:beforeAutospacing="0" w:after="0" w:afterAutospacing="0"/>
        <w:jc w:val="both"/>
        <w:divId w:val="94592678"/>
        <w:rPr>
          <w:sz w:val="20"/>
          <w:szCs w:val="20"/>
        </w:rPr>
      </w:pPr>
      <w:r>
        <w:rPr>
          <w:sz w:val="20"/>
          <w:szCs w:val="20"/>
        </w:rPr>
        <w:t xml:space="preserve">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bookmarkStart w:id="1" w:name="TOC1"/>
      <w:r>
        <w:rPr>
          <w:b/>
          <w:bCs/>
          <w:sz w:val="20"/>
          <w:szCs w:val="20"/>
        </w:rPr>
        <w:t>TABLE OF CONTENTS</w:t>
      </w:r>
      <w:bookmarkEnd w:id="1"/>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5"/>
        <w:gridCol w:w="7301"/>
        <w:gridCol w:w="94"/>
        <w:gridCol w:w="94"/>
        <w:gridCol w:w="842"/>
        <w:gridCol w:w="94"/>
      </w:tblGrid>
      <w:tr w:rsidR="00ED767D">
        <w:trPr>
          <w:divId w:val="94592678"/>
          <w:trHeight w:val="180"/>
          <w:tblCellSpacing w:w="0" w:type="dxa"/>
        </w:trPr>
        <w:tc>
          <w:tcPr>
            <w:tcW w:w="0" w:type="auto"/>
            <w:vAlign w:val="bottom"/>
            <w:hideMark/>
          </w:tcPr>
          <w:p w:rsidR="00ED767D" w:rsidRDefault="00ED767D">
            <w:pPr>
              <w:jc w:val="both"/>
              <w:rPr>
                <w:rFonts w:eastAsia="Times New Roman"/>
                <w:sz w:val="20"/>
                <w:szCs w:val="20"/>
              </w:rPr>
            </w:pPr>
          </w:p>
        </w:tc>
        <w:tc>
          <w:tcPr>
            <w:tcW w:w="0" w:type="auto"/>
            <w:vAlign w:val="bottom"/>
            <w:hideMark/>
          </w:tcPr>
          <w:p w:rsidR="00ED767D" w:rsidRDefault="00ED767D">
            <w:pPr>
              <w:jc w:val="both"/>
              <w:rPr>
                <w:rFonts w:eastAsia="Times New Roman"/>
                <w:sz w:val="20"/>
                <w:szCs w:val="20"/>
              </w:rPr>
            </w:pPr>
          </w:p>
        </w:tc>
        <w:tc>
          <w:tcPr>
            <w:tcW w:w="0" w:type="auto"/>
            <w:vAlign w:val="bottom"/>
            <w:hideMark/>
          </w:tcPr>
          <w:p w:rsidR="00ED767D" w:rsidRDefault="00ED767D">
            <w:pPr>
              <w:jc w:val="both"/>
              <w:rPr>
                <w:rFonts w:eastAsia="Times New Roman"/>
                <w:sz w:val="20"/>
                <w:szCs w:val="20"/>
              </w:rPr>
            </w:pPr>
          </w:p>
        </w:tc>
        <w:tc>
          <w:tcPr>
            <w:tcW w:w="0" w:type="auto"/>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Page</w:t>
            </w:r>
          </w:p>
        </w:tc>
        <w:tc>
          <w:tcPr>
            <w:tcW w:w="0" w:type="auto"/>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vAlign w:val="bottom"/>
            <w:hideMark/>
          </w:tcPr>
          <w:p w:rsidR="00ED767D" w:rsidRDefault="00FF05C4">
            <w:pPr>
              <w:pStyle w:val="NormalWeb"/>
              <w:spacing w:before="0" w:beforeAutospacing="0" w:after="0" w:afterAutospacing="0"/>
              <w:jc w:val="both"/>
              <w:rPr>
                <w:sz w:val="20"/>
                <w:szCs w:val="20"/>
              </w:rPr>
            </w:pPr>
            <w:hyperlink w:anchor="p1" w:history="1">
              <w:r w:rsidR="006C7966">
                <w:rPr>
                  <w:rStyle w:val="Hyperlink"/>
                  <w:b/>
                  <w:bCs/>
                  <w:sz w:val="20"/>
                  <w:szCs w:val="20"/>
                </w:rPr>
                <w:t>PART I</w:t>
              </w:r>
            </w:hyperlink>
          </w:p>
        </w:tc>
        <w:tc>
          <w:tcPr>
            <w:tcW w:w="0" w:type="auto"/>
            <w:vAlign w:val="bottom"/>
            <w:hideMark/>
          </w:tcPr>
          <w:p w:rsidR="00ED767D" w:rsidRDefault="00ED767D">
            <w:pPr>
              <w:jc w:val="both"/>
              <w:rPr>
                <w:rFonts w:eastAsia="Times New Roman"/>
                <w:sz w:val="20"/>
                <w:szCs w:val="20"/>
              </w:rPr>
            </w:pPr>
          </w:p>
        </w:tc>
        <w:tc>
          <w:tcPr>
            <w:tcW w:w="0" w:type="auto"/>
            <w:vAlign w:val="bottom"/>
            <w:hideMark/>
          </w:tcPr>
          <w:p w:rsidR="00ED767D" w:rsidRDefault="00ED767D">
            <w:pPr>
              <w:jc w:val="both"/>
              <w:rPr>
                <w:rFonts w:eastAsia="Times New Roman"/>
                <w:sz w:val="20"/>
                <w:szCs w:val="20"/>
              </w:rPr>
            </w:pPr>
          </w:p>
        </w:tc>
        <w:tc>
          <w:tcPr>
            <w:tcW w:w="0" w:type="auto"/>
            <w:gridSpan w:val="2"/>
            <w:vAlign w:val="bottom"/>
            <w:hideMark/>
          </w:tcPr>
          <w:p w:rsidR="00ED767D" w:rsidRDefault="00ED767D">
            <w:pPr>
              <w:jc w:val="both"/>
              <w:rPr>
                <w:rFonts w:eastAsia="Times New Roman"/>
                <w:sz w:val="20"/>
                <w:szCs w:val="20"/>
              </w:rPr>
            </w:pPr>
          </w:p>
        </w:tc>
        <w:tc>
          <w:tcPr>
            <w:tcW w:w="0" w:type="auto"/>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vAlign w:val="bottom"/>
            <w:hideMark/>
          </w:tcPr>
          <w:p w:rsidR="00ED767D" w:rsidRDefault="00ED767D">
            <w:pPr>
              <w:jc w:val="both"/>
              <w:rPr>
                <w:rFonts w:eastAsia="Times New Roman"/>
                <w:sz w:val="20"/>
                <w:szCs w:val="20"/>
              </w:rPr>
            </w:pPr>
          </w:p>
        </w:tc>
        <w:tc>
          <w:tcPr>
            <w:tcW w:w="0" w:type="auto"/>
            <w:vAlign w:val="bottom"/>
            <w:hideMark/>
          </w:tcPr>
          <w:p w:rsidR="00ED767D" w:rsidRDefault="00ED767D">
            <w:pPr>
              <w:jc w:val="both"/>
              <w:rPr>
                <w:rFonts w:eastAsia="Times New Roman"/>
                <w:sz w:val="20"/>
                <w:szCs w:val="20"/>
              </w:rPr>
            </w:pPr>
          </w:p>
        </w:tc>
        <w:tc>
          <w:tcPr>
            <w:tcW w:w="0" w:type="auto"/>
            <w:vAlign w:val="bottom"/>
            <w:hideMark/>
          </w:tcPr>
          <w:p w:rsidR="00ED767D" w:rsidRDefault="00ED767D">
            <w:pPr>
              <w:jc w:val="both"/>
              <w:rPr>
                <w:rFonts w:eastAsia="Times New Roman"/>
                <w:sz w:val="20"/>
                <w:szCs w:val="20"/>
              </w:rPr>
            </w:pPr>
          </w:p>
        </w:tc>
        <w:tc>
          <w:tcPr>
            <w:tcW w:w="0" w:type="auto"/>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500" w:type="pct"/>
            <w:shd w:val="clear" w:color="auto" w:fill="CCEEFF"/>
            <w:vAlign w:val="bottom"/>
            <w:hideMark/>
          </w:tcPr>
          <w:p w:rsidR="00ED767D" w:rsidRDefault="00FF05C4">
            <w:pPr>
              <w:pStyle w:val="NormalWeb"/>
              <w:spacing w:before="0" w:beforeAutospacing="0" w:after="0" w:afterAutospacing="0"/>
              <w:jc w:val="both"/>
              <w:rPr>
                <w:sz w:val="20"/>
                <w:szCs w:val="20"/>
              </w:rPr>
            </w:pPr>
            <w:hyperlink w:anchor="i1" w:history="1">
              <w:r w:rsidR="006C7966">
                <w:rPr>
                  <w:rStyle w:val="Hyperlink"/>
                  <w:sz w:val="20"/>
                  <w:szCs w:val="20"/>
                </w:rPr>
                <w:t xml:space="preserve">ITEM 1. </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 w:history="1">
              <w:r w:rsidR="006C7966">
                <w:rPr>
                  <w:rStyle w:val="Hyperlink"/>
                  <w:sz w:val="20"/>
                  <w:szCs w:val="20"/>
                </w:rPr>
                <w:t>Business</w:t>
              </w:r>
            </w:hyperlink>
          </w:p>
        </w:tc>
        <w:tc>
          <w:tcPr>
            <w:tcW w:w="50" w:type="pct"/>
            <w:shd w:val="clear" w:color="auto" w:fill="CCEEFF"/>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ED767D">
            <w:pPr>
              <w:jc w:val="both"/>
              <w:rPr>
                <w:rFonts w:eastAsia="Times New Roman"/>
                <w:sz w:val="20"/>
                <w:szCs w:val="20"/>
              </w:rPr>
            </w:pP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4</w:t>
            </w:r>
          </w:p>
        </w:tc>
        <w:tc>
          <w:tcPr>
            <w:tcW w:w="50" w:type="pct"/>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1a" w:history="1">
              <w:r w:rsidR="006C7966">
                <w:rPr>
                  <w:rStyle w:val="Hyperlink"/>
                  <w:sz w:val="20"/>
                  <w:szCs w:val="20"/>
                </w:rPr>
                <w:t>ITEM 1A.</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1a" w:history="1">
              <w:r w:rsidR="006C7966">
                <w:rPr>
                  <w:rStyle w:val="Hyperlink"/>
                  <w:sz w:val="20"/>
                  <w:szCs w:val="20"/>
                </w:rPr>
                <w:t>Risk Factors</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8</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b" w:history="1">
              <w:r w:rsidR="006C7966">
                <w:rPr>
                  <w:rStyle w:val="Hyperlink"/>
                  <w:sz w:val="20"/>
                  <w:szCs w:val="20"/>
                </w:rPr>
                <w:t>ITEM 1B.</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b" w:history="1">
              <w:r w:rsidR="006C7966">
                <w:rPr>
                  <w:rStyle w:val="Hyperlink"/>
                  <w:sz w:val="20"/>
                  <w:szCs w:val="20"/>
                </w:rPr>
                <w:t>Unresolved Staff Comments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10</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2" w:history="1">
              <w:r w:rsidR="006C7966">
                <w:rPr>
                  <w:rStyle w:val="Hyperlink"/>
                  <w:sz w:val="20"/>
                  <w:szCs w:val="20"/>
                </w:rPr>
                <w:t>ITEM 2.</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2" w:history="1">
              <w:r w:rsidR="006C7966">
                <w:rPr>
                  <w:rStyle w:val="Hyperlink"/>
                  <w:sz w:val="20"/>
                  <w:szCs w:val="20"/>
                </w:rPr>
                <w:t>Properties</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3" w:history="1">
              <w:r w:rsidR="006C7966">
                <w:rPr>
                  <w:rStyle w:val="Hyperlink"/>
                  <w:sz w:val="20"/>
                  <w:szCs w:val="20"/>
                </w:rPr>
                <w:t>ITEM 3.</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3" w:history="1">
              <w:r w:rsidR="006C7966">
                <w:rPr>
                  <w:rStyle w:val="Hyperlink"/>
                  <w:sz w:val="20"/>
                  <w:szCs w:val="20"/>
                </w:rPr>
                <w:t>Legal Proceedings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11</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4" w:history="1">
              <w:r w:rsidR="006C7966">
                <w:rPr>
                  <w:rStyle w:val="Hyperlink"/>
                  <w:sz w:val="20"/>
                  <w:szCs w:val="20"/>
                </w:rPr>
                <w:t>ITEM 4.</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4" w:history="1">
              <w:r w:rsidR="006C7966">
                <w:rPr>
                  <w:rStyle w:val="Hyperlink"/>
                  <w:sz w:val="20"/>
                  <w:szCs w:val="20"/>
                </w:rPr>
                <w:t>Mine Safety Disclosures</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p2" w:history="1">
              <w:r w:rsidR="006C7966">
                <w:rPr>
                  <w:rStyle w:val="Hyperlink"/>
                  <w:b/>
                  <w:bCs/>
                  <w:sz w:val="20"/>
                  <w:szCs w:val="20"/>
                </w:rPr>
                <w:t>PART II</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5" w:history="1">
              <w:r w:rsidR="006C7966">
                <w:rPr>
                  <w:rStyle w:val="Hyperlink"/>
                  <w:sz w:val="20"/>
                  <w:szCs w:val="20"/>
                </w:rPr>
                <w:t>ITEM 5.</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5" w:history="1">
              <w:r w:rsidR="006C7966">
                <w:rPr>
                  <w:rStyle w:val="Hyperlink"/>
                  <w:sz w:val="20"/>
                  <w:szCs w:val="20"/>
                </w:rPr>
                <w:t>Market for Registrant's Common Equity, Related Stockholder Matters and Issuer Purchases of Equity Securities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12</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6" w:history="1">
              <w:r w:rsidR="006C7966">
                <w:rPr>
                  <w:rStyle w:val="Hyperlink"/>
                  <w:sz w:val="20"/>
                  <w:szCs w:val="20"/>
                </w:rPr>
                <w:t>ITEM 6.</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6" w:history="1">
              <w:r w:rsidR="006C7966">
                <w:rPr>
                  <w:rStyle w:val="Hyperlink"/>
                  <w:sz w:val="20"/>
                  <w:szCs w:val="20"/>
                </w:rPr>
                <w:t>Selected Financial Data</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12</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7" w:history="1">
              <w:r w:rsidR="006C7966">
                <w:rPr>
                  <w:rStyle w:val="Hyperlink"/>
                  <w:sz w:val="20"/>
                  <w:szCs w:val="20"/>
                </w:rPr>
                <w:t>ITEM 7.</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7" w:history="1">
              <w:r w:rsidR="006C7966">
                <w:rPr>
                  <w:rStyle w:val="Hyperlink"/>
                  <w:sz w:val="20"/>
                  <w:szCs w:val="20"/>
                </w:rPr>
                <w:t>Management's Discussion and Analysis of Financial Condition and Results of Operations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12</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7a" w:history="1">
              <w:r w:rsidR="006C7966">
                <w:rPr>
                  <w:rStyle w:val="Hyperlink"/>
                  <w:sz w:val="20"/>
                  <w:szCs w:val="20"/>
                </w:rPr>
                <w:t xml:space="preserve">ITEM 7A. </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7a" w:history="1">
              <w:r w:rsidR="006C7966">
                <w:rPr>
                  <w:rStyle w:val="Hyperlink"/>
                  <w:sz w:val="20"/>
                  <w:szCs w:val="20"/>
                </w:rPr>
                <w:t>Quantitative and Qualitative Disclosures About Market Risk</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8" w:history="1">
              <w:r w:rsidR="006C7966">
                <w:rPr>
                  <w:rStyle w:val="Hyperlink"/>
                  <w:sz w:val="20"/>
                  <w:szCs w:val="20"/>
                </w:rPr>
                <w:t>ITEM 8.</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8" w:history="1">
              <w:r w:rsidR="006C7966">
                <w:rPr>
                  <w:rStyle w:val="Hyperlink"/>
                  <w:sz w:val="20"/>
                  <w:szCs w:val="20"/>
                </w:rPr>
                <w:t>Condensed Consolidated Financial Statements and Supplementary Data</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9" w:history="1">
              <w:r w:rsidR="006C7966">
                <w:rPr>
                  <w:rStyle w:val="Hyperlink"/>
                  <w:sz w:val="20"/>
                  <w:szCs w:val="20"/>
                </w:rPr>
                <w:t>ITEM 9.</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9" w:history="1">
              <w:r w:rsidR="006C7966">
                <w:rPr>
                  <w:rStyle w:val="Hyperlink"/>
                  <w:sz w:val="20"/>
                  <w:szCs w:val="20"/>
                </w:rPr>
                <w:t>Changes In and Disagreements With Accountants on Accounting and Financial Disclosure</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9a" w:history="1">
              <w:r w:rsidR="006C7966">
                <w:rPr>
                  <w:rStyle w:val="Hyperlink"/>
                  <w:sz w:val="20"/>
                  <w:szCs w:val="20"/>
                </w:rPr>
                <w:t>ITEM 9A.</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9a" w:history="1">
              <w:r w:rsidR="006C7966">
                <w:rPr>
                  <w:rStyle w:val="Hyperlink"/>
                  <w:sz w:val="20"/>
                  <w:szCs w:val="20"/>
                </w:rPr>
                <w:t>Controls and Procedures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9b" w:history="1">
              <w:r w:rsidR="006C7966">
                <w:rPr>
                  <w:rStyle w:val="Hyperlink"/>
                  <w:sz w:val="20"/>
                  <w:szCs w:val="20"/>
                </w:rPr>
                <w:t>ITEM 9B.</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9b" w:history="1">
              <w:r w:rsidR="006C7966">
                <w:rPr>
                  <w:rStyle w:val="Hyperlink"/>
                  <w:sz w:val="20"/>
                  <w:szCs w:val="20"/>
                </w:rPr>
                <w:t>Other Information</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17</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p3" w:history="1">
              <w:r w:rsidR="006C7966">
                <w:rPr>
                  <w:rStyle w:val="Hyperlink"/>
                  <w:b/>
                  <w:bCs/>
                  <w:sz w:val="20"/>
                  <w:szCs w:val="20"/>
                </w:rPr>
                <w:t>PART III</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0" w:history="1">
              <w:r w:rsidR="006C7966">
                <w:rPr>
                  <w:rStyle w:val="Hyperlink"/>
                  <w:sz w:val="20"/>
                  <w:szCs w:val="20"/>
                </w:rPr>
                <w:t>ITEM 10.</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0" w:history="1">
              <w:r w:rsidR="006C7966">
                <w:rPr>
                  <w:rStyle w:val="Hyperlink"/>
                  <w:sz w:val="20"/>
                  <w:szCs w:val="20"/>
                </w:rPr>
                <w:t>Directors, Executive Officers and Corporate Governance</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18</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11" w:history="1">
              <w:r w:rsidR="006C7966">
                <w:rPr>
                  <w:rStyle w:val="Hyperlink"/>
                  <w:sz w:val="20"/>
                  <w:szCs w:val="20"/>
                </w:rPr>
                <w:t>ITEM 11.</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11" w:history="1">
              <w:r w:rsidR="006C7966">
                <w:rPr>
                  <w:rStyle w:val="Hyperlink"/>
                  <w:sz w:val="20"/>
                  <w:szCs w:val="20"/>
                </w:rPr>
                <w:t>Executive Compensation</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19</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2" w:history="1">
              <w:r w:rsidR="006C7966">
                <w:rPr>
                  <w:rStyle w:val="Hyperlink"/>
                  <w:sz w:val="20"/>
                  <w:szCs w:val="20"/>
                </w:rPr>
                <w:t>ITEM 12.</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2" w:history="1">
              <w:r w:rsidR="006C7966">
                <w:rPr>
                  <w:rStyle w:val="Hyperlink"/>
                  <w:sz w:val="20"/>
                  <w:szCs w:val="20"/>
                </w:rPr>
                <w:t>Security Ownership of Certain Beneficial Owners and Management and Related Stockholder Matters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21</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13" w:history="1">
              <w:r w:rsidR="006C7966">
                <w:rPr>
                  <w:rStyle w:val="Hyperlink"/>
                  <w:sz w:val="20"/>
                  <w:szCs w:val="20"/>
                </w:rPr>
                <w:t>ITEM 13.</w:t>
              </w:r>
            </w:hyperlink>
          </w:p>
        </w:tc>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i13" w:history="1">
              <w:r w:rsidR="006C7966">
                <w:rPr>
                  <w:rStyle w:val="Hyperlink"/>
                  <w:sz w:val="20"/>
                  <w:szCs w:val="20"/>
                </w:rPr>
                <w:t>Certain Relationships and Related Transactions, and Director Independence</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22</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4" w:history="1">
              <w:r w:rsidR="006C7966">
                <w:rPr>
                  <w:rStyle w:val="Hyperlink"/>
                  <w:sz w:val="20"/>
                  <w:szCs w:val="20"/>
                </w:rPr>
                <w:t>ITEM 14.</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4" w:history="1">
              <w:r w:rsidR="006C7966">
                <w:rPr>
                  <w:rStyle w:val="Hyperlink"/>
                  <w:sz w:val="20"/>
                  <w:szCs w:val="20"/>
                </w:rPr>
                <w:t>Principal Accountant Fees and Services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22</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FF05C4">
            <w:pPr>
              <w:pStyle w:val="NormalWeb"/>
              <w:spacing w:before="0" w:beforeAutospacing="0" w:after="0" w:afterAutospacing="0"/>
              <w:jc w:val="both"/>
              <w:rPr>
                <w:sz w:val="20"/>
                <w:szCs w:val="20"/>
              </w:rPr>
            </w:pPr>
            <w:hyperlink w:anchor="p4" w:history="1">
              <w:r w:rsidR="006C7966">
                <w:rPr>
                  <w:rStyle w:val="Hyperlink"/>
                  <w:b/>
                  <w:bCs/>
                  <w:sz w:val="20"/>
                  <w:szCs w:val="20"/>
                </w:rPr>
                <w:t>PART IV</w:t>
              </w:r>
            </w:hyperlink>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5" w:history="1">
              <w:r w:rsidR="006C7966">
                <w:rPr>
                  <w:rStyle w:val="Hyperlink"/>
                  <w:sz w:val="20"/>
                  <w:szCs w:val="20"/>
                </w:rPr>
                <w:t>ITEM 15.</w:t>
              </w:r>
            </w:hyperlink>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i15" w:history="1">
              <w:r w:rsidR="006C7966">
                <w:rPr>
                  <w:rStyle w:val="Hyperlink"/>
                  <w:sz w:val="20"/>
                  <w:szCs w:val="20"/>
                </w:rPr>
                <w:t>Exhibits and Financial Statement Schedules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23</w:t>
            </w:r>
          </w:p>
        </w:tc>
        <w:tc>
          <w:tcPr>
            <w:tcW w:w="0" w:type="auto"/>
            <w:shd w:val="clear" w:color="auto" w:fill="CCEEFF"/>
            <w:vAlign w:val="bottom"/>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FF05C4">
            <w:pPr>
              <w:pStyle w:val="NormalWeb"/>
              <w:spacing w:before="0" w:beforeAutospacing="0" w:after="0" w:afterAutospacing="0"/>
              <w:jc w:val="both"/>
              <w:rPr>
                <w:sz w:val="20"/>
                <w:szCs w:val="20"/>
              </w:rPr>
            </w:pPr>
            <w:hyperlink w:anchor="sig" w:history="1">
              <w:r w:rsidR="006C7966">
                <w:rPr>
                  <w:rStyle w:val="Hyperlink"/>
                  <w:sz w:val="20"/>
                  <w:szCs w:val="20"/>
                </w:rPr>
                <w:t>Signatures</w:t>
              </w:r>
            </w:hyperlink>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right"/>
              <w:rPr>
                <w:sz w:val="20"/>
                <w:szCs w:val="20"/>
              </w:rPr>
            </w:pPr>
            <w:r>
              <w:rPr>
                <w:sz w:val="20"/>
                <w:szCs w:val="20"/>
              </w:rPr>
              <w:t>24</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Ef" w:history="1">
              <w:r w:rsidR="006C7966">
                <w:rPr>
                  <w:rStyle w:val="Hyperlink"/>
                  <w:sz w:val="20"/>
                  <w:szCs w:val="20"/>
                </w:rPr>
                <w:t>Exhibit F: Condensed Consolidated Financial Statements and Schedules</w:t>
              </w:r>
            </w:hyperlink>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F-1</w:t>
            </w:r>
          </w:p>
        </w:tc>
        <w:tc>
          <w:tcPr>
            <w:tcW w:w="0" w:type="auto"/>
            <w:shd w:val="clear" w:color="auto" w:fill="CCEEFF"/>
            <w:vAlign w:val="bottom"/>
            <w:hideMark/>
          </w:tcPr>
          <w:p w:rsidR="00ED767D" w:rsidRDefault="00ED767D">
            <w:pPr>
              <w:jc w:val="both"/>
              <w:rPr>
                <w:rFonts w:eastAsia="Times New Roman"/>
                <w:sz w:val="20"/>
                <w:szCs w:val="20"/>
              </w:rPr>
            </w:pPr>
          </w:p>
        </w:tc>
      </w:tr>
    </w:tbl>
    <w:p w:rsidR="00ED767D" w:rsidRDefault="006C7966">
      <w:pPr>
        <w:pStyle w:val="NormalWeb"/>
        <w:spacing w:before="0" w:beforeAutospacing="0" w:after="0" w:afterAutospacing="0"/>
        <w:jc w:val="both"/>
        <w:divId w:val="94592678"/>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2</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b/>
          <w:bCs/>
          <w:sz w:val="20"/>
          <w:szCs w:val="20"/>
        </w:rPr>
        <w:t>Cautionary Language Regarding Forward-Looking Statements and Industry Data</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This Annual Report on Form 10-K contains "forward-looking statements". Forward-looking statements are based upon our current assumptions, expectations and beliefs concerning future developments and their potential effect on our business. In some cases, you can identify forward-looking statements by the following words: "may," "could," "would," "should," "expect," "intend," "plan," "anticipate," "believe," "approximately," "estimate," "predict," "project," "potential" or the negative of these terms or other comparable terminology, although the absence of these words does not necessarily mean that a statement is not forward-looking. This information may involve known and unknown risks, uncertainties and other factors which may cause our actual results, performance or achievements to be materially different from the future results, performance or achievements expressed or implied by any forward-looking statements.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Factors that may cause or contribute actual results to differ from these forward-looking statements include, but are not limited to, the following:</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ED767D">
        <w:trPr>
          <w:divId w:val="94592678"/>
          <w:tblCellSpacing w:w="0" w:type="dxa"/>
        </w:trPr>
        <w:tc>
          <w:tcPr>
            <w:tcW w:w="200" w:type="pct"/>
            <w:vAlign w:val="center"/>
            <w:hideMark/>
          </w:tcPr>
          <w:p w:rsidR="00ED767D" w:rsidRDefault="00ED767D">
            <w:pPr>
              <w:jc w:val="both"/>
              <w:rPr>
                <w:rFonts w:eastAsia="Times New Roman"/>
                <w:sz w:val="20"/>
                <w:szCs w:val="20"/>
              </w:rPr>
            </w:pPr>
          </w:p>
        </w:tc>
        <w:tc>
          <w:tcPr>
            <w:tcW w:w="200" w:type="pct"/>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all the risks inherent in the owning, buying, leasing, selling, or developing real estate or the real estate business;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the Company's absence of significant sales or sales revenues, which make it difficult to predict future performance;</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the need to make multiple assumptions in preparing forecasts and projections of any kind, and significant difficulties in predicting and forecasting accurately the expenses likely to be incurred and the revenues likely to be generated in the Company's future operations;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significant competition in the real estate leasing and development business;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the risk that the Company will have difficulties executing its intended business plan;</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 xml:space="preserve">the risk that the Company's sole source of revenues may discontinue leasing, become insolvent, or not renew its relationship with the Company;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potential barriers, risks, uncertainties and obstacles to the Company's business plans;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risks associated with the tightening or other adverse changes in the overall capital and credit markets and decreased availability of investment capital and/or credit, bank financing or other debt financing as and when needed or at favorable terms including fixed and/or low interest rates; and</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other risks over which we have no control.</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All forward-looking statements speak only as of the date of this report. We undertake no obligation to update any forward-looking statements or other information contained herein. Stockholders and potential investors should not place undue reliance on these forward-looking statements. Although we believe that our plans, intentions and expectations reflected in or suggested by the forward-looking statements in this report are reasonable, we cannot assure stockholders and potential investors that these plans, intentions or expectations will be achieved. These cautionary statements qualify all forward-looking statements attributable to us or persons acting on our behalf.</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Information regarding market and industry statistics contained in this report is included based on information available to us that we believe is accurate. It is generally based on academic and other publications that are not produced for purposes of securities offerings or economic analysis. Forecasts and other forward-looking information obtained from these sources are subject to the same qualifications and the additional uncertainties accompanying any estimates of future market size, revenue and market acceptance of products and services. Except as required by U.S. federal securities laws, we have no obligation to update forward-looking information to reflect actual results or changes in assumptions or other factors that could affect those statements.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3</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 w:name="p1"/>
      <w:r>
        <w:rPr>
          <w:rStyle w:val="Strong"/>
          <w:sz w:val="20"/>
          <w:szCs w:val="20"/>
        </w:rPr>
        <w:t>PART I</w:t>
      </w:r>
      <w:bookmarkEnd w:id="2"/>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3" w:name="i1"/>
      <w:r>
        <w:rPr>
          <w:b/>
          <w:bCs/>
          <w:i/>
          <w:iCs/>
          <w:sz w:val="20"/>
          <w:szCs w:val="20"/>
        </w:rPr>
        <w:t>ITEM 1- DESCRIPTION OF BUSINESS</w:t>
      </w:r>
      <w:bookmarkEnd w:id="3"/>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GENERAL:</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Advanced Oxygen Technologies, Inc. ("Advanced Oxygen Technologies", "AOXY", or the "Company") sole operations are derived from its wholly owned subsidiary Anton Nielsen Vojens, ApS ("ANV"). ANV is a Danish company that owns commercial real estate in Vojens, Denmark. ANV's revenues are derived solely from the lease revenue from its real estate. Circle K leases the facility from ANV. The lease expires in 2026.</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AOXY, incorporated in Delaware in 1981 under the name Aquanautics Corporation, was, from 1985 until May 1995, a startup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ANV.</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 xml:space="preserve">HISTORY OF THE COMPANY: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THE PATENT SALE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On May 1, 1995, the Company sold its patents, and all related technology and intellectual property rights (collectively the "Patents Rights") to W. R. Grace &amp; Co. Conn., a Connecticut corporation ("Grace"). The price for the Patents Rights was $335,000, in cash, and a royalty until April 30, 2007.</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STOCK ACQUISITION AGREEMENT, 12/18/97</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Pursuant to a Stock Acquisition Agreement dated as of December 18, 1997, Advanced Oxygen Technologies, Inc. ("AOXY") has issued 23,750,00 shares of its common stock, par value $.01 per share for $60,000 cash plus consulting services rendered valued at $177,500, to Crossland, Ltd., ("Crossland"), Eastern Star, Ltd., ("Eastern Star"), Coastal </w:t>
      </w:r>
      <w:r>
        <w:rPr>
          <w:sz w:val="20"/>
          <w:szCs w:val="20"/>
        </w:rPr>
        <w:lastRenderedPageBreak/>
        <w:t xml:space="preserve">Oil, Ltd. ("Coastal") and Crossland, Ltd. (Belize) ("CLB"). Crossland and Eastern Star, Ltd. are Bahamas corporations. Coastal Oil and CLB are Belize corporations.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PURCHASE AGREEMENT, 12/18/97</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a Purchase Agreement dated as of December 18, 1997, CLB, Triton-International, Ltd., ("Triton"), a Bahamas corporation, and Robert E. Wolfe purchased an aggregate of 800,000 shares of AOXY's common stock from Edelson Technology Partners II, L.P. ("ETPII") for $10,000 cash. AOXY issued 450,000 shares of its capital stock to ETPII in exchange for consulting services to be rendered. The general partner of ETPII is Harry Edelson, Chairman of the Board and Chief Executive Officer of AOXY prior to the transactions resulting in the change of control (the "Transactions"). Prior to the Transactions Mr. Edelson directly or indirectly owned approximately 25% of the issued and outstanding common stock of AOXY, and following the completion of Mr. Edelson's consultancy he will own approximately 1.5%.</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4</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5813"/>
        <w:gridCol w:w="57"/>
        <w:gridCol w:w="58"/>
        <w:gridCol w:w="800"/>
        <w:gridCol w:w="58"/>
        <w:gridCol w:w="58"/>
        <w:gridCol w:w="95"/>
        <w:gridCol w:w="850"/>
        <w:gridCol w:w="167"/>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Company/Individual</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Number of Shares</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Percent Ownership</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0.17</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Crossland (Belize)</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6,312,500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21.30</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Triton International</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375,000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1.26</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Coastal Oil, Ltd.</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5,937,500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20.03</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Crossland Ltd.</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5,937,500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20.03</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Eastern Star, Ltd.</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5,937,500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20.03</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ACQUISITION OR DISPOSITION OF ASSETS, 03/09/98.</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was $2,000,000.</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PURCHASE AGREEMENT OF 1/29/99</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ACQUISITION OR DISPOSITION OF ASSETS OF 03/05/2003</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w:t>
      </w:r>
      <w:r>
        <w:rPr>
          <w:sz w:val="20"/>
          <w:szCs w:val="20"/>
        </w:rPr>
        <w:lastRenderedPageBreak/>
        <w:t>shares of common stock and one share of preferred convertible stock to the Shareholders for payment and consideration of the Purchase Price.</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5</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MOBILIGROUP ApS MERGER AGREEMENT OF 04/ 23/2005</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a merger agreement attached hereto as exhibit I, ("Merger Agreement"), on April 23, 2005 Mobile Group Inc., ("Mobile "a formerly wholly owned subsidiary of Advanced Oxygen Technologies, Inc. acquired 100% of the issued and outstanding stock of Mobiligroup, ApS in exchange for 800 shares of Mobile representing 80% of the issued and outstanding shares of Mobile.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SALE OF IP SERVICE: STOCK ACQUISITION AGREEMENT OF 04/27/2005</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a stock acquisition agreement, on April 27, 2005 Advanced Oxygen Technologies, Inc. sold 100.00% of the stock of IP Service ApS to Securas, Ltd. 7 Stewards Court, Carlisle Close, Kingston Upon Thames, Surrey KT2 7AU, United Kingdom ("SecurAs").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PURCHASE OF ANTON NIELSEN VOJENS, ApS: STOCK ACQUISITION AGREEMENT OF FEBRUARY 3, 2006</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a stock acquisition agreement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1) AOXY executed a promissory note ("Note") for $650,000, payable to the sellers of ANV ("Sellers") payable and amortized monthly and carrying an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Sellers must demand such conversion with a notice of 1 month.</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SUBDIVISION AND SALE OF REAL ESTATE OF MARCH 3, 2006</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an acquisition agreement attached hereto as exhibit I (Danish original) and Exhibit II (English Translation)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CHANGES IN REGISTRANT'S CERTIFYING ACCOUNTANT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On August 05, 2016 the Company has engaged Sadler, Gibb &amp; Associates, LLC, 2455 E. Parleys Way, Suite 320, Salt Lake City, UT 84109, (801)783-2960 ("New Accountants") as its certified accounting firm/outside auditor from its Danish auditors CHR. Additionally, the Company had not consulted the New Accountants regarding: (i) The application of accounting principles to a specific completed or contemplated transaction, or the type of audit opinion </w:t>
      </w:r>
      <w:r>
        <w:rPr>
          <w:sz w:val="20"/>
          <w:szCs w:val="20"/>
        </w:rPr>
        <w:lastRenderedPageBreak/>
        <w:t>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6</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CHANGE IN ADDRESS OF COMPANY, MARCH 5, 2009</w:t>
      </w:r>
      <w:r>
        <w:rPr>
          <w:i/>
          <w:iCs/>
          <w:sz w:val="20"/>
          <w:szCs w:val="20"/>
        </w:rPr>
        <w:br/>
      </w:r>
      <w:r>
        <w:rPr>
          <w:sz w:val="20"/>
          <w:szCs w:val="20"/>
        </w:rPr>
        <w:br/>
        <w:t>The Company's location, and location of books and records has changed from Advanced Oxygen Technologies, Inc. C/O Crossfield Inc. 100 Maiden Lane, Suite 2003, New York, NY 10038 to Advanced Oxygen Technologies, Inc. c/o Crossfield, Inc. , 653 VT Route 12A, PO Box 189 Randolph, VT 05060 Telephone (212)-727-7085, Fax (802)-332-6100. This location is collocated with a related business of the president, Robert E. Wolfe.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COMPANY OBJECTIVE AND MISSION: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currently shares its location with a related company of the President of the Company. The Company owns 100% of a subsidiary, Anton Nielsen Vojens, ApS ("ANV"). ANV owns and leases commercial real estate to Circle K, a Danish company. The lease expires in 2026. Through this lease, the Company believes that the operations of ANV will continue to produce revenues.</w:t>
      </w:r>
    </w:p>
    <w:p w:rsidR="00ED767D" w:rsidRDefault="006C7966">
      <w:pPr>
        <w:pStyle w:val="NormalWeb"/>
        <w:spacing w:before="0" w:beforeAutospacing="0" w:after="0" w:afterAutospacing="0"/>
        <w:jc w:val="both"/>
        <w:divId w:val="94592678"/>
        <w:rPr>
          <w:sz w:val="20"/>
          <w:szCs w:val="20"/>
        </w:rPr>
      </w:pPr>
      <w:r>
        <w:rPr>
          <w:sz w:val="20"/>
          <w:szCs w:val="20"/>
        </w:rPr>
        <w:t>The Company continues its efforts to raise capital to support operations and growth, and is actively searching acquisitions or mergers with another company that would complement the Company and increase its earnings potential.</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COMPETITION: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subsidiary ANV revenues are currently derived from its lease revenues of its commercial real estate holding. With the global changes in the economies during the year ended June 30, 2018, the Company's direct competition would be other vacant commercial real estate entities. The Company believes that there are no identifiable direct competitors.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CUSTOMERS: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subsidiary ANV currently has one customer, Circle K Denmark A/S, formerly StatOil AS., Copenhagen Denmark.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EMPLOYEES: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As of June 30, 2018 the Company had a total of 1 employee.</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7</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4" w:name="i1a"/>
      <w:r>
        <w:rPr>
          <w:b/>
          <w:bCs/>
          <w:i/>
          <w:iCs/>
          <w:sz w:val="20"/>
          <w:szCs w:val="20"/>
        </w:rPr>
        <w:t>ITEM 1A. RISK FACTORS</w:t>
      </w:r>
      <w:bookmarkEnd w:id="4"/>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Risks Specific to Our Company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POTENTIAL PROFITABILITY OF COMMERCIAL REAL ESTATE VENTURES DEPENDS UPON FACTORS BEYOND THE CONTROL OF OUR COMPANY.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w:t>
      </w:r>
      <w:r>
        <w:rPr>
          <w:sz w:val="20"/>
          <w:szCs w:val="20"/>
        </w:rPr>
        <w:lastRenderedPageBreak/>
        <w:t>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WE ARE SUBJECT TO RISKS ASSOCIATED WITH FOREIGN CURRENCY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ANV is a Danish company with operations only in Denmark. During the year ended June 30, 2018 and 2017, foreign revenues accounted for 100% of our total revenue. As a result, we are subject to risks associated with generating revenue in multiple countries, including:</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ED767D">
        <w:trPr>
          <w:divId w:val="94592678"/>
          <w:tblCellSpacing w:w="0" w:type="dxa"/>
        </w:trPr>
        <w:tc>
          <w:tcPr>
            <w:tcW w:w="200" w:type="pct"/>
            <w:vAlign w:val="center"/>
            <w:hideMark/>
          </w:tcPr>
          <w:p w:rsidR="00ED767D" w:rsidRDefault="00ED767D">
            <w:pPr>
              <w:jc w:val="both"/>
              <w:rPr>
                <w:rFonts w:eastAsia="Times New Roman"/>
                <w:sz w:val="20"/>
                <w:szCs w:val="20"/>
              </w:rPr>
            </w:pPr>
          </w:p>
        </w:tc>
        <w:tc>
          <w:tcPr>
            <w:tcW w:w="200" w:type="pct"/>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increased time, effort and attention of our management to manage our foreign operations;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balance sheet fluctuations.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currency devaluations and fluctuations in currency exchange rates, including impacts of transactions in various currencies and translation of various currencies into dollars for U.S. reporting and financial covenant compliance purposes;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language barriers and other difficulties in staffing and managing foreign operations;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longer customer payment cycles and greater difficulties in collecting accounts receivable;</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uncertainties of laws and enforcement relating to the protection of property;</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imposition of or increases in currency exchange controls, including imposition of or increases in limitations on conversion of various currencies into U.S. dollars;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imposition of or increases in revenue, income or earnings taxes and withholding and other taxes;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imposition of or increases in investment or trade restrictions and other restrictions or requirements by non-U.S. Governments;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inability to definitively determine or satisfy legal requirements, inability to effectively enforce contract or legal rights and inability to obtain complete financial or other information under local legal, judicial, regulatory, disclosure and other systems; and</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nationalization and other risks, which could result from a change in government or other political, social or economic instability.</w:t>
            </w:r>
          </w:p>
        </w:tc>
      </w:tr>
    </w:tbl>
    <w:p w:rsidR="00ED767D" w:rsidRDefault="006C7966">
      <w:pPr>
        <w:pStyle w:val="NormalWeb"/>
        <w:spacing w:before="0" w:beforeAutospacing="0" w:after="0" w:afterAutospacing="0"/>
        <w:jc w:val="both"/>
        <w:divId w:val="94592678"/>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8</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WE ARE SUBJECT TO RISKS ASSOCIATED WITH OPERATIONS THAT HAVE A CONCENTRATION OF CUSTOMERS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ANV has only one customer. There is no guarantee that this customer will remain solvent, and or continue with the Company in the same manner as it is now. As such, if the Company were to lose this customer, 100% of its revenues would be lost.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IN THE FUTURE, WE MAY NEED TO OBTAIN ADDITIONAL FINANCING TO FUND OUR OPERATIONS AND TO ACQUIRE ADDITIONAL BUSINESSES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the future, we may need to obtain additional financing to fund our operations and to acquire additional businesses. There is no guarantee that we will be able to raise additional capital.</w:t>
      </w:r>
    </w:p>
    <w:p w:rsidR="00ED767D" w:rsidRDefault="006C7966">
      <w:pPr>
        <w:pStyle w:val="NormalWeb"/>
        <w:spacing w:before="0" w:beforeAutospacing="0" w:after="0" w:afterAutospacing="0"/>
        <w:jc w:val="both"/>
        <w:divId w:val="94592678"/>
        <w:rPr>
          <w:sz w:val="20"/>
          <w:szCs w:val="20"/>
        </w:rPr>
      </w:pPr>
      <w:r>
        <w:rPr>
          <w:sz w:val="20"/>
          <w:szCs w:val="20"/>
        </w:rPr>
        <w:lastRenderedPageBreak/>
        <w:t> </w:t>
      </w:r>
    </w:p>
    <w:p w:rsidR="00ED767D" w:rsidRDefault="006C7966">
      <w:pPr>
        <w:pStyle w:val="NormalWeb"/>
        <w:spacing w:before="0" w:beforeAutospacing="0" w:after="0" w:afterAutospacing="0"/>
        <w:jc w:val="both"/>
        <w:divId w:val="94592678"/>
        <w:rPr>
          <w:sz w:val="20"/>
          <w:szCs w:val="20"/>
        </w:rPr>
      </w:pPr>
      <w:r>
        <w:rPr>
          <w:i/>
          <w:iCs/>
          <w:sz w:val="20"/>
          <w:szCs w:val="20"/>
        </w:rPr>
        <w:t>EFFORTS TO COMPLY WITH RECENTLY ENACTED CHANGES IN SECURITIES LAWS AND REGULATIONS HAVE REQUIRED SUBSTANTIAL FINANCIAL AND PERSONNEL RESOURCES AND WE STILL MAY FAIL TO COMPLY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Section 404 of the Sarbanes-Oxley Act of 2002, the SEC adopted rules requiring public companies to include a report of management on our internal controls over condensed consolidated financial reporting in our annual reports on Form 10-K. In addition, the independent registered public accounting firm auditing our condensed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resources required to comply, uncertainty exists regarding our ability to continue to comply with these rules even though the Company may have complied in the past.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PROVISIONS OF OUR CORPORATE DOCUMENTS AND DELAWARE CORPORATE LAW MAY DETER A THIRD PARTY FROM ACQUIRING OUR COMPANY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WE PLAN TO GROW OUR BUSINESS THROUGH ACQUISITIONS AND JOINT VENTURES, WHICH WILL RESULT IN OUR INCURRING SIGNIFICANT COSTS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ED767D">
        <w:trPr>
          <w:divId w:val="94592678"/>
          <w:tblCellSpacing w:w="0" w:type="dxa"/>
        </w:trPr>
        <w:tc>
          <w:tcPr>
            <w:tcW w:w="200" w:type="pct"/>
            <w:vAlign w:val="center"/>
            <w:hideMark/>
          </w:tcPr>
          <w:p w:rsidR="00ED767D" w:rsidRDefault="00ED767D">
            <w:pPr>
              <w:jc w:val="both"/>
              <w:rPr>
                <w:rFonts w:eastAsia="Times New Roman"/>
                <w:sz w:val="20"/>
                <w:szCs w:val="20"/>
              </w:rPr>
            </w:pPr>
          </w:p>
        </w:tc>
        <w:tc>
          <w:tcPr>
            <w:tcW w:w="200" w:type="pct"/>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diversion of management time and resources;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difficulty of assimilating the operations and personnel of the acquired companies;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potential disruption of our ongoing business;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difficulties in maintaining uniform standards, controls, procedures and policies;</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impairment of relationships with employees and customers as a result of any integration of new management personnel; and</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ED767D">
            <w:pPr>
              <w:jc w:val="both"/>
              <w:rPr>
                <w:rFonts w:eastAsia="Times New Roman"/>
                <w:sz w:val="20"/>
                <w:szCs w:val="20"/>
              </w:rPr>
            </w:pPr>
          </w:p>
        </w:tc>
        <w:tc>
          <w:tcPr>
            <w:tcW w:w="0" w:type="auto"/>
            <w:hideMark/>
          </w:tcPr>
          <w:p w:rsidR="00ED767D" w:rsidRDefault="006C7966">
            <w:pPr>
              <w:jc w:val="both"/>
              <w:rPr>
                <w:rFonts w:eastAsia="Times New Roman"/>
                <w:sz w:val="20"/>
                <w:szCs w:val="20"/>
              </w:rPr>
            </w:pPr>
            <w:r>
              <w:rPr>
                <w:rFonts w:eastAsia="Times New Roman"/>
                <w:sz w:val="20"/>
                <w:szCs w:val="20"/>
              </w:rPr>
              <w:t>*</w:t>
            </w:r>
          </w:p>
        </w:tc>
        <w:tc>
          <w:tcPr>
            <w:tcW w:w="0" w:type="auto"/>
            <w:hideMark/>
          </w:tcPr>
          <w:p w:rsidR="00ED767D" w:rsidRDefault="006C7966">
            <w:pPr>
              <w:jc w:val="both"/>
              <w:rPr>
                <w:rFonts w:eastAsia="Times New Roman"/>
                <w:sz w:val="20"/>
                <w:szCs w:val="20"/>
              </w:rPr>
            </w:pPr>
            <w:r>
              <w:rPr>
                <w:rFonts w:eastAsia="Times New Roman"/>
                <w:sz w:val="20"/>
                <w:szCs w:val="20"/>
              </w:rPr>
              <w:t>potential unknown liabilities associated with acquired businesses</w:t>
            </w:r>
          </w:p>
        </w:tc>
      </w:tr>
    </w:tbl>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9</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Risks Specific to Our Industry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lastRenderedPageBreak/>
        <w:t>WE ARE SUBJECT TO RISKS ASSOCIATED WITH GLOBAL DECLINE IN REAL ESTATE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Risks Related to Our Securities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OUR COMMON STOCK IS SUBJECT TO THE "PENNY STOCK" RULES OF THE SEC AND THE TRADING MARKET IN OUR SECURITIES IS LIMITED, WHICH MAKES TRANSACTIONS IN OUR STOCK CUMBERSOME AND MAY REDUCE THE VALUE OF AN INVESTMENT IN OUR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Generally, brokers may be less willing to execute transactions in securities subject to the "penny stock" rules. This may make it more difficult for investors to dispose of our common stock and cause a decline in the market value of our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5" w:name="i1b"/>
      <w:r>
        <w:rPr>
          <w:b/>
          <w:bCs/>
          <w:i/>
          <w:iCs/>
          <w:sz w:val="20"/>
          <w:szCs w:val="20"/>
        </w:rPr>
        <w:t>ITEM 1B. UNRESOLVED STAFF COMMENTS</w:t>
      </w:r>
      <w:bookmarkEnd w:id="5"/>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There are none.</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10</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6" w:name="i2"/>
      <w:r>
        <w:rPr>
          <w:b/>
          <w:bCs/>
          <w:i/>
          <w:iCs/>
          <w:sz w:val="20"/>
          <w:szCs w:val="20"/>
        </w:rPr>
        <w:t>ITEM 2. DESCRIPTION OF PROPERTY</w:t>
      </w:r>
      <w:bookmarkEnd w:id="6"/>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assets of the Company consist of its wholly owned subsidiary, Anton Nielsen Vojens, ApS ("ANV") whose sole asset is commercial real estate in Vojens, Denmark. The commercial real estate is leased to Circle K Denmark, A/S, formerly StatOil, A/S until 2026. The property is land only and is a 750 square meter parcel currently used as a fuel station and is located at Ostergade 67, 6500 Vojens Denmark.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7" w:name="i3"/>
      <w:r>
        <w:rPr>
          <w:b/>
          <w:bCs/>
          <w:i/>
          <w:iCs/>
          <w:sz w:val="20"/>
          <w:szCs w:val="20"/>
        </w:rPr>
        <w:t>ITEM 3. LEGAL PROCEEDINGS</w:t>
      </w:r>
      <w:bookmarkEnd w:id="7"/>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During the period ending June 30, 2018, the pending or threatened legal actions as follows:</w:t>
      </w:r>
    </w:p>
    <w:p w:rsidR="00ED767D" w:rsidRDefault="006C7966">
      <w:pPr>
        <w:pStyle w:val="NormalWeb"/>
        <w:spacing w:before="0" w:beforeAutospacing="0" w:after="0" w:afterAutospacing="0"/>
        <w:jc w:val="both"/>
        <w:divId w:val="94592678"/>
        <w:rPr>
          <w:sz w:val="20"/>
          <w:szCs w:val="20"/>
        </w:rPr>
      </w:pPr>
      <w:r>
        <w:rPr>
          <w:sz w:val="20"/>
          <w:szCs w:val="20"/>
        </w:rPr>
        <w:lastRenderedPageBreak/>
        <w:t> </w:t>
      </w:r>
    </w:p>
    <w:p w:rsidR="00ED767D" w:rsidRDefault="006C7966">
      <w:pPr>
        <w:pStyle w:val="NormalWeb"/>
        <w:spacing w:before="0" w:beforeAutospacing="0" w:after="0" w:afterAutospacing="0"/>
        <w:jc w:val="both"/>
        <w:divId w:val="94592678"/>
        <w:rPr>
          <w:sz w:val="20"/>
          <w:szCs w:val="20"/>
        </w:rPr>
      </w:pPr>
      <w:r>
        <w:rPr>
          <w:sz w:val="20"/>
          <w:szCs w:val="20"/>
        </w:rPr>
        <w:t>None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8" w:name="i4"/>
      <w:r>
        <w:rPr>
          <w:b/>
          <w:bCs/>
          <w:i/>
          <w:iCs/>
          <w:sz w:val="20"/>
          <w:szCs w:val="20"/>
        </w:rPr>
        <w:t xml:space="preserve">ITEM 4: MINE SAFETY DISCLOSURES. </w:t>
      </w:r>
      <w:bookmarkEnd w:id="8"/>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Not applicable.</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11</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rStyle w:val="Strong"/>
          <w:sz w:val="20"/>
          <w:szCs w:val="20"/>
        </w:rPr>
        <w:t> </w:t>
      </w:r>
    </w:p>
    <w:p w:rsidR="00ED767D" w:rsidRDefault="006C7966">
      <w:pPr>
        <w:pStyle w:val="NormalWeb"/>
        <w:spacing w:before="0" w:beforeAutospacing="0" w:after="0" w:afterAutospacing="0"/>
        <w:jc w:val="both"/>
        <w:divId w:val="94592678"/>
        <w:rPr>
          <w:sz w:val="20"/>
          <w:szCs w:val="20"/>
        </w:rPr>
      </w:pPr>
      <w:bookmarkStart w:id="9" w:name="p2"/>
      <w:r>
        <w:rPr>
          <w:rStyle w:val="Strong"/>
          <w:sz w:val="20"/>
          <w:szCs w:val="20"/>
        </w:rPr>
        <w:t>PART II</w:t>
      </w:r>
      <w:bookmarkEnd w:id="9"/>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0" w:name="i5"/>
      <w:r>
        <w:rPr>
          <w:b/>
          <w:bCs/>
          <w:i/>
          <w:iCs/>
          <w:sz w:val="20"/>
          <w:szCs w:val="20"/>
        </w:rPr>
        <w:t>ITEM 5. MARKET OF COMMON EQUITY, RELATED STOCKHOLDER MATTERS AND SMALL BUSINESS ISSUER PURCHASES OF EQUITY SECURITIES.</w:t>
      </w:r>
      <w:bookmarkEnd w:id="10"/>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Common Stock is traded on the Over-The-Counter Pink.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46"/>
        <w:gridCol w:w="79"/>
        <w:gridCol w:w="79"/>
        <w:gridCol w:w="716"/>
        <w:gridCol w:w="80"/>
        <w:gridCol w:w="80"/>
        <w:gridCol w:w="80"/>
        <w:gridCol w:w="716"/>
        <w:gridCol w:w="80"/>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rPr>
                <w:sz w:val="20"/>
                <w:szCs w:val="20"/>
              </w:rPr>
            </w:pPr>
            <w:r>
              <w:rPr>
                <w:b/>
                <w:bCs/>
                <w:sz w:val="20"/>
                <w:szCs w:val="20"/>
              </w:rPr>
              <w:t>Fiscal Year Ended June 30, 2018</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High</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Low</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First Quarter</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0.490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0.100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Second Quarter</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0.180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0.1001</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Third Quarter</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0.23</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0.100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Fourth Quarter</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0.200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0.130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jc w:val="center"/>
        </w:trPr>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tcBorders>
              <w:bottom w:val="single" w:sz="6" w:space="0" w:color="000000"/>
            </w:tcBorders>
            <w:shd w:val="clear" w:color="auto" w:fill="FFFFFF"/>
            <w:hideMark/>
          </w:tcPr>
          <w:p w:rsidR="00ED767D" w:rsidRDefault="006C7966">
            <w:pPr>
              <w:pStyle w:val="NormalWeb"/>
              <w:spacing w:before="0" w:beforeAutospacing="0" w:after="0" w:afterAutospacing="0"/>
              <w:jc w:val="both"/>
              <w:rPr>
                <w:sz w:val="20"/>
                <w:szCs w:val="20"/>
              </w:rPr>
            </w:pPr>
            <w:r>
              <w:rPr>
                <w:b/>
                <w:bCs/>
                <w:sz w:val="20"/>
                <w:szCs w:val="20"/>
              </w:rPr>
              <w:t>Fiscal Year Ended June 30, 2017</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rsidR="00ED767D" w:rsidRDefault="006C7966">
            <w:pPr>
              <w:pStyle w:val="NormalWeb"/>
              <w:spacing w:before="0" w:beforeAutospacing="0" w:after="0" w:afterAutospacing="0"/>
              <w:jc w:val="center"/>
              <w:rPr>
                <w:sz w:val="20"/>
                <w:szCs w:val="20"/>
              </w:rPr>
            </w:pPr>
            <w:r>
              <w:rPr>
                <w:b/>
                <w:bCs/>
                <w:sz w:val="20"/>
                <w:szCs w:val="20"/>
              </w:rPr>
              <w:t>High</w:t>
            </w:r>
          </w:p>
        </w:tc>
        <w:tc>
          <w:tcPr>
            <w:tcW w:w="50" w:type="pct"/>
            <w:shd w:val="clear" w:color="auto" w:fill="FFFFFF"/>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rsidR="00ED767D" w:rsidRDefault="006C7966">
            <w:pPr>
              <w:pStyle w:val="NormalWeb"/>
              <w:spacing w:before="0" w:beforeAutospacing="0" w:after="0" w:afterAutospacing="0"/>
              <w:jc w:val="center"/>
              <w:rPr>
                <w:sz w:val="20"/>
                <w:szCs w:val="20"/>
              </w:rPr>
            </w:pPr>
            <w:r>
              <w:rPr>
                <w:b/>
                <w:bCs/>
                <w:sz w:val="20"/>
                <w:szCs w:val="20"/>
              </w:rPr>
              <w:t>Low</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First Quarter</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0.15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0.060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Second Quarter</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0.011</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0.011</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Third Quarter</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0.070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0.011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Fourth Quarter</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0.92</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0.013</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HOLDERS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At June 30, 2018 the company had 1,556 shareholders of record. At September 24, 2018, the closing bid price of the Company's Common Stock as reported by the National Quotation Bureau, Inc., was $0.15.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DIVIDENDS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RECENT SALES OF UNREGISTERED SECURITIES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During the year ended June 30, 2018, we had no issuances of unregistered securities.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1" w:name="i6"/>
      <w:r>
        <w:rPr>
          <w:b/>
          <w:bCs/>
          <w:i/>
          <w:iCs/>
          <w:sz w:val="20"/>
          <w:szCs w:val="20"/>
        </w:rPr>
        <w:t xml:space="preserve">ITEM 6. SELECTED FINANCIAL DATA </w:t>
      </w:r>
      <w:bookmarkEnd w:id="11"/>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Not Applicable.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2" w:name="i7"/>
      <w:r>
        <w:rPr>
          <w:b/>
          <w:bCs/>
          <w:i/>
          <w:iCs/>
          <w:sz w:val="20"/>
          <w:szCs w:val="20"/>
        </w:rPr>
        <w:t>ITEM 7. MANAGEMENT'S DISCUSSION AND ANALYSIS OR PLAN OF OPERATION.</w:t>
      </w:r>
      <w:bookmarkEnd w:id="12"/>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following discussion of our plan of operation, financial condition and results of operations should be read in conjunction with the Company's condensed consolidated financial statements, and notes thereto, included elsewhere </w:t>
      </w:r>
      <w:r>
        <w:rPr>
          <w:sz w:val="20"/>
          <w:szCs w:val="20"/>
        </w:rPr>
        <w:lastRenderedPageBreak/>
        <w:t>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12</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CRITICAL ACCOUNTING POLICIES AND ESTIMATES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preparation of condensed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condensed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 xml:space="preserve">Revenue recognition of rental income: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240" w:afterAutospacing="0"/>
        <w:jc w:val="both"/>
        <w:divId w:val="94592678"/>
        <w:rPr>
          <w:sz w:val="20"/>
          <w:szCs w:val="20"/>
        </w:rPr>
      </w:pPr>
      <w:r>
        <w:rPr>
          <w:sz w:val="20"/>
          <w:szCs w:val="20"/>
        </w:rPr>
        <w:t xml:space="preserve">Revenues are recognized during the period in which the rental payment is received. The Company applies the provisions of FASB Accounting Standards Codification ('ASC') 605-10. Revenue Recognition in Financial Statements ASC 605-10, which provides guidance on recognition, presentation, and disclosure of revenues in financial statements filed with the SEC. </w:t>
      </w:r>
    </w:p>
    <w:p w:rsidR="00ED767D" w:rsidRDefault="006C7966">
      <w:pPr>
        <w:pStyle w:val="NormalWeb"/>
        <w:spacing w:before="0" w:beforeAutospacing="0" w:after="0" w:afterAutospacing="0"/>
        <w:jc w:val="both"/>
        <w:divId w:val="94592678"/>
        <w:rPr>
          <w:sz w:val="20"/>
          <w:szCs w:val="20"/>
        </w:rPr>
      </w:pPr>
      <w:r>
        <w:rPr>
          <w:sz w:val="20"/>
          <w:szCs w:val="20"/>
        </w:rPr>
        <w:t xml:space="preserve">The Company's source of revenue is from a commercial property lease in which quarterly payments are received pursuant to the property lease which is in effect until 2026. </w:t>
      </w:r>
    </w:p>
    <w:p w:rsidR="00ED767D" w:rsidRDefault="00ED767D">
      <w:pPr>
        <w:pStyle w:val="NormalWeb"/>
        <w:spacing w:before="0" w:beforeAutospacing="0" w:after="0" w:afterAutospacing="0"/>
        <w:jc w:val="both"/>
        <w:divId w:val="94592678"/>
        <w:rPr>
          <w:sz w:val="20"/>
          <w:szCs w:val="20"/>
        </w:rPr>
      </w:pPr>
    </w:p>
    <w:p w:rsidR="00ED767D" w:rsidRDefault="006C7966">
      <w:pPr>
        <w:pStyle w:val="NormalWeb"/>
        <w:spacing w:before="0" w:beforeAutospacing="0" w:after="0" w:afterAutospacing="0"/>
        <w:jc w:val="both"/>
        <w:divId w:val="94592678"/>
        <w:rPr>
          <w:sz w:val="20"/>
          <w:szCs w:val="20"/>
        </w:rPr>
      </w:pPr>
      <w:r>
        <w:rPr>
          <w:i/>
          <w:iCs/>
          <w:sz w:val="20"/>
          <w:szCs w:val="20"/>
        </w:rPr>
        <w:t xml:space="preserve">Property Plant and Equipment: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Land and buildings are recognized at cost. Land is carried at cost less accumulated impairment losses.</w:t>
      </w:r>
    </w:p>
    <w:p w:rsidR="00ED767D" w:rsidRDefault="00ED767D">
      <w:pPr>
        <w:pStyle w:val="NormalWeb"/>
        <w:spacing w:before="0" w:beforeAutospacing="0" w:after="0" w:afterAutospacing="0"/>
        <w:jc w:val="both"/>
        <w:divId w:val="94592678"/>
        <w:rPr>
          <w:sz w:val="20"/>
          <w:szCs w:val="20"/>
        </w:rPr>
      </w:pPr>
    </w:p>
    <w:p w:rsidR="00ED767D" w:rsidRDefault="006C7966">
      <w:pPr>
        <w:pStyle w:val="NormalWeb"/>
        <w:spacing w:before="0" w:beforeAutospacing="0" w:after="0" w:afterAutospacing="0"/>
        <w:jc w:val="both"/>
        <w:divId w:val="94592678"/>
        <w:rPr>
          <w:sz w:val="20"/>
          <w:szCs w:val="20"/>
        </w:rPr>
      </w:pPr>
      <w:r>
        <w:rPr>
          <w:i/>
          <w:iCs/>
          <w:sz w:val="20"/>
          <w:szCs w:val="20"/>
        </w:rPr>
        <w:t>Real Estate Accounting Principles: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treats the valuation of its real estate in accordance with FASB ASC 805, Fair Value Measurements, which provides for the companies accounting valuation of real estate. FASB ASC 805 defines fair value as the price that would be received to sell an asset or paid to transfer a liability in an orderly transaction between market participants at the measurement date. The Company has valued its real estate using the three valuation approaches defined in FASB ASC 805: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Revenue recognition on the rental of real estate.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Rental revenue from leases on real estate investments is recognized on a straight-line basis over the term of the lease, regardless of when payments are contractually due.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Interest Recognition on Notes Receivable: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Foreign Currency Translation:</w:t>
      </w:r>
    </w:p>
    <w:p w:rsidR="00ED767D" w:rsidRDefault="006C7966">
      <w:pPr>
        <w:pStyle w:val="NormalWeb"/>
        <w:spacing w:before="0" w:beforeAutospacing="0" w:after="0" w:afterAutospacing="0"/>
        <w:jc w:val="both"/>
        <w:divId w:val="94592678"/>
        <w:rPr>
          <w:sz w:val="20"/>
          <w:szCs w:val="20"/>
        </w:rPr>
      </w:pPr>
      <w:r>
        <w:rPr>
          <w:sz w:val="20"/>
          <w:szCs w:val="20"/>
        </w:rPr>
        <w:lastRenderedPageBreak/>
        <w:t> </w:t>
      </w:r>
    </w:p>
    <w:p w:rsidR="00ED767D" w:rsidRDefault="006C7966">
      <w:pPr>
        <w:pStyle w:val="NormalWeb"/>
        <w:spacing w:before="0" w:beforeAutospacing="0" w:after="0" w:afterAutospacing="0"/>
        <w:jc w:val="both"/>
        <w:divId w:val="94592678"/>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13</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Income Taxes</w:t>
      </w:r>
      <w:r>
        <w:rPr>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Net Earnings per Share</w:t>
      </w:r>
      <w:r>
        <w:rPr>
          <w:sz w:val="20"/>
          <w:szCs w:val="20"/>
        </w:rPr>
        <w: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June 30, 2018 and June 30, 2017 there were 10,000 and 10,000, respectively potential dilutive shares.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Cash and Cash Equivalents: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For purposes of the statement of cash flows, the Company considers all highly-liquid investments purchased with original maturities of three months or less to be cash equivalents.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maintains its cash in bank deposit accounts which, at June 30, 2018 did not exceed federally insured limits. The Company has not experienced any losses in such accounts and believes that it is not exposed to any significant credit risk on such amounts.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Estimates: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preparation of condensed consolidated financial statements in conformity with generally accepted accounting principles requires management to make estimates and assumptions that affect the reported amounts of assets and liabilities and disclosures of contingent assets and liabilities at the date of the condensed consolidated financial statements, as well as the reported amounts of revenue and expenses during the reported period. Actual results could differ from those estimates.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Concentrations of Credit Risk: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Financial instruments that potentially subject the Company to major credit risk consist principally of a single subsidiary of Anton Nielsen Vojens ApS.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14</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i/>
          <w:iCs/>
          <w:sz w:val="20"/>
          <w:szCs w:val="20"/>
        </w:rPr>
        <w:lastRenderedPageBreak/>
        <w:t> </w:t>
      </w:r>
    </w:p>
    <w:p w:rsidR="00ED767D" w:rsidRDefault="006C7966">
      <w:pPr>
        <w:pStyle w:val="NormalWeb"/>
        <w:spacing w:before="0" w:beforeAutospacing="0" w:after="0" w:afterAutospacing="0"/>
        <w:jc w:val="both"/>
        <w:divId w:val="94592678"/>
        <w:rPr>
          <w:sz w:val="20"/>
          <w:szCs w:val="20"/>
        </w:rPr>
      </w:pPr>
      <w:r>
        <w:rPr>
          <w:i/>
          <w:iCs/>
          <w:sz w:val="20"/>
          <w:szCs w:val="20"/>
        </w:rPr>
        <w:t>Subsequent Events: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None.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Recently Issued Accounting Standards: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On January 5, 2017 FASB issued Accounting Standards Update ("ASU") 2017-01, Clarifying the Definition of a Business. This update amended the definition of a business, which is fundamental to the determination of whether transactions should be accounted for as acquisitions (or disposals) of assets or businesses. That distinction impacts how the acquisition is treated in the financial statements, for instance, whether deal costs are capitalized or expensed. The primary goal of ASU 2017-01 was to narrow that definition, which is generally expected to result in fewer transactions qualifying as business combinations. The Company is in the process of evaluating the impact of this new guidance.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May 2014, the Financial Accounting Standards Board (FASB) issued a new standard to achieve a consistent application of revenue recognition within the U.S., resulting in a single revenue model to be applied by reporting companies under U.S. generally accepted accounting principles. Under the new model, recognition of revenue occurs when a customer obtains control of promised goods or services in an amount that reflects the consideration to which the entity expects to be entitled in exchange for those goods or services. In addition, the new standard requires that reporting companies disclose the nature, amount, timing, and uncertainty of revenue and cash flows arising from contracts with customers. On July 9, 2015, the FASB agreed to delay the effective date by one year; accordingly, the new standard is effective for us beginning in the first quarter of 2018 and we expect to adopt it at that time. The new standard is required to be applied retrospectively to each prior reporting period presented or retrospectively with the cumulative effect of initially applying it recognized at the date of initial application. We have not yet selected a transition method, nor have we determined the impact of the new standard on our condensed consolidated financial statements.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Other recent accounting pronouncements issued by the FASB did not or are not believed by management to have a material impact on the Company's present or future condensed consolidated financial statements.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RESULTS OF OPERATIONS 2018 COMPARED TO 2017</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REVENUES. Revenues from operations were $39,770 in 2018 compared to $35,917 in 2017. The decrease was attributable to the currency fluctuations and a reduction in loans due to repayment.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SELLING, GENERAL AND ADMINISTRATIVE EXPENSES. G&amp;A expenses were $3,481 in 2018 compared to $5,382 in 2017. The expenses are attributable to ANV's normal operations and the Company's SEC compliance and the fluctuations are attributable to currency fluctuations and accounting costs.</w:t>
      </w:r>
    </w:p>
    <w:p w:rsidR="00ED767D" w:rsidRDefault="006C7966">
      <w:pPr>
        <w:pStyle w:val="NormalWeb"/>
        <w:spacing w:before="0" w:beforeAutospacing="0" w:after="0" w:afterAutospacing="0"/>
        <w:jc w:val="both"/>
        <w:divId w:val="94592678"/>
        <w:rPr>
          <w:sz w:val="20"/>
          <w:szCs w:val="20"/>
        </w:rPr>
      </w:pPr>
      <w:r>
        <w:rPr>
          <w:sz w:val="20"/>
          <w:szCs w:val="20"/>
        </w:rPr>
        <w:t>PROFESSIONAL EXPENSES. The professional expenses were $15,825 in 2018 compared to $15,301 in 2017. The expenses were attributable to ordinary audit expenses.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INTEREST EXPENSE. Interest expense was $5,807 in 2018 compared to $6,658 in 2017. Interest expense for 2018 decreased due to currency fluctuations.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NET INCOME. Net income attributed to common stockholders was $7,456 or $0.00 per share for 2018 as compared to $9 or $0.00 per share for 2017 and the 2017 result was less and mainly attributable to the engagement of new auditors. </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15</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LIQUIDITY AND CAPITAL RESOURCES. As of June 30, 2018 the Company had $53,415 of cash and cash equivalents and working capital deficit of $241,509 compared to June 30, 2017 the Company had $50,331 of cash and cash equivalents and working capital deficit of $230,605. The change in cash is primarily due to the ANV'S payment of debt and normal operations. The decrease in the working capital is primarily related to the operations of ANV.</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Net cash provided by operating activities for 2018 and 2017 was $34,974 and $28,035 respectively.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Net cash (used for) financing activities for 2018 and 2017 was $(32,907) and $(33,771) respectively. Net cash provided from or used for financing activities for both periods is related to the company's borrowings from banks, officers and directors, and the repayment of debt.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OFF BALANCE SHEET ARRANGEMENTS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We do not currently have any off balance sheet arrangements.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3" w:name="i7a"/>
      <w:r>
        <w:rPr>
          <w:b/>
          <w:bCs/>
          <w:i/>
          <w:iCs/>
          <w:sz w:val="20"/>
          <w:szCs w:val="20"/>
        </w:rPr>
        <w:t>ITEM 7A. QUANTITATIVE AND QUALITATIVE MARKET DISCLOSURES ABOUT RISK</w:t>
      </w:r>
      <w:bookmarkEnd w:id="13"/>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Not required.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4" w:name="i8"/>
      <w:r>
        <w:rPr>
          <w:b/>
          <w:bCs/>
          <w:i/>
          <w:iCs/>
          <w:sz w:val="20"/>
          <w:szCs w:val="20"/>
        </w:rPr>
        <w:t>ITEM 8. AUDITED CONDENSED CONSOLIDATED FINANCIAL STATEMENTS</w:t>
      </w:r>
      <w:bookmarkEnd w:id="14"/>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See the condensed consolidated financial statements on Exhibit F for the period ending June 30, 2018 and June 30, 2017.</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5" w:name="i9"/>
      <w:r>
        <w:rPr>
          <w:b/>
          <w:bCs/>
          <w:i/>
          <w:iCs/>
          <w:sz w:val="20"/>
          <w:szCs w:val="20"/>
        </w:rPr>
        <w:t>ITEM 9. CHANGES IN AND DISAGREEMENTS WITH AUDITORS ON ACCOUNTING AND FINANCIAL DISCLOSURE</w:t>
      </w:r>
      <w:bookmarkEnd w:id="15"/>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None.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6" w:name="i9a"/>
      <w:r>
        <w:rPr>
          <w:b/>
          <w:bCs/>
          <w:i/>
          <w:iCs/>
          <w:sz w:val="20"/>
          <w:szCs w:val="20"/>
        </w:rPr>
        <w:t>ITEM 9A. CONTROLS AND PROCEDURE</w:t>
      </w:r>
      <w:bookmarkEnd w:id="16"/>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i/>
          <w:iCs/>
          <w:sz w:val="20"/>
          <w:szCs w:val="20"/>
        </w:rPr>
        <w:t>Evaluation of Disclosure Controls and Procedures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w:t>
      </w:r>
      <w:r>
        <w:rPr>
          <w:sz w:val="20"/>
          <w:szCs w:val="20"/>
        </w:rPr>
        <w:lastRenderedPageBreak/>
        <w:t>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June 30, 2018 that our disclosure controls and procedures were not effective at ensuring that the material information required to be disclosed in the Exchange Act reports is recorded, processed, summarized and reported as required in applicable SEC rules and forms.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i/>
          <w:iCs/>
          <w:sz w:val="20"/>
          <w:szCs w:val="20"/>
        </w:rPr>
        <w:t>Changes in Internal Control over Financial Reporting</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16</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i/>
          <w:iCs/>
          <w:sz w:val="20"/>
          <w:szCs w:val="20"/>
        </w:rPr>
        <w:t>Management's Report on Internal Control Over Financial Reporting</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condensed consolidated financial statements for external purposes in accordance with generally accepted accounting principles.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Treadway Commission. Based on our evaluation under the framework set forth in Internal Control - Integrated Framework, our management concluded that our internal control over financial reporting was not effective as of June 30, 2018.</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i/>
          <w:iCs/>
          <w:sz w:val="20"/>
          <w:szCs w:val="20"/>
        </w:rPr>
        <w:t>Inherent Limitations on Effectiveness of Controls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7" w:name="i9b"/>
      <w:r>
        <w:rPr>
          <w:b/>
          <w:bCs/>
          <w:i/>
          <w:iCs/>
          <w:sz w:val="20"/>
          <w:szCs w:val="20"/>
        </w:rPr>
        <w:t>ITEM 9B. OTHER INFORMATION.</w:t>
      </w:r>
      <w:bookmarkEnd w:id="17"/>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Not applicable.</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17</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8" w:name="p3"/>
      <w:r>
        <w:rPr>
          <w:rStyle w:val="Strong"/>
          <w:sz w:val="20"/>
          <w:szCs w:val="20"/>
        </w:rPr>
        <w:t>PART III</w:t>
      </w:r>
      <w:bookmarkEnd w:id="18"/>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19" w:name="i10"/>
      <w:r>
        <w:rPr>
          <w:b/>
          <w:bCs/>
          <w:i/>
          <w:iCs/>
          <w:sz w:val="20"/>
          <w:szCs w:val="20"/>
        </w:rPr>
        <w:t>ITEM 10. DIRECTORS, EXECUTIVE OFFICERS, PROMOTERS, CONTROL PERSONS AND CORPORATE GOVERNANCE: COMPLIANCE WITH SECTION 16(A) OF THE EXCHANGE ACT</w:t>
      </w:r>
      <w:bookmarkEnd w:id="19"/>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Set forth below is information regarding the Company's directors and executive officers, including information furnished by them as to their principal occupations for the last five years, other directorships held by them and their ages as of June 30, 2018. All directors are elected for one-year terms, which expire as of the date of the Company's annual meeting.</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871"/>
        <w:gridCol w:w="94"/>
        <w:gridCol w:w="936"/>
        <w:gridCol w:w="94"/>
        <w:gridCol w:w="3276"/>
        <w:gridCol w:w="94"/>
        <w:gridCol w:w="2995"/>
      </w:tblGrid>
      <w:tr w:rsidR="00ED767D">
        <w:trPr>
          <w:divId w:val="94592678"/>
          <w:trHeight w:val="180"/>
          <w:tblCellSpacing w:w="0" w:type="dxa"/>
        </w:trPr>
        <w:tc>
          <w:tcPr>
            <w:tcW w:w="1000" w:type="pct"/>
            <w:tcBorders>
              <w:bottom w:val="single" w:sz="6" w:space="0" w:color="000000"/>
            </w:tcBorders>
            <w:hideMark/>
          </w:tcPr>
          <w:p w:rsidR="00ED767D" w:rsidRDefault="006C7966">
            <w:pPr>
              <w:pStyle w:val="NormalWeb"/>
              <w:spacing w:before="0" w:beforeAutospacing="0" w:after="0" w:afterAutospacing="0"/>
              <w:jc w:val="both"/>
              <w:rPr>
                <w:sz w:val="20"/>
                <w:szCs w:val="20"/>
              </w:rPr>
            </w:pPr>
            <w:r>
              <w:rPr>
                <w:b/>
                <w:bCs/>
                <w:sz w:val="20"/>
                <w:szCs w:val="20"/>
              </w:rPr>
              <w:t>Name</w:t>
            </w:r>
          </w:p>
        </w:tc>
        <w:tc>
          <w:tcPr>
            <w:tcW w:w="50" w:type="pct"/>
            <w:vAlign w:val="center"/>
            <w:hideMark/>
          </w:tcPr>
          <w:p w:rsidR="00ED767D" w:rsidRDefault="00ED767D">
            <w:pPr>
              <w:jc w:val="both"/>
              <w:rPr>
                <w:rFonts w:eastAsia="Times New Roman"/>
                <w:sz w:val="20"/>
                <w:szCs w:val="20"/>
              </w:rPr>
            </w:pPr>
          </w:p>
        </w:tc>
        <w:tc>
          <w:tcPr>
            <w:tcW w:w="500" w:type="pct"/>
            <w:tcBorders>
              <w:bottom w:val="single" w:sz="6" w:space="0" w:color="000000"/>
            </w:tcBorders>
            <w:hideMark/>
          </w:tcPr>
          <w:p w:rsidR="00ED767D" w:rsidRDefault="006C7966">
            <w:pPr>
              <w:pStyle w:val="NormalWeb"/>
              <w:spacing w:before="0" w:beforeAutospacing="0" w:after="0" w:afterAutospacing="0"/>
              <w:jc w:val="center"/>
              <w:rPr>
                <w:sz w:val="20"/>
                <w:szCs w:val="20"/>
              </w:rPr>
            </w:pPr>
            <w:r>
              <w:rPr>
                <w:b/>
                <w:bCs/>
                <w:sz w:val="20"/>
                <w:szCs w:val="20"/>
              </w:rPr>
              <w:t>Age</w:t>
            </w:r>
          </w:p>
        </w:tc>
        <w:tc>
          <w:tcPr>
            <w:tcW w:w="50" w:type="pct"/>
            <w:vAlign w:val="center"/>
            <w:hideMark/>
          </w:tcPr>
          <w:p w:rsidR="00ED767D" w:rsidRDefault="00ED767D">
            <w:pPr>
              <w:jc w:val="both"/>
              <w:rPr>
                <w:rFonts w:eastAsia="Times New Roman"/>
                <w:sz w:val="20"/>
                <w:szCs w:val="20"/>
              </w:rPr>
            </w:pPr>
          </w:p>
        </w:tc>
        <w:tc>
          <w:tcPr>
            <w:tcW w:w="1750" w:type="pct"/>
            <w:tcBorders>
              <w:bottom w:val="single" w:sz="6" w:space="0" w:color="000000"/>
            </w:tcBorders>
            <w:hideMark/>
          </w:tcPr>
          <w:p w:rsidR="00ED767D" w:rsidRDefault="006C7966">
            <w:pPr>
              <w:pStyle w:val="NormalWeb"/>
              <w:spacing w:before="0" w:beforeAutospacing="0" w:after="0" w:afterAutospacing="0"/>
              <w:jc w:val="both"/>
              <w:rPr>
                <w:sz w:val="20"/>
                <w:szCs w:val="20"/>
              </w:rPr>
            </w:pPr>
            <w:r>
              <w:rPr>
                <w:b/>
                <w:bCs/>
                <w:sz w:val="20"/>
                <w:szCs w:val="20"/>
              </w:rPr>
              <w:t>Position</w:t>
            </w:r>
          </w:p>
        </w:tc>
        <w:tc>
          <w:tcPr>
            <w:tcW w:w="50" w:type="pct"/>
            <w:vAlign w:val="center"/>
            <w:hideMark/>
          </w:tcPr>
          <w:p w:rsidR="00ED767D" w:rsidRDefault="00ED767D">
            <w:pPr>
              <w:jc w:val="both"/>
              <w:rPr>
                <w:rFonts w:eastAsia="Times New Roman"/>
                <w:sz w:val="20"/>
                <w:szCs w:val="20"/>
              </w:rPr>
            </w:pPr>
          </w:p>
        </w:tc>
        <w:tc>
          <w:tcPr>
            <w:tcW w:w="0" w:type="auto"/>
            <w:tcBorders>
              <w:bottom w:val="single" w:sz="6" w:space="0" w:color="000000"/>
            </w:tcBorders>
            <w:hideMark/>
          </w:tcPr>
          <w:p w:rsidR="00ED767D" w:rsidRDefault="006C7966">
            <w:pPr>
              <w:pStyle w:val="NormalWeb"/>
              <w:spacing w:before="0" w:beforeAutospacing="0" w:after="0" w:afterAutospacing="0"/>
              <w:jc w:val="center"/>
              <w:rPr>
                <w:sz w:val="20"/>
                <w:szCs w:val="20"/>
              </w:rPr>
            </w:pPr>
            <w:r>
              <w:rPr>
                <w:b/>
                <w:bCs/>
                <w:sz w:val="20"/>
                <w:szCs w:val="20"/>
              </w:rPr>
              <w:t>Director Since:</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Robert E. Wolfe</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center"/>
              <w:rPr>
                <w:sz w:val="20"/>
                <w:szCs w:val="20"/>
              </w:rPr>
            </w:pPr>
            <w:r>
              <w:rPr>
                <w:sz w:val="20"/>
                <w:szCs w:val="20"/>
              </w:rPr>
              <w:t>55</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Chairman of the Board, CEO, and CFO</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center"/>
              <w:rPr>
                <w:sz w:val="20"/>
                <w:szCs w:val="20"/>
              </w:rPr>
            </w:pPr>
            <w:r>
              <w:rPr>
                <w:sz w:val="20"/>
                <w:szCs w:val="20"/>
              </w:rPr>
              <w:t>1997</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Lawrence Donofrio</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center"/>
              <w:rPr>
                <w:sz w:val="20"/>
                <w:szCs w:val="20"/>
              </w:rPr>
            </w:pPr>
            <w:r>
              <w:rPr>
                <w:sz w:val="20"/>
                <w:szCs w:val="20"/>
              </w:rPr>
              <w:t>67</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Director</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center"/>
              <w:rPr>
                <w:sz w:val="20"/>
                <w:szCs w:val="20"/>
              </w:rPr>
            </w:pPr>
            <w:r>
              <w:rPr>
                <w:sz w:val="20"/>
                <w:szCs w:val="20"/>
              </w:rPr>
              <w:t>2003</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Robert Wolfe has been the Chairman and CEO for Advanced Oxygen Technologies Inc. since 1997. Concurrently he has been the President and CEO of Crossfield, Inc. and Crossfield Investments, llc , both corporate consulting companies. On July 11, 2017 Enochian Biosciences, Inc. (formerly Dandrit Biotech USA, Inc.) appointed Robert Wolfe as the CFO and January 1, 2014 to April 28, 2015, Mr. Wolfe was CFO and Director respectively of Enochian Biosciences, Inc. (formerly Dandrit Biotech USA, Inc.), a company that engages in the research and development, manufacturing and clinical trials of pharmaceutical and biological products for the human treatment of cancer using the dendritic cell technology. From 1992-1993 he was Vice President and partner for CFI, NY Ltd. A Subsidiary of Corporate Financial Investments, PLC, London. , effective immediately.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Lawrence Donofrio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Compliance with Section 16(a) of the Exchange Act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Audit Committee Financial Expert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As of June 30, 2018,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Code of Ethics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As of June 30, 2018, we have a code of ethics that applies to our Principal Executive Officer and Principal Financial and Accounting Officer(s) and to all of our staff. While we are a small company we believe that our code of ethics directs the Company to practice its business in an ethical way.</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lastRenderedPageBreak/>
              <w:t>18</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Procedure for Nominating Directors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0" w:name="i11"/>
      <w:r>
        <w:rPr>
          <w:b/>
          <w:bCs/>
          <w:i/>
          <w:iCs/>
          <w:sz w:val="20"/>
          <w:szCs w:val="20"/>
        </w:rPr>
        <w:t>ITEM 11. EXECUTIVE COMPENSATION</w:t>
      </w:r>
      <w:bookmarkEnd w:id="20"/>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Robert Wolfe, Chairman and CEO has waived his $500,000 annual salary for the year ending June 30, 2018. No officer or director received any compensation from the Company during the last fiscal year. The Company paid no bonuses in the last three fiscal years ended June 30, 2018 to officers or other employees.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following table sets forth the total compensation paid or accrued to its Chief Executive Officer and Chief Financial Officer, Robert E. Wolfe during the fiscal year ending June 30, 2018. There were no other corporate officers in any of the last three fiscal years.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EXECUTIVE COMPENSATION</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1409"/>
        <w:gridCol w:w="57"/>
        <w:gridCol w:w="693"/>
        <w:gridCol w:w="57"/>
        <w:gridCol w:w="57"/>
        <w:gridCol w:w="693"/>
        <w:gridCol w:w="57"/>
        <w:gridCol w:w="57"/>
        <w:gridCol w:w="57"/>
        <w:gridCol w:w="693"/>
        <w:gridCol w:w="57"/>
        <w:gridCol w:w="57"/>
        <w:gridCol w:w="124"/>
        <w:gridCol w:w="1110"/>
        <w:gridCol w:w="57"/>
        <w:gridCol w:w="57"/>
        <w:gridCol w:w="88"/>
        <w:gridCol w:w="790"/>
        <w:gridCol w:w="57"/>
        <w:gridCol w:w="57"/>
        <w:gridCol w:w="67"/>
        <w:gridCol w:w="683"/>
        <w:gridCol w:w="57"/>
        <w:gridCol w:w="57"/>
        <w:gridCol w:w="57"/>
        <w:gridCol w:w="693"/>
        <w:gridCol w:w="58"/>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Name</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Yr.</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Salary</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Bonus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Other</w:t>
            </w:r>
            <w:r>
              <w:rPr>
                <w:b/>
                <w:bCs/>
                <w:sz w:val="20"/>
                <w:szCs w:val="20"/>
              </w:rPr>
              <w:br/>
              <w:t>Compensation</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Restricted</w:t>
            </w:r>
          </w:p>
          <w:p w:rsidR="00ED767D" w:rsidRDefault="006C7966">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LTIP</w:t>
            </w:r>
          </w:p>
          <w:p w:rsidR="00ED767D" w:rsidRDefault="006C7966">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Other</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jc w:val="center"/>
        </w:trPr>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ED767D" w:rsidRDefault="006C7966">
            <w:pPr>
              <w:pStyle w:val="NormalWeb"/>
              <w:spacing w:before="0" w:beforeAutospacing="0" w:after="0" w:afterAutospacing="0"/>
              <w:jc w:val="center"/>
              <w:rPr>
                <w:sz w:val="20"/>
                <w:szCs w:val="20"/>
              </w:rPr>
            </w:pPr>
            <w:r>
              <w:rPr>
                <w:sz w:val="20"/>
                <w:szCs w:val="20"/>
              </w:rPr>
              <w:t>2018</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EMPLOYMENT AGREEMENTS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We do not currently have any oral or written employment contracts, severance or change-in-control agreements with any of our executive officers.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OPTION GRANTS DURING 1999; VALUE OF OPTIONS AT YEAR-END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following tables set forth certain information covering the grant of options to the Company's Chief Executive Officer and Chief Financial Officer, Robert E. Wolfe during the fiscal year ended June 30, 2018 and unexercised options held as of that date. Mr. Wolfe did not exercise any options during fiscal 2018.</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171"/>
        <w:gridCol w:w="70"/>
        <w:gridCol w:w="84"/>
        <w:gridCol w:w="750"/>
        <w:gridCol w:w="70"/>
        <w:gridCol w:w="70"/>
        <w:gridCol w:w="70"/>
        <w:gridCol w:w="706"/>
        <w:gridCol w:w="70"/>
        <w:gridCol w:w="70"/>
        <w:gridCol w:w="70"/>
        <w:gridCol w:w="706"/>
        <w:gridCol w:w="70"/>
        <w:gridCol w:w="70"/>
        <w:gridCol w:w="73"/>
        <w:gridCol w:w="703"/>
        <w:gridCol w:w="70"/>
        <w:gridCol w:w="70"/>
        <w:gridCol w:w="93"/>
        <w:gridCol w:w="830"/>
        <w:gridCol w:w="70"/>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Name</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 of Securities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 Total Options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Option Price</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Exercise</w:t>
            </w:r>
            <w:r>
              <w:rPr>
                <w:b/>
                <w:bCs/>
                <w:sz w:val="20"/>
                <w:szCs w:val="20"/>
              </w:rPr>
              <w:br/>
              <w:t>Price</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Expiration</w:t>
            </w:r>
          </w:p>
          <w:p w:rsidR="00ED767D" w:rsidRDefault="006C7966">
            <w:pPr>
              <w:pStyle w:val="NormalWeb"/>
              <w:spacing w:before="0" w:beforeAutospacing="0" w:after="0" w:afterAutospacing="0"/>
              <w:jc w:val="center"/>
              <w:rPr>
                <w:sz w:val="20"/>
                <w:szCs w:val="20"/>
              </w:rPr>
            </w:pPr>
            <w:r>
              <w:rPr>
                <w:b/>
                <w:bCs/>
                <w:sz w:val="20"/>
                <w:szCs w:val="20"/>
              </w:rPr>
              <w:t>Date</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jc w:val="center"/>
        </w:trPr>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Robert E. Wolfe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i/>
          <w:iCs/>
          <w:sz w:val="20"/>
          <w:szCs w:val="20"/>
        </w:rPr>
        <w:t>Compensation Committee Report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employee and non-employee directors respectively.</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19</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Compensation Philosophy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The general philosophy of the Company's compensation program, which has been reviewed and endorsed by the Committee, was to provide overall competitive compensation based on each executive's individual performance and the Company's overall performance.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There are two basic components in the Company's executive compensation program: (i) base salary and (ii) stock option awards.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Base Salary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Stock Option Awards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Compensation Pursuant to Plans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2018, no executive officer received compensation pursuant to any of the Plans.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1981 and 1988 Plans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1981 Plan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20</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1988 Plan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Options granted under the 1988 Plan may either be immediately exercisable for the full number of shares purchasable thereunder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optionees may also be allowed to finance their option exercises through Company loans, subject to the approval of the Compensation Committee.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Issuable Shares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As of September 20, 1995, approximately 374,000 shares of Common Stock had been issued upon the exercise of options granted 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Over the Counter Bulletin Board Exchange. Due to employee terminations, all options became void in August 1995. As of September 30, 2001, 1,000,000 shares of Common Stock were available for issuance under future option grants and were still available at June 30, 2018.</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Board of Directors Compensation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As of June 30, 2018 the directors did not receive any compensation for serving as members of the Board.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addition to any cash compensation, non-employee directors also are eligible to participate in the Non-Employee Director Stock Option Plan and to receive automatic option grants thereunder.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During the fiscal year ended June 30, 2018, no options were granted to non-employee Board members.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1" w:name="i12"/>
      <w:r>
        <w:rPr>
          <w:b/>
          <w:bCs/>
          <w:i/>
          <w:iCs/>
          <w:sz w:val="20"/>
          <w:szCs w:val="20"/>
        </w:rPr>
        <w:t>ITEM 12. SECURITY OWNERSHIP OF CERTAIN BENEFICIAL OWNERS AND MANAGEMENT AND RELATED STOCKHOLDER MATTERS</w:t>
      </w:r>
      <w:bookmarkEnd w:id="21"/>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following table sets forth certain information regarding the beneficial ownership of the Company's Common Stock as of June 30, 2018, by (i) all those known by the Company to be beneficial owners of more than 5% of its Common Stock; (ii) all directors; and (iii) all officers and directors of the Company as a group.</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16"/>
        <w:gridCol w:w="50"/>
        <w:gridCol w:w="50"/>
        <w:gridCol w:w="683"/>
        <w:gridCol w:w="50"/>
        <w:gridCol w:w="50"/>
        <w:gridCol w:w="89"/>
        <w:gridCol w:w="801"/>
        <w:gridCol w:w="167"/>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Name and Address of Beneficial Owner</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No. Shares</w:t>
            </w:r>
            <w:r>
              <w:rPr>
                <w:b/>
                <w:bCs/>
                <w:sz w:val="20"/>
                <w:szCs w:val="20"/>
              </w:rPr>
              <w:br/>
              <w:t>fully diluted</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Percent ownership</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Hennistone Projects Ltd.2 Eastglade Northwood Middlessex, HA6 3LD UK</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588,000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25.65</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Crossland, ltd. 104B Saffrey Square, Nassau, Bahamas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296,876</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12.94</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Crossland Ltd. Belize, 60 Market Square, PO Box 364, Belize City, Belize, Central America</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306,626</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13.77</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Eastern Star, Ltd, Bay Street Nassau Bahamas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135,600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5.91</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Robert E. Wolfe, New York, NY</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4,500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0.196</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Lawrence Donofrio, San Diego CA</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0.00</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bl>
    <w:p w:rsidR="00ED767D" w:rsidRDefault="006C7966">
      <w:pPr>
        <w:pStyle w:val="NormalWeb"/>
        <w:spacing w:before="0" w:beforeAutospacing="0" w:after="0" w:afterAutospacing="0"/>
        <w:jc w:val="both"/>
        <w:divId w:val="94592678"/>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lastRenderedPageBreak/>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21</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2" w:name="i13"/>
      <w:r>
        <w:rPr>
          <w:b/>
          <w:bCs/>
          <w:i/>
          <w:iCs/>
          <w:sz w:val="20"/>
          <w:szCs w:val="20"/>
        </w:rPr>
        <w:t>ITEM 13. CERTAIN RELATIONSHIPS AND RELATED TRANSACTIONS AND DIRECTOR INDEPENDENCE</w:t>
      </w:r>
      <w:bookmarkEnd w:id="22"/>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On February 3, 2006 the Company purchased 100.00% of the stock of Anton Nielsen Vojens ApS ("ANV"), a Danish company from Borkwood Development Ltd. , a prior shareholder of AOXY. At the time of the transaction, a director of Borkwood Development, Ltd., Aage Madsen was also a director of Anton Nielsen Vojens ApS. As of May 25, 2007, Mr. Madsen is not a director, owner, beneficiary or affiliate of the Company or its wholly owned subsidiary Anton Nielsen Vojens, ApS.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Director Independence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During the year ended June 30, 2018, Robert Wolfe and Lawrence Donofrio served as our directors and only Mr. Donofrio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3" w:name="i14"/>
      <w:r>
        <w:rPr>
          <w:b/>
          <w:bCs/>
          <w:i/>
          <w:iCs/>
          <w:sz w:val="20"/>
          <w:szCs w:val="20"/>
        </w:rPr>
        <w:t>ITEM 14. PRINCIPAL ACCOUNTANT FEES AND SERVICES</w:t>
      </w:r>
      <w:bookmarkEnd w:id="23"/>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auditors for the periods ending June 30, 2018 and June 30, 2017 were Sadler Gibb &amp; Associates, LLC, 22455 East Parleys Way, Suite 320, Salt Lake City, UT 84109, tel)(801)783-2950. The Company's wholly owned subsidiary's local Danish accountant is IN-REVISION STATSAUTORISEREDE REVISORER A/S, Gersonsvej 7, 2900 Hellerup. The local auditors, IN-REVISION have performed work for ANV that included tax work and Danish Standards auditing work on ANV's yearly balance sheet and the profit/loss statement for the Danish Tax Authority and the Danish Ministry of Commerce. We have paid or expect to pay the following fees to Sadler Gibb &amp; Associates and CHR. Mortensen Revisionsfirma for work performed for the fiscal years ending Junes 30, 2018, and June 30, 2017, attributable to the audits of condensed consolidated financial statements and Internal Control over Financial Reporting for the same periods:</w:t>
      </w:r>
    </w:p>
    <w:p w:rsidR="00ED767D" w:rsidRDefault="006C7966">
      <w:pPr>
        <w:pStyle w:val="NormalWeb"/>
        <w:spacing w:before="0" w:beforeAutospacing="0" w:after="0" w:afterAutospacing="0"/>
        <w:jc w:val="both"/>
        <w:divId w:val="94592678"/>
        <w:rPr>
          <w:sz w:val="20"/>
          <w:szCs w:val="20"/>
        </w:rPr>
      </w:pPr>
      <w:r>
        <w:rPr>
          <w:sz w:val="20"/>
          <w:szCs w:val="20"/>
        </w:rPr>
        <w:t xml:space="preserve">  </w:t>
      </w:r>
    </w:p>
    <w:tbl>
      <w:tblPr>
        <w:tblW w:w="4250" w:type="pct"/>
        <w:jc w:val="center"/>
        <w:tblCellSpacing w:w="0" w:type="dxa"/>
        <w:tblCellMar>
          <w:left w:w="0" w:type="dxa"/>
          <w:right w:w="0" w:type="dxa"/>
        </w:tblCellMar>
        <w:tblLook w:val="04A0" w:firstRow="1" w:lastRow="0" w:firstColumn="1" w:lastColumn="0" w:noHBand="0" w:noVBand="1"/>
      </w:tblPr>
      <w:tblGrid>
        <w:gridCol w:w="6040"/>
        <w:gridCol w:w="74"/>
        <w:gridCol w:w="100"/>
        <w:gridCol w:w="710"/>
        <w:gridCol w:w="74"/>
        <w:gridCol w:w="74"/>
        <w:gridCol w:w="100"/>
        <w:gridCol w:w="710"/>
        <w:gridCol w:w="74"/>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Year ending June 30,</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Audit-Related Fees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13,500</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14,023</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Tax and consulting Fees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Other fees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aggregate fees billed include amounts for an interim review of Form 10Q, review of SEC correspondence, the audit of the condensed consolidated financial statements for 2018, and the Internal Control over Financial Reporting.</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board has reviewed the fees paid to Sadler Gibb &amp; Associates LLC and CHR. The board has also adopted policies and procedures to approve audit and non-audit services provided in the fiscal year 2018 by Sadler Gibb &amp; Associates </w:t>
      </w:r>
      <w:r>
        <w:rPr>
          <w:sz w:val="20"/>
          <w:szCs w:val="20"/>
        </w:rPr>
        <w:lastRenderedPageBreak/>
        <w:t>LLC and CHR. These policies and procedures involve annual pre-approval by the board of the types of services to be provided by our independent auditor and fee limits for each type of service on both a per-engagement and aggregate level. The board may additionally ratify certain de minimis services provided by the independent auditor without prior board approval, as permitted by the Sarbanes-Oxley Act and rules of the SEC promulgated thereunder.</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22</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4" w:name="p4"/>
      <w:r>
        <w:rPr>
          <w:rStyle w:val="Strong"/>
          <w:sz w:val="20"/>
          <w:szCs w:val="20"/>
        </w:rPr>
        <w:t>PART IV</w:t>
      </w:r>
      <w:bookmarkEnd w:id="24"/>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bookmarkStart w:id="25" w:name="i15"/>
      <w:r>
        <w:rPr>
          <w:b/>
          <w:bCs/>
          <w:i/>
          <w:iCs/>
          <w:sz w:val="20"/>
          <w:szCs w:val="20"/>
        </w:rPr>
        <w:t>ITEM 15: EXHIBITS AND REPORTS ON FORMS 8K,</w:t>
      </w:r>
      <w:bookmarkEnd w:id="25"/>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Reports filed on Form 8-K for the year ending June 30, 2018:</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 Report on Form 8-K was filed on May 5, 2017, stating that On May 1, 2017 the Company has appointed Worldwide Stock Transfer, LLC, One University Plaza, Suite 505, Hackensack, NJ, 07601, tel)(201)820-2008 to act as the transfer agent and registrar of the Company securities.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r>
        <w:rPr>
          <w:sz w:val="20"/>
          <w:szCs w:val="20"/>
        </w:rPr>
        <w:br/>
      </w:r>
      <w:r>
        <w:rPr>
          <w:rStyle w:val="Strong"/>
          <w:sz w:val="20"/>
          <w:szCs w:val="20"/>
        </w:rPr>
        <w:t>Exhibits</w:t>
      </w:r>
      <w:r>
        <w:rPr>
          <w:sz w:val="20"/>
          <w:szCs w:val="20"/>
        </w:rPr>
        <w:t xml:space="preserve"> </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187"/>
        <w:gridCol w:w="8237"/>
      </w:tblGrid>
      <w:tr w:rsidR="00ED767D">
        <w:trPr>
          <w:divId w:val="94592678"/>
          <w:trHeight w:val="180"/>
          <w:tblCellSpacing w:w="0" w:type="dxa"/>
        </w:trPr>
        <w:tc>
          <w:tcPr>
            <w:tcW w:w="500" w:type="pct"/>
            <w:tcBorders>
              <w:bottom w:val="single" w:sz="6" w:space="0" w:color="auto"/>
            </w:tcBorders>
            <w:vAlign w:val="bottom"/>
            <w:hideMark/>
          </w:tcPr>
          <w:p w:rsidR="00ED767D" w:rsidRDefault="006C7966">
            <w:pPr>
              <w:pStyle w:val="NormalWeb"/>
              <w:spacing w:before="0" w:beforeAutospacing="0" w:after="0" w:afterAutospacing="0"/>
              <w:jc w:val="both"/>
              <w:rPr>
                <w:sz w:val="20"/>
                <w:szCs w:val="20"/>
              </w:rPr>
            </w:pPr>
            <w:r>
              <w:rPr>
                <w:b/>
                <w:bCs/>
                <w:sz w:val="20"/>
                <w:szCs w:val="20"/>
              </w:rPr>
              <w:t>Exhibit Number</w:t>
            </w:r>
          </w:p>
        </w:tc>
        <w:tc>
          <w:tcPr>
            <w:tcW w:w="100" w:type="pct"/>
            <w:vAlign w:val="center"/>
            <w:hideMark/>
          </w:tcPr>
          <w:p w:rsidR="00ED767D" w:rsidRDefault="00ED767D">
            <w:pPr>
              <w:jc w:val="both"/>
              <w:rPr>
                <w:rFonts w:eastAsia="Times New Roman"/>
                <w:sz w:val="20"/>
                <w:szCs w:val="20"/>
              </w:rPr>
            </w:pPr>
          </w:p>
        </w:tc>
        <w:tc>
          <w:tcPr>
            <w:tcW w:w="0" w:type="auto"/>
            <w:tcBorders>
              <w:bottom w:val="single" w:sz="6" w:space="0" w:color="auto"/>
            </w:tcBorders>
            <w:vAlign w:val="bottom"/>
            <w:hideMark/>
          </w:tcPr>
          <w:p w:rsidR="00ED767D" w:rsidRDefault="006C7966">
            <w:pPr>
              <w:pStyle w:val="NormalWeb"/>
              <w:spacing w:before="0" w:beforeAutospacing="0" w:after="0" w:afterAutospacing="0"/>
              <w:rPr>
                <w:sz w:val="20"/>
                <w:szCs w:val="20"/>
              </w:rPr>
            </w:pPr>
            <w:r>
              <w:rPr>
                <w:b/>
                <w:bCs/>
                <w:sz w:val="20"/>
                <w:szCs w:val="20"/>
              </w:rPr>
              <w:t>Description of the Document</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3.1</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Certificate of Incorporation as Amended and filed with the Secretary of State of Delaware effective on December 5, 2014(1)</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3.2</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Bylaws.(1)</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31.1</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Certification of Chief Executive Officer pursuant to Exchange Act Rule 13a-14(a)/15d-14(a), as adopted pursuant to Section 302 of the Sarbanes-Oxley Act of 2002.</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31.2</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Certification of Chief Financial Officer pursuant to Exchange Act Rule 13a-14(a)/15d-14(a), as adopted pursuant to Section 302 of the Sarbanes-Oxley Act of 2002.</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32.1</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Certification of Chief Executive Officer in accordance with 18 U.S.C. Section 1350, as adopted pursuant to Section 906 of the Sarbanes-Oxley Act of 2002.</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32.2</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Certification of Chief Financial Officer in accordance with 18 U.S.C. Section 1350, as adopted pursuant to Section 906 of the Sarbanes-Oxley Act of 2002.</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XBRL Instance</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XBRL Taxonomy Extension Schema Document</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XBRL Taxonomy Extension Calculation Linkbase Document</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XBRL Taxonomy Extension Definition Linkbase Document</w:t>
            </w:r>
          </w:p>
        </w:tc>
      </w:tr>
      <w:tr w:rsidR="00ED767D">
        <w:trPr>
          <w:divId w:val="94592678"/>
          <w:trHeight w:val="180"/>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XBRL Taxonomy Extension Labels Linkbase Document</w:t>
            </w:r>
          </w:p>
        </w:tc>
      </w:tr>
      <w:tr w:rsidR="00ED767D">
        <w:trPr>
          <w:divId w:val="94592678"/>
          <w:trHeight w:val="180"/>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Reports Filed on Form 8-K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 Report on Form 8-K was filed on May 5, 2017, stating that On May 1, 2017 the Company has appointed Worldwide Stock Transfer, LLC, One University Plaza, Suite 505, Hackensack, NJ, 07601, tel)(201)820-2008 to act as the transfer agent and registrar of the Company securities.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23</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b/>
          <w:bCs/>
          <w:sz w:val="20"/>
          <w:szCs w:val="20"/>
        </w:rPr>
        <w:t> </w:t>
      </w:r>
    </w:p>
    <w:p w:rsidR="00ED767D" w:rsidRDefault="006C7966">
      <w:pPr>
        <w:pStyle w:val="NormalWeb"/>
        <w:spacing w:before="0" w:beforeAutospacing="0" w:after="0" w:afterAutospacing="0"/>
        <w:jc w:val="center"/>
        <w:divId w:val="94592678"/>
        <w:rPr>
          <w:sz w:val="20"/>
          <w:szCs w:val="20"/>
        </w:rPr>
      </w:pPr>
      <w:bookmarkStart w:id="26" w:name="sig"/>
      <w:r>
        <w:rPr>
          <w:b/>
          <w:bCs/>
          <w:sz w:val="20"/>
          <w:szCs w:val="20"/>
        </w:rPr>
        <w:t>SIGNATURES</w:t>
      </w:r>
      <w:bookmarkEnd w:id="26"/>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In accordance with Section 13 or 15(d) of the Exchange Act, the registrant caused this report to be signed on its behalf by the undersigned, thereunto duly authorized.</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ED767D">
        <w:trPr>
          <w:divId w:val="94592678"/>
          <w:tblCellSpacing w:w="0" w:type="dxa"/>
        </w:trPr>
        <w:tc>
          <w:tcPr>
            <w:tcW w:w="0" w:type="auto"/>
            <w:gridSpan w:val="2"/>
            <w:vAlign w:val="center"/>
            <w:hideMark/>
          </w:tcPr>
          <w:p w:rsidR="00ED767D" w:rsidRDefault="006C7966">
            <w:pPr>
              <w:pStyle w:val="NormalWeb"/>
              <w:spacing w:before="0" w:beforeAutospacing="0" w:after="0" w:afterAutospacing="0"/>
              <w:rPr>
                <w:sz w:val="20"/>
                <w:szCs w:val="20"/>
              </w:rPr>
            </w:pPr>
            <w:r>
              <w:rPr>
                <w:sz w:val="20"/>
                <w:szCs w:val="20"/>
              </w:rPr>
              <w:t>(Registrant):</w:t>
            </w:r>
          </w:p>
          <w:p w:rsidR="00ED767D" w:rsidRDefault="006C7966">
            <w:pPr>
              <w:pStyle w:val="NormalWeb"/>
              <w:spacing w:before="0" w:beforeAutospacing="0" w:after="0" w:afterAutospacing="0"/>
              <w:rPr>
                <w:sz w:val="20"/>
                <w:szCs w:val="20"/>
              </w:rPr>
            </w:pPr>
            <w:r>
              <w:rPr>
                <w:sz w:val="20"/>
                <w:szCs w:val="20"/>
              </w:rPr>
              <w:t>ADVANCED OXYGEN TECHNOLOGIES, INC.</w:t>
            </w:r>
          </w:p>
        </w:tc>
      </w:tr>
      <w:tr w:rsidR="00ED767D">
        <w:trPr>
          <w:divId w:val="94592678"/>
          <w:trHeight w:val="180"/>
          <w:tblCellSpacing w:w="0" w:type="dxa"/>
        </w:trPr>
        <w:tc>
          <w:tcPr>
            <w:tcW w:w="1750" w:type="pct"/>
            <w:vAlign w:val="center"/>
            <w:hideMark/>
          </w:tcPr>
          <w:p w:rsidR="00ED767D" w:rsidRDefault="006C7966">
            <w:pPr>
              <w:pStyle w:val="NormalWeb"/>
              <w:spacing w:before="0" w:beforeAutospacing="0" w:after="0" w:afterAutospacing="0"/>
              <w:rPr>
                <w:sz w:val="20"/>
                <w:szCs w:val="20"/>
              </w:rPr>
            </w:pPr>
            <w:r>
              <w:rPr>
                <w:sz w:val="20"/>
                <w:szCs w:val="20"/>
              </w:rPr>
              <w:t> </w:t>
            </w:r>
          </w:p>
        </w:tc>
        <w:tc>
          <w:tcPr>
            <w:tcW w:w="3250" w:type="pct"/>
            <w:vAlign w:val="center"/>
            <w:hideMark/>
          </w:tcPr>
          <w:p w:rsidR="00ED767D" w:rsidRDefault="006C7966">
            <w:pPr>
              <w:pStyle w:val="NormalWeb"/>
              <w:spacing w:before="0" w:beforeAutospacing="0" w:after="0" w:afterAutospacing="0"/>
              <w:rPr>
                <w:sz w:val="20"/>
                <w:szCs w:val="20"/>
              </w:rPr>
            </w:pPr>
            <w:r>
              <w:rPr>
                <w:sz w:val="20"/>
                <w:szCs w:val="20"/>
              </w:rPr>
              <w:t> </w:t>
            </w:r>
          </w:p>
        </w:tc>
      </w:tr>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Date: September 26, 2018 </w:t>
            </w:r>
          </w:p>
        </w:tc>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rHeight w:val="180"/>
          <w:tblCellSpacing w:w="0" w:type="dxa"/>
        </w:trPr>
        <w:tc>
          <w:tcPr>
            <w:tcW w:w="0" w:type="auto"/>
            <w:vAlign w:val="center"/>
            <w:hideMark/>
          </w:tcPr>
          <w:p w:rsidR="00ED767D" w:rsidRDefault="006C7966">
            <w:pPr>
              <w:pStyle w:val="NormalWeb"/>
              <w:spacing w:before="0" w:beforeAutospacing="0" w:after="0" w:afterAutospacing="0"/>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rPr>
                <w:sz w:val="20"/>
                <w:szCs w:val="20"/>
              </w:rPr>
            </w:pPr>
            <w:r>
              <w:rPr>
                <w:sz w:val="20"/>
                <w:szCs w:val="20"/>
              </w:rPr>
              <w:t> </w:t>
            </w:r>
          </w:p>
        </w:tc>
      </w:tr>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By (Signature and Title):</w:t>
            </w:r>
          </w:p>
        </w:tc>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vAlign w:val="center"/>
            <w:hideMark/>
          </w:tcPr>
          <w:p w:rsidR="00ED767D" w:rsidRDefault="006C7966">
            <w:pPr>
              <w:pStyle w:val="NormalWeb"/>
              <w:spacing w:before="0" w:beforeAutospacing="0" w:after="0" w:afterAutospacing="0"/>
              <w:rPr>
                <w:sz w:val="20"/>
                <w:szCs w:val="20"/>
              </w:rPr>
            </w:pPr>
            <w:r>
              <w:rPr>
                <w:rStyle w:val="Emphasis"/>
                <w:sz w:val="20"/>
                <w:szCs w:val="20"/>
                <w:u w:val="single"/>
              </w:rPr>
              <w:t xml:space="preserve">/s/ Robert E. Wolfe /s/                                            </w:t>
            </w:r>
          </w:p>
        </w:tc>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rHeight w:val="180"/>
          <w:tblCellSpacing w:w="0" w:type="dxa"/>
        </w:trPr>
        <w:tc>
          <w:tcPr>
            <w:tcW w:w="0" w:type="auto"/>
            <w:vAlign w:val="center"/>
            <w:hideMark/>
          </w:tcPr>
          <w:p w:rsidR="00ED767D" w:rsidRDefault="006C7966">
            <w:pPr>
              <w:pStyle w:val="NormalWeb"/>
              <w:spacing w:before="0" w:beforeAutospacing="0" w:after="0" w:afterAutospacing="0"/>
              <w:rPr>
                <w:sz w:val="20"/>
                <w:szCs w:val="20"/>
              </w:rPr>
            </w:pPr>
            <w:r>
              <w:rPr>
                <w:sz w:val="20"/>
                <w:szCs w:val="20"/>
              </w:rPr>
              <w:t>Robert E. Wolfe, President</w:t>
            </w:r>
          </w:p>
        </w:tc>
        <w:tc>
          <w:tcPr>
            <w:tcW w:w="0" w:type="auto"/>
            <w:vAlign w:val="center"/>
            <w:hideMark/>
          </w:tcPr>
          <w:p w:rsidR="00ED767D" w:rsidRDefault="006C7966">
            <w:pPr>
              <w:pStyle w:val="NormalWeb"/>
              <w:spacing w:before="0" w:beforeAutospacing="0" w:after="0" w:afterAutospacing="0"/>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the requirements of the Securities Exchange Act of 1934, this report has been signed below by the following persons on behalf of the registrant and in the capacities and on the dates indicated.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Date: September 26, 2018</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By (Signature and title):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rStyle w:val="Emphasis"/>
          <w:sz w:val="20"/>
          <w:szCs w:val="20"/>
          <w:u w:val="single"/>
        </w:rPr>
        <w:t xml:space="preserve">/s/ Lawrence Donofrio /s/                                     </w:t>
      </w:r>
    </w:p>
    <w:p w:rsidR="00ED767D" w:rsidRDefault="006C7966">
      <w:pPr>
        <w:pStyle w:val="NormalWeb"/>
        <w:spacing w:before="0" w:beforeAutospacing="0" w:after="0" w:afterAutospacing="0"/>
        <w:jc w:val="both"/>
        <w:divId w:val="94592678"/>
        <w:rPr>
          <w:sz w:val="20"/>
          <w:szCs w:val="20"/>
        </w:rPr>
      </w:pPr>
      <w:r>
        <w:rPr>
          <w:sz w:val="20"/>
          <w:szCs w:val="20"/>
        </w:rPr>
        <w:t>Lawrence Donofrio, Director</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24</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1"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bookmarkStart w:id="27" w:name="Ef"/>
      <w:r>
        <w:rPr>
          <w:b/>
          <w:bCs/>
          <w:sz w:val="20"/>
          <w:szCs w:val="20"/>
        </w:rPr>
        <w:t>EXHIBIT F</w:t>
      </w:r>
      <w:bookmarkEnd w:id="27"/>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30"/>
        <w:gridCol w:w="94"/>
        <w:gridCol w:w="842"/>
        <w:gridCol w:w="94"/>
      </w:tblGrid>
      <w:tr w:rsidR="00ED767D">
        <w:trPr>
          <w:divId w:val="94592678"/>
          <w:trHeight w:val="180"/>
          <w:tblCellSpacing w:w="0" w:type="dxa"/>
        </w:trPr>
        <w:tc>
          <w:tcPr>
            <w:tcW w:w="0" w:type="auto"/>
            <w:gridSpan w:val="4"/>
            <w:vAlign w:val="bottom"/>
            <w:hideMark/>
          </w:tcPr>
          <w:p w:rsidR="00ED767D" w:rsidRDefault="006C7966">
            <w:pPr>
              <w:pStyle w:val="NormalWeb"/>
              <w:spacing w:before="0" w:beforeAutospacing="0" w:after="0" w:afterAutospacing="0"/>
              <w:jc w:val="center"/>
              <w:rPr>
                <w:sz w:val="20"/>
                <w:szCs w:val="20"/>
              </w:rPr>
            </w:pPr>
            <w:r>
              <w:rPr>
                <w:b/>
                <w:bCs/>
                <w:sz w:val="20"/>
                <w:szCs w:val="20"/>
              </w:rPr>
              <w:t>FINANCIAL STATEMENTS AND REPORT OF INDEPENDENT REGISTERED PUBLIC ACCOUNTING FIRM</w:t>
            </w:r>
          </w:p>
          <w:p w:rsidR="00ED767D" w:rsidRDefault="006C7966">
            <w:pPr>
              <w:pStyle w:val="NormalWeb"/>
              <w:spacing w:before="0" w:beforeAutospacing="0" w:after="0" w:afterAutospacing="0"/>
              <w:jc w:val="center"/>
              <w:rPr>
                <w:sz w:val="20"/>
                <w:szCs w:val="20"/>
              </w:rPr>
            </w:pPr>
            <w:r>
              <w:rPr>
                <w:b/>
                <w:bCs/>
                <w:sz w:val="20"/>
                <w:szCs w:val="20"/>
              </w:rPr>
              <w:t>ADVANCED OXYGEN TECHNOLOGIES, INC. AND SUBSIDIARY</w:t>
            </w:r>
          </w:p>
          <w:p w:rsidR="00ED767D" w:rsidRDefault="006C7966">
            <w:pPr>
              <w:pStyle w:val="NormalWeb"/>
              <w:spacing w:before="0" w:beforeAutospacing="0" w:after="0" w:afterAutospacing="0"/>
              <w:jc w:val="center"/>
              <w:rPr>
                <w:sz w:val="20"/>
                <w:szCs w:val="20"/>
              </w:rPr>
            </w:pPr>
            <w:r>
              <w:rPr>
                <w:b/>
                <w:bCs/>
                <w:sz w:val="20"/>
                <w:szCs w:val="20"/>
              </w:rPr>
              <w:t>June 30, 2018</w:t>
            </w:r>
          </w:p>
        </w:tc>
      </w:tr>
      <w:tr w:rsidR="00ED767D">
        <w:trPr>
          <w:divId w:val="94592678"/>
          <w:trHeight w:val="180"/>
          <w:tblCellSpacing w:w="0" w:type="dxa"/>
        </w:trPr>
        <w:tc>
          <w:tcPr>
            <w:tcW w:w="0" w:type="auto"/>
            <w:gridSpan w:val="4"/>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gridSpan w:val="4"/>
            <w:vAlign w:val="bottom"/>
            <w:hideMark/>
          </w:tcPr>
          <w:p w:rsidR="00ED767D" w:rsidRDefault="006C7966">
            <w:pPr>
              <w:pStyle w:val="NormalWeb"/>
              <w:spacing w:before="0" w:beforeAutospacing="0" w:after="0" w:afterAutospacing="0"/>
              <w:jc w:val="center"/>
              <w:rPr>
                <w:sz w:val="20"/>
                <w:szCs w:val="20"/>
              </w:rPr>
            </w:pPr>
            <w:bookmarkStart w:id="28" w:name="TOC2"/>
            <w:r>
              <w:rPr>
                <w:b/>
                <w:bCs/>
                <w:sz w:val="20"/>
                <w:szCs w:val="20"/>
              </w:rPr>
              <w:t>Table of Contents</w:t>
            </w:r>
            <w:bookmarkEnd w:id="28"/>
          </w:p>
        </w:tc>
      </w:tr>
      <w:tr w:rsidR="00ED767D">
        <w:trPr>
          <w:divId w:val="94592678"/>
          <w:trHeight w:val="180"/>
          <w:tblCellSpacing w:w="0" w:type="dxa"/>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vAlign w:val="center"/>
            <w:hideMark/>
          </w:tcPr>
          <w:p w:rsidR="00ED767D" w:rsidRDefault="00ED767D">
            <w:pPr>
              <w:jc w:val="both"/>
              <w:rPr>
                <w:rFonts w:eastAsia="Times New Roman"/>
                <w:sz w:val="20"/>
                <w:szCs w:val="20"/>
              </w:rPr>
            </w:pPr>
          </w:p>
        </w:tc>
        <w:tc>
          <w:tcPr>
            <w:tcW w:w="450" w:type="pct"/>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Page</w:t>
            </w:r>
          </w:p>
        </w:tc>
        <w:tc>
          <w:tcPr>
            <w:tcW w:w="50" w:type="pct"/>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vAlign w:val="bottom"/>
            <w:hideMark/>
          </w:tcPr>
          <w:p w:rsidR="00ED767D" w:rsidRDefault="00ED767D">
            <w:pPr>
              <w:jc w:val="both"/>
              <w:rPr>
                <w:rFonts w:eastAsia="Times New Roman"/>
                <w:sz w:val="20"/>
                <w:szCs w:val="20"/>
              </w:rPr>
            </w:pPr>
          </w:p>
        </w:tc>
        <w:tc>
          <w:tcPr>
            <w:tcW w:w="0" w:type="auto"/>
            <w:vAlign w:val="center"/>
            <w:hideMark/>
          </w:tcPr>
          <w:p w:rsidR="00ED767D" w:rsidRDefault="00ED767D">
            <w:pPr>
              <w:jc w:val="both"/>
              <w:rPr>
                <w:rFonts w:eastAsia="Times New Roman"/>
                <w:sz w:val="20"/>
                <w:szCs w:val="20"/>
              </w:rPr>
            </w:pPr>
          </w:p>
        </w:tc>
        <w:tc>
          <w:tcPr>
            <w:tcW w:w="0" w:type="auto"/>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R1" w:history="1">
              <w:r w:rsidR="006C7966">
                <w:rPr>
                  <w:rStyle w:val="Hyperlink"/>
                  <w:sz w:val="20"/>
                  <w:szCs w:val="20"/>
                </w:rPr>
                <w:t>Report of Independent Registered Public Accounting Firm for years ending June 30, 2018 and 2017</w:t>
              </w:r>
            </w:hyperlink>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F-2</w:t>
            </w:r>
          </w:p>
        </w:tc>
        <w:tc>
          <w:tcPr>
            <w:tcW w:w="0" w:type="auto"/>
            <w:shd w:val="clear" w:color="auto" w:fill="CCEE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ED767D">
            <w:pPr>
              <w:jc w:val="both"/>
              <w:rPr>
                <w:rFonts w:eastAsia="Times New Roman"/>
                <w:sz w:val="20"/>
                <w:szCs w:val="20"/>
              </w:rPr>
            </w:pPr>
          </w:p>
        </w:tc>
        <w:tc>
          <w:tcPr>
            <w:tcW w:w="0" w:type="auto"/>
            <w:shd w:val="clear" w:color="auto" w:fill="CCEE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ind w:left="225"/>
              <w:jc w:val="both"/>
              <w:rPr>
                <w:sz w:val="20"/>
                <w:szCs w:val="20"/>
              </w:rPr>
            </w:pPr>
            <w:hyperlink w:anchor="bal" w:history="1">
              <w:r w:rsidR="006C7966">
                <w:rPr>
                  <w:rStyle w:val="Hyperlink"/>
                  <w:sz w:val="20"/>
                  <w:szCs w:val="20"/>
                </w:rPr>
                <w:t>Consolidated Balance Sheet as of June 30, 2018, and 2017</w:t>
              </w:r>
            </w:hyperlink>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F-3</w:t>
            </w:r>
          </w:p>
        </w:tc>
        <w:tc>
          <w:tcPr>
            <w:tcW w:w="0" w:type="auto"/>
            <w:shd w:val="clear" w:color="auto" w:fill="CCEE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ind w:left="225"/>
              <w:jc w:val="both"/>
              <w:rPr>
                <w:sz w:val="20"/>
                <w:szCs w:val="20"/>
              </w:rPr>
            </w:pPr>
            <w:hyperlink w:anchor="opr" w:history="1">
              <w:r w:rsidR="006C7966">
                <w:rPr>
                  <w:rStyle w:val="Hyperlink"/>
                  <w:sz w:val="20"/>
                  <w:szCs w:val="20"/>
                </w:rPr>
                <w:t>Consolidated Statements of Operations for the years ending June 30, 2018 and 2017</w:t>
              </w:r>
            </w:hyperlink>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F-4</w:t>
            </w:r>
          </w:p>
        </w:tc>
        <w:tc>
          <w:tcPr>
            <w:tcW w:w="0" w:type="auto"/>
            <w:shd w:val="clear" w:color="auto" w:fill="CCEE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ind w:left="225"/>
              <w:jc w:val="both"/>
              <w:rPr>
                <w:sz w:val="20"/>
                <w:szCs w:val="20"/>
              </w:rPr>
            </w:pPr>
            <w:hyperlink w:anchor="eqty" w:history="1">
              <w:r w:rsidR="006C7966">
                <w:rPr>
                  <w:rStyle w:val="Hyperlink"/>
                  <w:sz w:val="20"/>
                  <w:szCs w:val="20"/>
                </w:rPr>
                <w:t>Consolidated Statements of Stockholders' Equity for the years ending June 30, 2018 and 2017</w:t>
              </w:r>
            </w:hyperlink>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F-5</w:t>
            </w:r>
          </w:p>
        </w:tc>
        <w:tc>
          <w:tcPr>
            <w:tcW w:w="0" w:type="auto"/>
            <w:shd w:val="clear" w:color="auto" w:fill="CCEE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ind w:left="225"/>
              <w:jc w:val="both"/>
              <w:rPr>
                <w:sz w:val="20"/>
                <w:szCs w:val="20"/>
              </w:rPr>
            </w:pPr>
            <w:hyperlink w:anchor="cash" w:history="1">
              <w:r w:rsidR="006C7966">
                <w:rPr>
                  <w:rStyle w:val="Hyperlink"/>
                  <w:sz w:val="20"/>
                  <w:szCs w:val="20"/>
                </w:rPr>
                <w:t xml:space="preserve">Consolidated Statements of Cash Flows for the years ending June 30, 2018 and 2017 </w:t>
              </w:r>
            </w:hyperlink>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F-6</w:t>
            </w:r>
          </w:p>
        </w:tc>
        <w:tc>
          <w:tcPr>
            <w:tcW w:w="0" w:type="auto"/>
            <w:shd w:val="clear" w:color="auto" w:fill="CCEE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FFFFFF"/>
            <w:vAlign w:val="bottom"/>
            <w:hideMark/>
          </w:tcPr>
          <w:p w:rsidR="00ED767D" w:rsidRDefault="00ED767D">
            <w:pPr>
              <w:jc w:val="both"/>
              <w:rPr>
                <w:rFonts w:eastAsia="Times New Roman"/>
                <w:sz w:val="20"/>
                <w:szCs w:val="20"/>
              </w:rPr>
            </w:pPr>
          </w:p>
        </w:tc>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ED767D" w:rsidRDefault="00ED767D">
            <w:pPr>
              <w:jc w:val="both"/>
              <w:rPr>
                <w:rFonts w:eastAsia="Times New Roman"/>
                <w:sz w:val="20"/>
                <w:szCs w:val="20"/>
              </w:rPr>
            </w:pPr>
          </w:p>
        </w:tc>
      </w:tr>
      <w:tr w:rsidR="00ED767D">
        <w:trPr>
          <w:divId w:val="94592678"/>
          <w:trHeight w:val="180"/>
          <w:tblCellSpacing w:w="0" w:type="dxa"/>
        </w:trPr>
        <w:tc>
          <w:tcPr>
            <w:tcW w:w="0" w:type="auto"/>
            <w:shd w:val="clear" w:color="auto" w:fill="CCEEFF"/>
            <w:vAlign w:val="bottom"/>
            <w:hideMark/>
          </w:tcPr>
          <w:p w:rsidR="00ED767D" w:rsidRDefault="00FF05C4">
            <w:pPr>
              <w:pStyle w:val="NormalWeb"/>
              <w:spacing w:before="0" w:beforeAutospacing="0" w:after="0" w:afterAutospacing="0"/>
              <w:jc w:val="both"/>
              <w:rPr>
                <w:sz w:val="20"/>
                <w:szCs w:val="20"/>
              </w:rPr>
            </w:pPr>
            <w:hyperlink w:anchor="notes" w:history="1">
              <w:r w:rsidR="006C7966">
                <w:rPr>
                  <w:rStyle w:val="Hyperlink"/>
                  <w:sz w:val="20"/>
                  <w:szCs w:val="20"/>
                </w:rPr>
                <w:t>Notes to Consolidated Financial Statements</w:t>
              </w:r>
            </w:hyperlink>
          </w:p>
        </w:tc>
        <w:tc>
          <w:tcPr>
            <w:tcW w:w="0" w:type="auto"/>
            <w:shd w:val="clear" w:color="auto" w:fill="CCEEFF"/>
            <w:vAlign w:val="center"/>
            <w:hideMark/>
          </w:tcPr>
          <w:p w:rsidR="00ED767D" w:rsidRDefault="00ED767D">
            <w:pPr>
              <w:jc w:val="both"/>
              <w:rPr>
                <w:rFonts w:eastAsia="Times New Roman"/>
                <w:sz w:val="20"/>
                <w:szCs w:val="20"/>
              </w:rPr>
            </w:pP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F-7</w:t>
            </w:r>
          </w:p>
        </w:tc>
        <w:tc>
          <w:tcPr>
            <w:tcW w:w="0" w:type="auto"/>
            <w:shd w:val="clear" w:color="auto" w:fill="CCEEFF"/>
            <w:vAlign w:val="center"/>
            <w:hideMark/>
          </w:tcPr>
          <w:p w:rsidR="00ED767D" w:rsidRDefault="00ED767D">
            <w:pPr>
              <w:jc w:val="both"/>
              <w:rPr>
                <w:rFonts w:eastAsia="Times New Roman"/>
                <w:sz w:val="20"/>
                <w:szCs w:val="20"/>
              </w:rPr>
            </w:pPr>
          </w:p>
        </w:tc>
      </w:tr>
    </w:tbl>
    <w:p w:rsidR="00ED767D" w:rsidRDefault="006C7966">
      <w:pPr>
        <w:pStyle w:val="NormalWeb"/>
        <w:spacing w:before="0" w:beforeAutospacing="0" w:after="0" w:afterAutospacing="0"/>
        <w:jc w:val="center"/>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F-1</w:t>
            </w:r>
          </w:p>
        </w:tc>
      </w:tr>
      <w:tr w:rsidR="00ED767D">
        <w:trPr>
          <w:divId w:val="94592678"/>
          <w:tblCellSpacing w:w="0" w:type="dxa"/>
          <w:jc w:val="center"/>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jc w:val="center"/>
        </w:trPr>
        <w:tc>
          <w:tcPr>
            <w:tcW w:w="0" w:type="auto"/>
            <w:vAlign w:val="center"/>
            <w:hideMark/>
          </w:tcPr>
          <w:p w:rsidR="00ED767D" w:rsidRDefault="00ED767D">
            <w:pPr>
              <w:rPr>
                <w:rFonts w:eastAsia="Times New Roman"/>
                <w:sz w:val="20"/>
                <w:szCs w:val="20"/>
              </w:rPr>
            </w:pPr>
          </w:p>
        </w:tc>
      </w:tr>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bl>
    <w:p w:rsidR="00ED767D" w:rsidRDefault="006C7966">
      <w:pPr>
        <w:pStyle w:val="NormalWeb"/>
        <w:spacing w:before="0" w:beforeAutospacing="0" w:after="0" w:afterAutospacing="0"/>
        <w:jc w:val="both"/>
        <w:divId w:val="94592678"/>
        <w:rPr>
          <w:sz w:val="20"/>
          <w:szCs w:val="20"/>
        </w:rPr>
      </w:pPr>
      <w:r>
        <w:rPr>
          <w:b/>
          <w:bCs/>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lastRenderedPageBreak/>
        <w:t> </w:t>
      </w:r>
      <w:r>
        <w:rPr>
          <w:noProof/>
          <w:sz w:val="20"/>
          <w:szCs w:val="20"/>
        </w:rPr>
        <w:drawing>
          <wp:inline distT="0" distB="0" distL="0" distR="0">
            <wp:extent cx="2286000" cy="876300"/>
            <wp:effectExtent l="0" t="0" r="0" b="0"/>
            <wp:docPr id="1" name="Picture 1" descr="D:\wolfer2\myfiles\AOXY\edgar\2018\6-30-2018 10K\Filing\aoxy_10k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lfer2\myfiles\AOXY\edgar\2018\6-30-2018 10K\Filing\aoxy_10kimg4.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86000" cy="876300"/>
                    </a:xfrm>
                    <a:prstGeom prst="rect">
                      <a:avLst/>
                    </a:prstGeom>
                    <a:noFill/>
                    <a:ln>
                      <a:noFill/>
                    </a:ln>
                  </pic:spPr>
                </pic:pic>
              </a:graphicData>
            </a:graphic>
          </wp:inline>
        </w:drawing>
      </w: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bookmarkStart w:id="29" w:name="R1"/>
      <w:r>
        <w:rPr>
          <w:b/>
          <w:bCs/>
          <w:sz w:val="20"/>
          <w:szCs w:val="20"/>
          <w:u w:val="single"/>
        </w:rPr>
        <w:t>REPORT OF INDEPENDENT REGISTERED PUBLIC ACCOUNTING FIRM</w:t>
      </w:r>
      <w:bookmarkEnd w:id="29"/>
    </w:p>
    <w:p w:rsidR="00ED767D" w:rsidRDefault="006C7966">
      <w:pPr>
        <w:pStyle w:val="NormalWeb"/>
        <w:spacing w:before="0" w:beforeAutospacing="0" w:after="0" w:afterAutospacing="0"/>
        <w:ind w:left="62" w:firstLine="1656"/>
        <w:jc w:val="both"/>
        <w:divId w:val="94592678"/>
        <w:rPr>
          <w:sz w:val="20"/>
          <w:szCs w:val="20"/>
        </w:rPr>
      </w:pPr>
      <w:r>
        <w:rPr>
          <w:sz w:val="20"/>
          <w:szCs w:val="20"/>
        </w:rPr>
        <w:t> </w:t>
      </w:r>
    </w:p>
    <w:p w:rsidR="00ED767D" w:rsidRDefault="006C7966">
      <w:pPr>
        <w:pStyle w:val="NormalWeb"/>
        <w:spacing w:before="0" w:beforeAutospacing="0" w:after="0" w:afterAutospacing="0"/>
        <w:ind w:left="62"/>
        <w:jc w:val="both"/>
        <w:divId w:val="94592678"/>
        <w:rPr>
          <w:sz w:val="20"/>
          <w:szCs w:val="20"/>
        </w:rPr>
      </w:pPr>
      <w:r>
        <w:rPr>
          <w:sz w:val="20"/>
          <w:szCs w:val="20"/>
        </w:rPr>
        <w:t>To the Board of Directors and Shareholders of</w:t>
      </w:r>
    </w:p>
    <w:p w:rsidR="00ED767D" w:rsidRDefault="006C7966">
      <w:pPr>
        <w:pStyle w:val="NormalWeb"/>
        <w:spacing w:before="0" w:beforeAutospacing="0" w:after="0" w:afterAutospacing="0"/>
        <w:ind w:left="62"/>
        <w:jc w:val="both"/>
        <w:divId w:val="94592678"/>
        <w:rPr>
          <w:sz w:val="20"/>
          <w:szCs w:val="20"/>
        </w:rPr>
      </w:pPr>
      <w:r>
        <w:rPr>
          <w:sz w:val="20"/>
          <w:szCs w:val="20"/>
        </w:rPr>
        <w:t>Advanced Oxygen Technologies, Inc. and subsidiary</w:t>
      </w:r>
    </w:p>
    <w:p w:rsidR="00ED767D" w:rsidRDefault="006C7966">
      <w:pPr>
        <w:pStyle w:val="NormalWeb"/>
        <w:spacing w:before="0" w:beforeAutospacing="0" w:after="0" w:afterAutospacing="0"/>
        <w:ind w:left="62"/>
        <w:jc w:val="both"/>
        <w:divId w:val="94592678"/>
        <w:rPr>
          <w:sz w:val="20"/>
          <w:szCs w:val="20"/>
        </w:rPr>
      </w:pPr>
      <w:r>
        <w:rPr>
          <w:sz w:val="20"/>
          <w:szCs w:val="20"/>
        </w:rPr>
        <w:t> </w:t>
      </w:r>
    </w:p>
    <w:p w:rsidR="00ED767D" w:rsidRDefault="006C7966">
      <w:pPr>
        <w:pStyle w:val="NormalWeb"/>
        <w:spacing w:before="0" w:beforeAutospacing="0" w:after="0" w:afterAutospacing="0"/>
        <w:ind w:left="62"/>
        <w:jc w:val="both"/>
        <w:divId w:val="94592678"/>
        <w:rPr>
          <w:sz w:val="20"/>
          <w:szCs w:val="20"/>
        </w:rPr>
      </w:pPr>
      <w:r>
        <w:rPr>
          <w:sz w:val="20"/>
          <w:szCs w:val="20"/>
        </w:rPr>
        <w:t>We have audited the accompanying consolidated balance sheets of Advanced Oxygen Technologies, Inc. (“the Company”) as of June 30, 2018 and 2017, the related consolidated statements of operations, stockholders’ equity, and cash flows for each of the years in the two-year period ended June 30, 2018 and the related notes (collectively referred to as the “financial statements”). In our opinion, the financial statements referred to above present fairly, in all material respects, the financial position of the Company as of June 30, 2018 and 2017, and the results of its operations and its cash flows for each of the years in the two-year period ended June 30, 2018, in conformity with accounting principles generally accepted in the United States of America.</w:t>
      </w:r>
    </w:p>
    <w:p w:rsidR="00ED767D" w:rsidRDefault="006C7966">
      <w:pPr>
        <w:pStyle w:val="NormalWeb"/>
        <w:spacing w:before="0" w:beforeAutospacing="0" w:after="0" w:afterAutospacing="0"/>
        <w:ind w:left="62"/>
        <w:jc w:val="both"/>
        <w:divId w:val="94592678"/>
        <w:rPr>
          <w:sz w:val="20"/>
          <w:szCs w:val="20"/>
        </w:rPr>
      </w:pPr>
      <w:r>
        <w:rPr>
          <w:sz w:val="20"/>
          <w:szCs w:val="20"/>
        </w:rPr>
        <w:t>Basis for Opinion</w:t>
      </w:r>
    </w:p>
    <w:p w:rsidR="00ED767D" w:rsidRDefault="006C7966">
      <w:pPr>
        <w:pStyle w:val="NormalWeb"/>
        <w:spacing w:before="0" w:beforeAutospacing="0" w:after="0" w:afterAutospacing="0"/>
        <w:ind w:left="62"/>
        <w:jc w:val="both"/>
        <w:divId w:val="94592678"/>
        <w:rPr>
          <w:sz w:val="20"/>
          <w:szCs w:val="20"/>
        </w:rPr>
      </w:pPr>
      <w:r>
        <w:rPr>
          <w:sz w:val="20"/>
          <w:szCs w:val="20"/>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rsidR="00ED767D" w:rsidRDefault="006C7966">
      <w:pPr>
        <w:pStyle w:val="NormalWeb"/>
        <w:spacing w:before="0" w:beforeAutospacing="0" w:after="0" w:afterAutospacing="0"/>
        <w:ind w:left="62"/>
        <w:jc w:val="both"/>
        <w:divId w:val="94592678"/>
        <w:rPr>
          <w:sz w:val="20"/>
          <w:szCs w:val="20"/>
        </w:rPr>
      </w:pPr>
      <w:r>
        <w:rPr>
          <w:sz w:val="20"/>
          <w:szCs w:val="20"/>
        </w:rPr>
        <w:t>We conducted our audits in accordance with the standards of the PCAOB. Those standards require that we plan and perform the audit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rsidR="00ED767D" w:rsidRDefault="006C7966">
      <w:pPr>
        <w:pStyle w:val="NormalWeb"/>
        <w:spacing w:before="0" w:beforeAutospacing="0" w:after="0" w:afterAutospacing="0"/>
        <w:ind w:left="62"/>
        <w:jc w:val="both"/>
        <w:divId w:val="94592678"/>
        <w:rPr>
          <w:sz w:val="20"/>
          <w:szCs w:val="20"/>
        </w:rPr>
      </w:pPr>
      <w:r>
        <w:rPr>
          <w:sz w:val="20"/>
          <w:szCs w:val="20"/>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rsidR="00ED767D" w:rsidRDefault="006C7966">
      <w:pPr>
        <w:pStyle w:val="NormalWeb"/>
        <w:spacing w:before="0" w:beforeAutospacing="0" w:after="0" w:afterAutospacing="0"/>
        <w:ind w:left="62"/>
        <w:jc w:val="both"/>
        <w:divId w:val="94592678"/>
        <w:rPr>
          <w:sz w:val="20"/>
          <w:szCs w:val="20"/>
        </w:rPr>
      </w:pPr>
      <w:r>
        <w:rPr>
          <w:sz w:val="20"/>
          <w:szCs w:val="20"/>
        </w:rPr>
        <w:t>/s/ Sadler, Gibb &amp; Associates, LLC</w:t>
      </w:r>
    </w:p>
    <w:p w:rsidR="00ED767D" w:rsidRDefault="006C7966">
      <w:pPr>
        <w:pStyle w:val="NormalWeb"/>
        <w:spacing w:before="0" w:beforeAutospacing="0" w:after="0" w:afterAutospacing="0"/>
        <w:ind w:left="62"/>
        <w:jc w:val="both"/>
        <w:divId w:val="94592678"/>
        <w:rPr>
          <w:sz w:val="20"/>
          <w:szCs w:val="20"/>
        </w:rPr>
      </w:pPr>
      <w:r>
        <w:rPr>
          <w:sz w:val="20"/>
          <w:szCs w:val="20"/>
        </w:rPr>
        <w:t>We have served as the Company’s auditor since 2016.</w:t>
      </w:r>
    </w:p>
    <w:p w:rsidR="00ED767D" w:rsidRDefault="006C7966">
      <w:pPr>
        <w:pStyle w:val="NormalWeb"/>
        <w:spacing w:before="0" w:beforeAutospacing="0" w:after="0" w:afterAutospacing="0"/>
        <w:ind w:left="62"/>
        <w:jc w:val="both"/>
        <w:divId w:val="94592678"/>
        <w:rPr>
          <w:sz w:val="20"/>
          <w:szCs w:val="20"/>
        </w:rPr>
      </w:pPr>
      <w:r>
        <w:rPr>
          <w:sz w:val="20"/>
          <w:szCs w:val="20"/>
        </w:rPr>
        <w:t>Salt Lake City, UT</w:t>
      </w:r>
    </w:p>
    <w:p w:rsidR="00ED767D" w:rsidRDefault="006C7966">
      <w:pPr>
        <w:pStyle w:val="NormalWeb"/>
        <w:spacing w:before="0" w:beforeAutospacing="0" w:after="0" w:afterAutospacing="0"/>
        <w:ind w:left="62"/>
        <w:jc w:val="both"/>
        <w:divId w:val="94592678"/>
        <w:rPr>
          <w:sz w:val="20"/>
          <w:szCs w:val="20"/>
        </w:rPr>
      </w:pPr>
      <w:r>
        <w:rPr>
          <w:sz w:val="20"/>
          <w:szCs w:val="20"/>
        </w:rPr>
        <w:t>September 26, 2018</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F-2</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59"/>
        <w:gridCol w:w="66"/>
        <w:gridCol w:w="100"/>
        <w:gridCol w:w="967"/>
        <w:gridCol w:w="67"/>
        <w:gridCol w:w="67"/>
        <w:gridCol w:w="100"/>
        <w:gridCol w:w="967"/>
        <w:gridCol w:w="67"/>
      </w:tblGrid>
      <w:tr w:rsidR="00ED767D">
        <w:trPr>
          <w:divId w:val="94592678"/>
          <w:tblCellSpacing w:w="0" w:type="dxa"/>
        </w:trPr>
        <w:tc>
          <w:tcPr>
            <w:tcW w:w="0" w:type="auto"/>
            <w:gridSpan w:val="9"/>
            <w:hideMark/>
          </w:tcPr>
          <w:p w:rsidR="00ED767D" w:rsidRDefault="006C7966">
            <w:pPr>
              <w:pStyle w:val="NormalWeb"/>
              <w:spacing w:before="0" w:beforeAutospacing="0" w:after="0" w:afterAutospacing="0"/>
              <w:jc w:val="center"/>
              <w:rPr>
                <w:sz w:val="20"/>
                <w:szCs w:val="20"/>
              </w:rPr>
            </w:pPr>
            <w:r>
              <w:rPr>
                <w:b/>
                <w:bCs/>
                <w:sz w:val="20"/>
                <w:szCs w:val="20"/>
              </w:rPr>
              <w:br/>
            </w:r>
            <w:bookmarkStart w:id="30" w:name="bal"/>
            <w:r>
              <w:rPr>
                <w:b/>
                <w:bCs/>
                <w:sz w:val="20"/>
                <w:szCs w:val="20"/>
              </w:rPr>
              <w:t>ADVANCED OXYGEN TECHNOLOGIES, INC.</w:t>
            </w:r>
            <w:r>
              <w:rPr>
                <w:b/>
                <w:bCs/>
                <w:sz w:val="20"/>
                <w:szCs w:val="20"/>
              </w:rPr>
              <w:br/>
              <w:t>AND SUBSIDIARY</w:t>
            </w:r>
            <w:r>
              <w:rPr>
                <w:b/>
                <w:bCs/>
                <w:sz w:val="20"/>
                <w:szCs w:val="20"/>
              </w:rPr>
              <w:br/>
              <w:t>CONSOLIDATED BALANCE SHEETS</w:t>
            </w:r>
            <w:bookmarkEnd w:id="30"/>
          </w:p>
        </w:tc>
      </w:tr>
      <w:tr w:rsidR="00ED767D">
        <w:trPr>
          <w:divId w:val="94592678"/>
          <w:trHeight w:val="180"/>
          <w:tblCellSpacing w:w="0" w:type="dxa"/>
        </w:trPr>
        <w:tc>
          <w:tcPr>
            <w:tcW w:w="0" w:type="auto"/>
            <w:gridSpan w:val="9"/>
            <w:vAlign w:val="center"/>
            <w:hideMark/>
          </w:tcPr>
          <w:p w:rsidR="00ED767D" w:rsidRDefault="006C7966">
            <w:pPr>
              <w:pStyle w:val="NormalWeb"/>
              <w:spacing w:before="0" w:beforeAutospacing="0" w:after="0" w:afterAutospacing="0"/>
              <w:jc w:val="both"/>
              <w:rPr>
                <w:sz w:val="20"/>
                <w:szCs w:val="20"/>
              </w:rPr>
            </w:pPr>
            <w:r>
              <w:rPr>
                <w:sz w:val="20"/>
                <w:szCs w:val="20"/>
              </w:rPr>
              <w:t xml:space="preserve">   </w:t>
            </w:r>
          </w:p>
        </w:tc>
      </w:tr>
      <w:tr w:rsidR="00ED767D">
        <w:trPr>
          <w:divId w:val="94592678"/>
          <w:tblCellSpacing w:w="0" w:type="dxa"/>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As of June 30,</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bottom"/>
            <w:hideMark/>
          </w:tcPr>
          <w:p w:rsidR="00ED767D" w:rsidRDefault="00ED767D">
            <w:pPr>
              <w:jc w:val="both"/>
              <w:rPr>
                <w:rFonts w:eastAsia="Times New Roman"/>
                <w:sz w:val="20"/>
                <w:szCs w:val="20"/>
              </w:rPr>
            </w:pP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vAlign w:val="center"/>
            <w:hideMark/>
          </w:tcPr>
          <w:p w:rsidR="00ED767D" w:rsidRDefault="006C7966">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hideMark/>
          </w:tcPr>
          <w:p w:rsidR="00ED767D" w:rsidRDefault="006C7966">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lastRenderedPageBreak/>
              <w:t>Cash</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53,415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50,331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1,772</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1,221</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55,187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51,552</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ED767D">
            <w:pPr>
              <w:jc w:val="right"/>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ED767D">
            <w:pPr>
              <w:jc w:val="right"/>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Land and buildings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632,712</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619,592</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687,899</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671,144</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750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1,405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 xml:space="preserve">Taxes Payable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40,269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30,389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Note Payable, Current Portion</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143,422</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153,638</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112,255</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96,725</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296,696</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380,917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83,446</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98,760</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83,446</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98,760</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380,142</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380,917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June 30, 2018 and June 30, 2017</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Convertible preferred stock, Series 3, par value $0.01; 1,670,0000 authorized, zero shares issued and outstanding</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Convertible preferred stock, Series 5; no par value, 1 share authorized and zero shares issued and outstanding, respectively</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Common stock, par value $0.01; At June 30, 2018 and June 30, 2017, authorized 60,000,000 shares; issued and outstanding 2,292,945 shares.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 xml:space="preserve">Other Comprehensive Income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63,139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53,065</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 xml:space="preserve">Accumulated deficit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(20,732,352</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(20,739,808</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307,757</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290,227</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b/>
                <w:bCs/>
                <w:sz w:val="20"/>
                <w:szCs w:val="20"/>
              </w:rPr>
              <w:t>TOTAL LIABILITIES AND STOCKHOLDERS EQUITY</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b/>
                <w:bCs/>
                <w:sz w:val="20"/>
                <w:szCs w:val="20"/>
              </w:rPr>
              <w:t>687,899</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b/>
                <w:bCs/>
                <w:sz w:val="20"/>
                <w:szCs w:val="20"/>
              </w:rPr>
              <w:t>671,144</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See accompanying notes to the consolidated financial statements.</w:t>
      </w:r>
    </w:p>
    <w:p w:rsidR="00ED767D" w:rsidRDefault="006C7966">
      <w:pPr>
        <w:pStyle w:val="NormalWeb"/>
        <w:spacing w:before="0" w:beforeAutospacing="0" w:after="0" w:afterAutospacing="0"/>
        <w:jc w:val="center"/>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F-3</w:t>
            </w:r>
          </w:p>
        </w:tc>
      </w:tr>
      <w:tr w:rsidR="00ED767D">
        <w:trPr>
          <w:divId w:val="94592678"/>
          <w:tblCellSpacing w:w="0" w:type="dxa"/>
          <w:jc w:val="center"/>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jc w:val="center"/>
        </w:trPr>
        <w:tc>
          <w:tcPr>
            <w:tcW w:w="0" w:type="auto"/>
            <w:vAlign w:val="center"/>
            <w:hideMark/>
          </w:tcPr>
          <w:p w:rsidR="00ED767D" w:rsidRDefault="00ED767D">
            <w:pPr>
              <w:rPr>
                <w:rFonts w:eastAsia="Times New Roman"/>
                <w:sz w:val="20"/>
                <w:szCs w:val="20"/>
              </w:rPr>
            </w:pPr>
          </w:p>
        </w:tc>
      </w:tr>
      <w:tr w:rsidR="00ED767D">
        <w:trPr>
          <w:divId w:val="94592678"/>
          <w:tblCellSpacing w:w="0" w:type="dxa"/>
          <w:jc w:val="center"/>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ED767D">
        <w:trPr>
          <w:divId w:val="94592678"/>
          <w:tblCellSpacing w:w="0" w:type="dxa"/>
        </w:trPr>
        <w:tc>
          <w:tcPr>
            <w:tcW w:w="0" w:type="auto"/>
            <w:gridSpan w:val="9"/>
            <w:hideMark/>
          </w:tcPr>
          <w:p w:rsidR="00ED767D" w:rsidRDefault="006C7966">
            <w:pPr>
              <w:pStyle w:val="NormalWeb"/>
              <w:spacing w:before="0" w:beforeAutospacing="0" w:after="0" w:afterAutospacing="0"/>
              <w:jc w:val="center"/>
              <w:rPr>
                <w:sz w:val="20"/>
                <w:szCs w:val="20"/>
              </w:rPr>
            </w:pPr>
            <w:bookmarkStart w:id="31" w:name="opr"/>
            <w:r>
              <w:rPr>
                <w:b/>
                <w:bCs/>
                <w:sz w:val="20"/>
                <w:szCs w:val="20"/>
              </w:rPr>
              <w:t>ADVANCED OXYGEN TECHNOLOGIES, INC.</w:t>
            </w:r>
            <w:r>
              <w:rPr>
                <w:b/>
                <w:bCs/>
                <w:sz w:val="20"/>
                <w:szCs w:val="20"/>
              </w:rPr>
              <w:br/>
              <w:t>AND SUBSIDIARY</w:t>
            </w:r>
            <w:r>
              <w:rPr>
                <w:b/>
                <w:bCs/>
                <w:sz w:val="20"/>
                <w:szCs w:val="20"/>
              </w:rPr>
              <w:br/>
              <w:t>CONSOLIDATED STATEMENT OF OPERATIONS</w:t>
            </w:r>
            <w:bookmarkEnd w:id="31"/>
          </w:p>
        </w:tc>
      </w:tr>
      <w:tr w:rsidR="00ED767D">
        <w:trPr>
          <w:divId w:val="94592678"/>
          <w:trHeight w:val="180"/>
          <w:tblCellSpacing w:w="0" w:type="dxa"/>
        </w:trPr>
        <w:tc>
          <w:tcPr>
            <w:tcW w:w="0" w:type="auto"/>
            <w:gridSpan w:val="9"/>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lastRenderedPageBreak/>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For the Years ended June 30,</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 xml:space="preserve">Revenues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Real Estate Rentals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39,770</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35,917</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ED767D">
            <w:pPr>
              <w:jc w:val="right"/>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Revenues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39,770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35,917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Costs and Expenses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 xml:space="preserve">General &amp; Administrative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3,481</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5,382</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Professional expenses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15,825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15,301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Operating Expenses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19,306</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20,683</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Income from operations before other income (expenses)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20,464</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15,234</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Other income (expenses)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Interest Expense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(5,807</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(6,658</w:t>
            </w:r>
          </w:p>
        </w:tc>
        <w:tc>
          <w:tcPr>
            <w:tcW w:w="50" w:type="pct"/>
            <w:shd w:val="clear" w:color="auto" w:fill="CCEE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Income before Income Taxes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14,657</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8,576</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 xml:space="preserve">Income Taxes Expense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7,201</w:t>
            </w:r>
          </w:p>
        </w:tc>
        <w:tc>
          <w:tcPr>
            <w:tcW w:w="50" w:type="pct"/>
            <w:shd w:val="clear" w:color="auto" w:fill="FFFFFF"/>
            <w:tcMar>
              <w:top w:w="0" w:type="dxa"/>
              <w:left w:w="0" w:type="dxa"/>
              <w:bottom w:w="15" w:type="dxa"/>
              <w:right w:w="0" w:type="dxa"/>
            </w:tcMar>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8,567</w:t>
            </w:r>
          </w:p>
        </w:tc>
        <w:tc>
          <w:tcPr>
            <w:tcW w:w="50" w:type="pct"/>
            <w:shd w:val="clear" w:color="auto" w:fill="FFFFFF"/>
            <w:tcMar>
              <w:top w:w="0" w:type="dxa"/>
              <w:left w:w="0" w:type="dxa"/>
              <w:bottom w:w="15" w:type="dxa"/>
              <w:right w:w="0" w:type="dxa"/>
            </w:tcMar>
            <w:vAlign w:val="bottom"/>
            <w:hideMark/>
          </w:tcPr>
          <w:p w:rsidR="00ED767D" w:rsidRDefault="00ED767D">
            <w:pPr>
              <w:jc w:val="both"/>
              <w:rPr>
                <w:rFonts w:eastAsia="Times New Roman"/>
                <w:sz w:val="20"/>
                <w:szCs w:val="20"/>
              </w:rPr>
            </w:pP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xml:space="preserve">NET INCOME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7,456</w:t>
            </w:r>
          </w:p>
        </w:tc>
        <w:tc>
          <w:tcPr>
            <w:tcW w:w="50" w:type="pct"/>
            <w:shd w:val="clear" w:color="auto" w:fill="FFFFFF"/>
            <w:tcMar>
              <w:top w:w="0" w:type="dxa"/>
              <w:left w:w="0" w:type="dxa"/>
              <w:bottom w:w="45" w:type="dxa"/>
              <w:right w:w="0" w:type="dxa"/>
            </w:tcMar>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9</w:t>
            </w:r>
          </w:p>
        </w:tc>
        <w:tc>
          <w:tcPr>
            <w:tcW w:w="50" w:type="pct"/>
            <w:shd w:val="clear" w:color="auto" w:fill="FFFF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Weighted Average number of common shares outstanding</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jc w:val="both"/>
              <w:rPr>
                <w:rFonts w:eastAsia="Times New Roman"/>
                <w:sz w:val="20"/>
                <w:szCs w:val="20"/>
              </w:rPr>
            </w:pPr>
            <w:r>
              <w:rPr>
                <w:rFonts w:eastAsia="Times New Roman"/>
                <w:sz w:val="20"/>
                <w:szCs w:val="20"/>
              </w:rPr>
              <w:t>      Basic</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hd w:val="clear" w:color="auto" w:fill="FFFFFF"/>
              <w:spacing w:before="0" w:beforeAutospacing="0" w:after="0" w:afterAutospacing="0"/>
              <w:jc w:val="both"/>
              <w:rPr>
                <w:sz w:val="20"/>
                <w:szCs w:val="20"/>
              </w:rPr>
            </w:pPr>
            <w:r>
              <w:rPr>
                <w:sz w:val="20"/>
                <w:szCs w:val="20"/>
              </w:rPr>
              <w:t>      Diluted</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2,302,945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2,302,945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 </w:t>
            </w:r>
          </w:p>
        </w:tc>
        <w:tc>
          <w:tcPr>
            <w:tcW w:w="50" w:type="pct"/>
            <w:tcBorders>
              <w:bottom w:val="doub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 </w:t>
            </w:r>
          </w:p>
        </w:tc>
        <w:tc>
          <w:tcPr>
            <w:tcW w:w="450" w:type="pct"/>
            <w:tcBorders>
              <w:bottom w:val="doub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45" w:type="dxa"/>
              <w:right w:w="0" w:type="dxa"/>
            </w:tcMar>
            <w:vAlign w:val="bottom"/>
            <w:hideMark/>
          </w:tcPr>
          <w:p w:rsidR="00ED767D" w:rsidRDefault="006C7966">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 </w:t>
            </w:r>
          </w:p>
        </w:tc>
        <w:tc>
          <w:tcPr>
            <w:tcW w:w="50" w:type="pct"/>
            <w:tcBorders>
              <w:bottom w:val="doub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 </w:t>
            </w:r>
          </w:p>
        </w:tc>
        <w:tc>
          <w:tcPr>
            <w:tcW w:w="450" w:type="pct"/>
            <w:tcBorders>
              <w:bottom w:val="doub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45" w:type="dxa"/>
              <w:right w:w="0" w:type="dxa"/>
            </w:tcMar>
            <w:vAlign w:val="bottom"/>
            <w:hideMark/>
          </w:tcPr>
          <w:p w:rsidR="00ED767D" w:rsidRDefault="006C7966">
            <w:pPr>
              <w:jc w:val="both"/>
              <w:rPr>
                <w:rFonts w:eastAsia="Times New Roman"/>
                <w:sz w:val="20"/>
                <w:szCs w:val="20"/>
              </w:rPr>
            </w:pPr>
            <w:r>
              <w:rPr>
                <w:rFonts w:eastAsia="Times New Roman"/>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Basic Net Income per Share, 2,292,945 shares outstanding</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0.00</w:t>
            </w:r>
          </w:p>
        </w:tc>
        <w:tc>
          <w:tcPr>
            <w:tcW w:w="50" w:type="pct"/>
            <w:shd w:val="clear" w:color="auto" w:fill="FFFFFF"/>
            <w:tcMar>
              <w:top w:w="0" w:type="dxa"/>
              <w:left w:w="0" w:type="dxa"/>
              <w:bottom w:w="45" w:type="dxa"/>
              <w:right w:w="0" w:type="dxa"/>
            </w:tcMar>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0.00</w:t>
            </w:r>
          </w:p>
        </w:tc>
        <w:tc>
          <w:tcPr>
            <w:tcW w:w="50" w:type="pct"/>
            <w:shd w:val="clear" w:color="auto" w:fill="FFFF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Dilutive Net Income per Share, 2,302,945 shares fully diluted</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0.00</w:t>
            </w:r>
          </w:p>
        </w:tc>
        <w:tc>
          <w:tcPr>
            <w:tcW w:w="50" w:type="pct"/>
            <w:shd w:val="clear" w:color="auto" w:fill="CCEEFF"/>
            <w:tcMar>
              <w:top w:w="0" w:type="dxa"/>
              <w:left w:w="0" w:type="dxa"/>
              <w:bottom w:w="45" w:type="dxa"/>
              <w:right w:w="0" w:type="dxa"/>
            </w:tcMar>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0.00</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COMPREHENSIVE INCOME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Other Income</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Foreign Currency Translation Adjustments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10,074</w:t>
            </w:r>
          </w:p>
        </w:tc>
        <w:tc>
          <w:tcPr>
            <w:tcW w:w="50" w:type="pct"/>
            <w:shd w:val="clear" w:color="auto" w:fill="CCEEFF"/>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25,980</w:t>
            </w:r>
          </w:p>
        </w:tc>
        <w:tc>
          <w:tcPr>
            <w:tcW w:w="50" w:type="pct"/>
            <w:shd w:val="clear" w:color="auto" w:fill="CCEEFF"/>
            <w:vAlign w:val="bottom"/>
            <w:hideMark/>
          </w:tcPr>
          <w:p w:rsidR="00ED767D" w:rsidRDefault="00ED767D">
            <w:pPr>
              <w:jc w:val="both"/>
              <w:rPr>
                <w:rFonts w:eastAsia="Times New Roman"/>
                <w:sz w:val="20"/>
                <w:szCs w:val="20"/>
              </w:rPr>
            </w:pP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Total Comprehensive Income</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17,530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25,989</w:t>
            </w:r>
          </w:p>
        </w:tc>
        <w:tc>
          <w:tcPr>
            <w:tcW w:w="50" w:type="pct"/>
            <w:shd w:val="clear" w:color="auto" w:fill="FFFFFF"/>
            <w:vAlign w:val="bottom"/>
            <w:hideMark/>
          </w:tcPr>
          <w:p w:rsidR="00ED767D" w:rsidRDefault="00ED767D">
            <w:pPr>
              <w:jc w:val="both"/>
              <w:rPr>
                <w:rFonts w:eastAsia="Times New Roman"/>
                <w:sz w:val="20"/>
                <w:szCs w:val="20"/>
              </w:rPr>
            </w:pP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 See accompanying notes to the consolidated financial statements.</w:t>
      </w:r>
    </w:p>
    <w:p w:rsidR="00ED767D" w:rsidRDefault="006C7966">
      <w:pPr>
        <w:pStyle w:val="NormalWeb"/>
        <w:spacing w:before="0" w:beforeAutospacing="0" w:after="0" w:afterAutospacing="0"/>
        <w:jc w:val="center"/>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F-4</w:t>
            </w:r>
          </w:p>
        </w:tc>
      </w:tr>
      <w:tr w:rsidR="00ED767D">
        <w:trPr>
          <w:divId w:val="94592678"/>
          <w:tblCellSpacing w:w="0" w:type="dxa"/>
          <w:jc w:val="center"/>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jc w:val="center"/>
        </w:trPr>
        <w:tc>
          <w:tcPr>
            <w:tcW w:w="0" w:type="auto"/>
            <w:vAlign w:val="center"/>
            <w:hideMark/>
          </w:tcPr>
          <w:p w:rsidR="00ED767D" w:rsidRDefault="00ED767D">
            <w:pPr>
              <w:rPr>
                <w:rFonts w:eastAsia="Times New Roman"/>
                <w:sz w:val="20"/>
                <w:szCs w:val="20"/>
              </w:rPr>
            </w:pPr>
          </w:p>
        </w:tc>
      </w:tr>
      <w:tr w:rsidR="00ED767D">
        <w:trPr>
          <w:divId w:val="94592678"/>
          <w:tblCellSpacing w:w="0" w:type="dxa"/>
          <w:jc w:val="center"/>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ED767D">
      <w:pPr>
        <w:pStyle w:val="NormalWeb"/>
        <w:spacing w:before="0" w:beforeAutospacing="0" w:after="0" w:afterAutospacing="0"/>
        <w:jc w:val="center"/>
        <w:divId w:val="94592678"/>
        <w:rPr>
          <w:color w:val="FF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1159"/>
        <w:gridCol w:w="50"/>
        <w:gridCol w:w="73"/>
        <w:gridCol w:w="506"/>
        <w:gridCol w:w="57"/>
        <w:gridCol w:w="57"/>
        <w:gridCol w:w="88"/>
        <w:gridCol w:w="613"/>
        <w:gridCol w:w="50"/>
        <w:gridCol w:w="50"/>
        <w:gridCol w:w="50"/>
        <w:gridCol w:w="800"/>
        <w:gridCol w:w="50"/>
        <w:gridCol w:w="50"/>
        <w:gridCol w:w="88"/>
        <w:gridCol w:w="613"/>
        <w:gridCol w:w="50"/>
        <w:gridCol w:w="50"/>
        <w:gridCol w:w="50"/>
        <w:gridCol w:w="900"/>
        <w:gridCol w:w="50"/>
        <w:gridCol w:w="50"/>
        <w:gridCol w:w="142"/>
        <w:gridCol w:w="992"/>
        <w:gridCol w:w="67"/>
        <w:gridCol w:w="50"/>
        <w:gridCol w:w="167"/>
        <w:gridCol w:w="1167"/>
        <w:gridCol w:w="50"/>
        <w:gridCol w:w="50"/>
        <w:gridCol w:w="146"/>
        <w:gridCol w:w="1021"/>
        <w:gridCol w:w="50"/>
      </w:tblGrid>
      <w:tr w:rsidR="00ED767D">
        <w:trPr>
          <w:divId w:val="94592678"/>
          <w:tblCellSpacing w:w="0" w:type="dxa"/>
          <w:jc w:val="center"/>
        </w:trPr>
        <w:tc>
          <w:tcPr>
            <w:tcW w:w="0" w:type="auto"/>
            <w:gridSpan w:val="33"/>
            <w:hideMark/>
          </w:tcPr>
          <w:p w:rsidR="00ED767D" w:rsidRDefault="006C7966">
            <w:pPr>
              <w:pStyle w:val="NormalWeb"/>
              <w:spacing w:before="0" w:beforeAutospacing="0" w:after="0" w:afterAutospacing="0"/>
              <w:jc w:val="center"/>
              <w:rPr>
                <w:sz w:val="20"/>
                <w:szCs w:val="20"/>
              </w:rPr>
            </w:pPr>
            <w:r>
              <w:rPr>
                <w:b/>
                <w:bCs/>
                <w:sz w:val="20"/>
                <w:szCs w:val="20"/>
              </w:rPr>
              <w:t>ADVANCED OXYGEN TECHNOLOGIES, INC. AND SUBSIDIARY</w:t>
            </w:r>
          </w:p>
        </w:tc>
      </w:tr>
      <w:tr w:rsidR="00ED767D">
        <w:trPr>
          <w:divId w:val="94592678"/>
          <w:tblCellSpacing w:w="0" w:type="dxa"/>
          <w:jc w:val="center"/>
        </w:trPr>
        <w:tc>
          <w:tcPr>
            <w:tcW w:w="0" w:type="auto"/>
            <w:gridSpan w:val="33"/>
            <w:hideMark/>
          </w:tcPr>
          <w:p w:rsidR="00ED767D" w:rsidRDefault="006C7966">
            <w:pPr>
              <w:pStyle w:val="NormalWeb"/>
              <w:spacing w:before="0" w:beforeAutospacing="0" w:after="0" w:afterAutospacing="0"/>
              <w:jc w:val="center"/>
              <w:rPr>
                <w:sz w:val="20"/>
                <w:szCs w:val="20"/>
              </w:rPr>
            </w:pPr>
            <w:bookmarkStart w:id="32" w:name="eqty"/>
            <w:r>
              <w:rPr>
                <w:b/>
                <w:bCs/>
                <w:sz w:val="20"/>
                <w:szCs w:val="20"/>
              </w:rPr>
              <w:t>CONSOLIDATED STATEMENTS OF STOCKHOLDERS' EQUITY</w:t>
            </w:r>
            <w:bookmarkEnd w:id="32"/>
          </w:p>
        </w:tc>
      </w:tr>
      <w:tr w:rsidR="00ED767D">
        <w:trPr>
          <w:divId w:val="94592678"/>
          <w:trHeight w:val="180"/>
          <w:tblCellSpacing w:w="0" w:type="dxa"/>
          <w:jc w:val="center"/>
        </w:trPr>
        <w:tc>
          <w:tcPr>
            <w:tcW w:w="0" w:type="auto"/>
            <w:gridSpan w:val="33"/>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 xml:space="preserve">Preferred Stock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rStyle w:val="Strong"/>
                <w:sz w:val="20"/>
                <w:szCs w:val="20"/>
              </w:rPr>
              <w:t>Convertible Series 2,</w:t>
            </w:r>
            <w:r>
              <w:rPr>
                <w:b/>
                <w:bCs/>
                <w:sz w:val="20"/>
                <w:szCs w:val="20"/>
              </w:rPr>
              <w:br/>
            </w:r>
            <w:r>
              <w:rPr>
                <w:rStyle w:val="Strong"/>
                <w:sz w:val="20"/>
                <w:szCs w:val="20"/>
              </w:rPr>
              <w:t>par value $0.01, $25,000</w:t>
            </w:r>
            <w:r>
              <w:rPr>
                <w:b/>
                <w:bCs/>
                <w:sz w:val="20"/>
                <w:szCs w:val="20"/>
              </w:rPr>
              <w:br/>
            </w:r>
            <w:r>
              <w:rPr>
                <w:rStyle w:val="Strong"/>
                <w:sz w:val="20"/>
                <w:szCs w:val="20"/>
              </w:rPr>
              <w:t>liquidating Preference</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ED767D" w:rsidRDefault="006C7966">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r>
              <w:rPr>
                <w:rStyle w:val="Strong"/>
                <w:sz w:val="20"/>
                <w:szCs w:val="20"/>
              </w:rPr>
              <w:t>Capital</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ED767D" w:rsidRDefault="006C7966">
            <w:pPr>
              <w:pStyle w:val="NormalWeb"/>
              <w:spacing w:before="0" w:beforeAutospacing="0" w:after="0" w:afterAutospacing="0"/>
              <w:jc w:val="center"/>
              <w:rPr>
                <w:sz w:val="20"/>
                <w:szCs w:val="20"/>
              </w:rPr>
            </w:pPr>
            <w:r>
              <w:rPr>
                <w:rStyle w:val="Strong"/>
                <w:sz w:val="20"/>
                <w:szCs w:val="20"/>
              </w:rPr>
              <w:t>Accumulated Deficit</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ED767D" w:rsidRDefault="006C7966">
            <w:pPr>
              <w:pStyle w:val="NormalWeb"/>
              <w:spacing w:before="0" w:beforeAutospacing="0" w:after="0" w:afterAutospacing="0"/>
              <w:jc w:val="center"/>
              <w:rPr>
                <w:sz w:val="20"/>
                <w:szCs w:val="20"/>
              </w:rPr>
            </w:pPr>
            <w:r>
              <w:rPr>
                <w:rStyle w:val="Strong"/>
                <w:sz w:val="20"/>
                <w:szCs w:val="20"/>
              </w:rPr>
              <w:t>Other Comprehensive Income</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ED767D" w:rsidRDefault="006C7966">
            <w:pPr>
              <w:pStyle w:val="NormalWeb"/>
              <w:spacing w:before="0" w:beforeAutospacing="0" w:after="0" w:afterAutospacing="0"/>
              <w:jc w:val="center"/>
              <w:rPr>
                <w:sz w:val="20"/>
                <w:szCs w:val="20"/>
              </w:rPr>
            </w:pPr>
            <w:r>
              <w:rPr>
                <w:rStyle w:val="Strong"/>
                <w:sz w:val="20"/>
                <w:szCs w:val="20"/>
              </w:rPr>
              <w:t>Total Stockholders' Equity</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b/>
                <w:bCs/>
                <w:sz w:val="20"/>
                <w:szCs w:val="20"/>
              </w:rPr>
              <w:t>Balance at June 30, 2016</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(20,739,817</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27,085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264,238</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lastRenderedPageBreak/>
              <w:t>Net Income</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9</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25,980</w:t>
            </w:r>
          </w:p>
        </w:tc>
        <w:tc>
          <w:tcPr>
            <w:tcW w:w="50" w:type="pct"/>
            <w:shd w:val="clear" w:color="auto" w:fill="CCEEFF"/>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25,980</w:t>
            </w:r>
          </w:p>
        </w:tc>
        <w:tc>
          <w:tcPr>
            <w:tcW w:w="50" w:type="pct"/>
            <w:shd w:val="clear" w:color="auto" w:fill="CCEEFF"/>
            <w:vAlign w:val="bottom"/>
            <w:hideMark/>
          </w:tcPr>
          <w:p w:rsidR="00ED767D" w:rsidRDefault="00ED767D">
            <w:pPr>
              <w:jc w:val="both"/>
              <w:rPr>
                <w:rFonts w:eastAsia="Times New Roman"/>
                <w:sz w:val="20"/>
                <w:szCs w:val="20"/>
              </w:rPr>
            </w:pPr>
          </w:p>
        </w:tc>
      </w:tr>
      <w:tr w:rsidR="009845BC">
        <w:trPr>
          <w:divId w:val="94592678"/>
          <w:tblCellSpacing w:w="0" w:type="dxa"/>
          <w:jc w:val="center"/>
        </w:trPr>
        <w:tc>
          <w:tcPr>
            <w:tcW w:w="0" w:type="auto"/>
            <w:shd w:val="clear" w:color="auto" w:fill="FFFFFF"/>
            <w:vAlign w:val="center"/>
            <w:hideMark/>
          </w:tcPr>
          <w:p w:rsidR="00ED767D" w:rsidRDefault="006C7966">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rPr>
                <w:sz w:val="20"/>
                <w:szCs w:val="20"/>
              </w:rPr>
            </w:pPr>
            <w:r>
              <w:rPr>
                <w:b/>
                <w:bCs/>
                <w:sz w:val="20"/>
                <w:szCs w:val="20"/>
              </w:rPr>
              <w:t>Balance at June 30, 2017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(20,739,808</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53,065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290,227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ind w:left="225"/>
              <w:rPr>
                <w:sz w:val="20"/>
                <w:szCs w:val="20"/>
              </w:rPr>
            </w:pPr>
            <w:r>
              <w:rPr>
                <w:sz w:val="20"/>
                <w:szCs w:val="20"/>
              </w:rPr>
              <w:t>Net Income</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7,456</w:t>
            </w:r>
          </w:p>
        </w:tc>
        <w:tc>
          <w:tcPr>
            <w:tcW w:w="50" w:type="pct"/>
            <w:shd w:val="clear" w:color="auto" w:fill="FFFFFF"/>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7,456</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10,074</w:t>
            </w:r>
          </w:p>
        </w:tc>
        <w:tc>
          <w:tcPr>
            <w:tcW w:w="50" w:type="pct"/>
            <w:shd w:val="clear" w:color="auto" w:fill="CCEEFF"/>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10,074</w:t>
            </w:r>
          </w:p>
        </w:tc>
        <w:tc>
          <w:tcPr>
            <w:tcW w:w="50" w:type="pct"/>
            <w:shd w:val="clear" w:color="auto" w:fill="CCEEFF"/>
            <w:vAlign w:val="bottom"/>
            <w:hideMark/>
          </w:tcPr>
          <w:p w:rsidR="00ED767D" w:rsidRDefault="00ED767D">
            <w:pPr>
              <w:jc w:val="both"/>
              <w:rPr>
                <w:rFonts w:eastAsia="Times New Roman"/>
                <w:sz w:val="20"/>
                <w:szCs w:val="20"/>
              </w:rPr>
            </w:pPr>
          </w:p>
        </w:tc>
      </w:tr>
      <w:tr w:rsidR="009845BC">
        <w:trPr>
          <w:divId w:val="94592678"/>
          <w:tblCellSpacing w:w="0" w:type="dxa"/>
          <w:jc w:val="center"/>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9845BC">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b/>
                <w:bCs/>
                <w:sz w:val="20"/>
                <w:szCs w:val="20"/>
              </w:rPr>
              <w:t>Balance at June 30, 2018</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(20,732,352</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307,757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 See accompanying notes to the consolidated financial statements. </w:t>
      </w:r>
    </w:p>
    <w:p w:rsidR="00ED767D" w:rsidRDefault="006C7966">
      <w:pPr>
        <w:pStyle w:val="NormalWeb"/>
        <w:spacing w:before="0" w:beforeAutospacing="0" w:after="0" w:afterAutospacing="0"/>
        <w:jc w:val="center"/>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F-5</w:t>
            </w:r>
          </w:p>
        </w:tc>
      </w:tr>
      <w:tr w:rsidR="00ED767D">
        <w:trPr>
          <w:divId w:val="94592678"/>
          <w:tblCellSpacing w:w="0" w:type="dxa"/>
          <w:jc w:val="center"/>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jc w:val="center"/>
        </w:trPr>
        <w:tc>
          <w:tcPr>
            <w:tcW w:w="0" w:type="auto"/>
            <w:vAlign w:val="center"/>
            <w:hideMark/>
          </w:tcPr>
          <w:p w:rsidR="00ED767D" w:rsidRDefault="00ED767D">
            <w:pPr>
              <w:rPr>
                <w:rFonts w:eastAsia="Times New Roman"/>
                <w:sz w:val="20"/>
                <w:szCs w:val="20"/>
              </w:rPr>
            </w:pPr>
          </w:p>
        </w:tc>
      </w:tr>
      <w:tr w:rsidR="00ED767D">
        <w:trPr>
          <w:divId w:val="94592678"/>
          <w:tblCellSpacing w:w="0" w:type="dxa"/>
          <w:jc w:val="center"/>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ED767D">
      <w:pPr>
        <w:pStyle w:val="NormalWeb"/>
        <w:spacing w:before="0" w:beforeAutospacing="0" w:after="0" w:afterAutospacing="0"/>
        <w:jc w:val="both"/>
        <w:divId w:val="94592678"/>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ED767D">
        <w:trPr>
          <w:divId w:val="94592678"/>
          <w:tblCellSpacing w:w="0" w:type="dxa"/>
        </w:trPr>
        <w:tc>
          <w:tcPr>
            <w:tcW w:w="0" w:type="auto"/>
            <w:gridSpan w:val="9"/>
            <w:hideMark/>
          </w:tcPr>
          <w:p w:rsidR="00ED767D" w:rsidRDefault="006C7966">
            <w:pPr>
              <w:pStyle w:val="NormalWeb"/>
              <w:spacing w:before="0" w:beforeAutospacing="0" w:after="0" w:afterAutospacing="0"/>
              <w:jc w:val="center"/>
              <w:rPr>
                <w:sz w:val="20"/>
                <w:szCs w:val="20"/>
              </w:rPr>
            </w:pPr>
            <w:r>
              <w:rPr>
                <w:b/>
                <w:bCs/>
                <w:sz w:val="20"/>
                <w:szCs w:val="20"/>
              </w:rPr>
              <w:t>ADVANCED OXYGEN TECHNOLOGIES, INC.</w:t>
            </w:r>
          </w:p>
          <w:p w:rsidR="00ED767D" w:rsidRDefault="006C7966">
            <w:pPr>
              <w:pStyle w:val="NormalWeb"/>
              <w:spacing w:before="0" w:beforeAutospacing="0" w:after="0" w:afterAutospacing="0"/>
              <w:jc w:val="center"/>
              <w:rPr>
                <w:sz w:val="20"/>
                <w:szCs w:val="20"/>
              </w:rPr>
            </w:pPr>
            <w:r>
              <w:rPr>
                <w:b/>
                <w:bCs/>
                <w:sz w:val="20"/>
                <w:szCs w:val="20"/>
              </w:rPr>
              <w:t>AND SUBSIDIARY</w:t>
            </w:r>
          </w:p>
          <w:p w:rsidR="00ED767D" w:rsidRDefault="006C7966">
            <w:pPr>
              <w:pStyle w:val="NormalWeb"/>
              <w:spacing w:before="0" w:beforeAutospacing="0" w:after="0" w:afterAutospacing="0"/>
              <w:jc w:val="center"/>
              <w:rPr>
                <w:sz w:val="20"/>
                <w:szCs w:val="20"/>
              </w:rPr>
            </w:pPr>
            <w:bookmarkStart w:id="33" w:name="cash"/>
            <w:r>
              <w:rPr>
                <w:b/>
                <w:bCs/>
                <w:sz w:val="20"/>
                <w:szCs w:val="20"/>
              </w:rPr>
              <w:t>CONSOLIDATED STATEMENTS OF CASH FLOWS</w:t>
            </w:r>
            <w:bookmarkEnd w:id="33"/>
          </w:p>
        </w:tc>
      </w:tr>
      <w:tr w:rsidR="00ED767D">
        <w:trPr>
          <w:divId w:val="94592678"/>
          <w:trHeight w:val="180"/>
          <w:tblCellSpacing w:w="0" w:type="dxa"/>
        </w:trPr>
        <w:tc>
          <w:tcPr>
            <w:tcW w:w="0" w:type="auto"/>
            <w:gridSpan w:val="9"/>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 xml:space="preserve">For the Years Ended June 30,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hideMark/>
          </w:tcPr>
          <w:p w:rsidR="00ED767D" w:rsidRDefault="006C7966">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 xml:space="preserve">Net income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7,456</w:t>
            </w:r>
          </w:p>
        </w:tc>
        <w:tc>
          <w:tcPr>
            <w:tcW w:w="50" w:type="pct"/>
            <w:shd w:val="clear" w:color="auto" w:fill="CCEEFF"/>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ED767D">
            <w:pPr>
              <w:jc w:val="both"/>
              <w:rPr>
                <w:rFonts w:eastAsia="Times New Roman"/>
                <w:sz w:val="20"/>
                <w:szCs w:val="20"/>
              </w:rPr>
            </w:pP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9</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450"/>
              <w:jc w:val="both"/>
              <w:rPr>
                <w:sz w:val="20"/>
                <w:szCs w:val="20"/>
              </w:rPr>
            </w:pPr>
            <w:r>
              <w:rPr>
                <w:sz w:val="20"/>
                <w:szCs w:val="20"/>
              </w:rPr>
              <w:t>Adjustments to reconcile net income to net cash</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p w:rsidR="00ED767D" w:rsidRDefault="006C7966">
            <w:pPr>
              <w:pStyle w:val="NormalWeb"/>
              <w:spacing w:before="0" w:beforeAutospacing="0" w:after="0" w:afterAutospacing="0"/>
              <w:ind w:left="450"/>
              <w:jc w:val="both"/>
              <w:rPr>
                <w:sz w:val="20"/>
                <w:szCs w:val="20"/>
              </w:rPr>
            </w:pPr>
            <w:r>
              <w:rPr>
                <w:sz w:val="20"/>
                <w:szCs w:val="20"/>
              </w:rPr>
              <w:t>Expenses Paid on behalf of a related party</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19,255</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17,943</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450"/>
              <w:jc w:val="both"/>
              <w:rPr>
                <w:sz w:val="20"/>
                <w:szCs w:val="20"/>
              </w:rPr>
            </w:pPr>
            <w:r>
              <w:rPr>
                <w:sz w:val="20"/>
                <w:szCs w:val="20"/>
              </w:rPr>
              <w:t>Changes in operating assets and liabilities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ED767D">
            <w:pPr>
              <w:jc w:val="right"/>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(655</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(1,194</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br/>
              <w:t>)</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450"/>
              <w:jc w:val="both"/>
              <w:rPr>
                <w:sz w:val="20"/>
                <w:szCs w:val="20"/>
              </w:rPr>
            </w:pPr>
            <w:r>
              <w:rPr>
                <w:sz w:val="20"/>
                <w:szCs w:val="20"/>
              </w:rPr>
              <w:t xml:space="preserve">Taxes payable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nil"/>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nil"/>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9,443</w:t>
            </w:r>
          </w:p>
        </w:tc>
        <w:tc>
          <w:tcPr>
            <w:tcW w:w="50" w:type="pct"/>
            <w:shd w:val="clear" w:color="auto" w:fill="FFFFFF"/>
            <w:tcMar>
              <w:top w:w="0" w:type="dxa"/>
              <w:left w:w="0" w:type="dxa"/>
              <w:bottom w:w="15" w:type="dxa"/>
              <w:right w:w="0" w:type="dxa"/>
            </w:tcMar>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nil"/>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nil"/>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11,277</w:t>
            </w:r>
          </w:p>
        </w:tc>
        <w:tc>
          <w:tcPr>
            <w:tcW w:w="50" w:type="pct"/>
            <w:shd w:val="clear" w:color="auto" w:fill="FFFFFF"/>
            <w:tcMar>
              <w:top w:w="0" w:type="dxa"/>
              <w:left w:w="0" w:type="dxa"/>
              <w:bottom w:w="15" w:type="dxa"/>
              <w:right w:w="0" w:type="dxa"/>
            </w:tcMar>
            <w:vAlign w:val="bottom"/>
            <w:hideMark/>
          </w:tcPr>
          <w:p w:rsidR="00ED767D" w:rsidRDefault="00ED767D">
            <w:pPr>
              <w:jc w:val="both"/>
              <w:rPr>
                <w:rFonts w:eastAsia="Times New Roman"/>
                <w:sz w:val="20"/>
                <w:szCs w:val="20"/>
              </w:rPr>
            </w:pP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Prepaid Expenses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(525</w:t>
            </w:r>
          </w:p>
        </w:tc>
        <w:tc>
          <w:tcPr>
            <w:tcW w:w="50" w:type="pct"/>
            <w:shd w:val="clear" w:color="auto" w:fill="CCEEFF"/>
            <w:tcMar>
              <w:top w:w="0" w:type="dxa"/>
              <w:left w:w="0" w:type="dxa"/>
              <w:bottom w:w="15" w:type="dxa"/>
              <w:right w:w="0" w:type="dxa"/>
            </w:tcMar>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xml:space="preserve">Net cash provided by operating activities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34,974</w:t>
            </w:r>
          </w:p>
        </w:tc>
        <w:tc>
          <w:tcPr>
            <w:tcW w:w="50" w:type="pct"/>
            <w:shd w:val="clear" w:color="auto" w:fill="FFFFFF"/>
            <w:tcMar>
              <w:top w:w="0" w:type="dxa"/>
              <w:left w:w="0" w:type="dxa"/>
              <w:bottom w:w="15" w:type="dxa"/>
              <w:right w:w="0" w:type="dxa"/>
            </w:tcMar>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28,035</w:t>
            </w:r>
          </w:p>
        </w:tc>
        <w:tc>
          <w:tcPr>
            <w:tcW w:w="50" w:type="pct"/>
            <w:shd w:val="clear" w:color="auto" w:fill="FFFFFF"/>
            <w:tcMar>
              <w:top w:w="0" w:type="dxa"/>
              <w:left w:w="0" w:type="dxa"/>
              <w:bottom w:w="15" w:type="dxa"/>
              <w:right w:w="0" w:type="dxa"/>
            </w:tcMar>
            <w:vAlign w:val="bottom"/>
            <w:hideMark/>
          </w:tcPr>
          <w:p w:rsidR="00ED767D" w:rsidRDefault="00ED767D">
            <w:pPr>
              <w:jc w:val="both"/>
              <w:rPr>
                <w:rFonts w:eastAsia="Times New Roman"/>
                <w:sz w:val="20"/>
                <w:szCs w:val="20"/>
              </w:rPr>
            </w:pP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xml:space="preserve">Cash flow from financing activities: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 xml:space="preserve">Proceeds from: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ED767D">
            <w:pPr>
              <w:rPr>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Proceeds used for:</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Repayment of long term and related party debt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(32,907</w:t>
            </w:r>
          </w:p>
        </w:tc>
        <w:tc>
          <w:tcPr>
            <w:tcW w:w="50" w:type="pct"/>
            <w:shd w:val="clear" w:color="auto" w:fill="CCEEFF"/>
            <w:tcMar>
              <w:top w:w="0" w:type="dxa"/>
              <w:left w:w="0" w:type="dxa"/>
              <w:bottom w:w="15" w:type="dxa"/>
              <w:right w:w="0" w:type="dxa"/>
            </w:tcMar>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(25,857</w:t>
            </w:r>
          </w:p>
        </w:tc>
        <w:tc>
          <w:tcPr>
            <w:tcW w:w="50" w:type="pct"/>
            <w:shd w:val="clear" w:color="auto" w:fill="CCEEFF"/>
            <w:tcMar>
              <w:top w:w="0" w:type="dxa"/>
              <w:left w:w="0" w:type="dxa"/>
              <w:bottom w:w="15" w:type="dxa"/>
              <w:right w:w="0" w:type="dxa"/>
            </w:tcMar>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 xml:space="preserve">Net cash (used in) financing activities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(32,907</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(25,857</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1,017</w:t>
            </w:r>
          </w:p>
        </w:tc>
        <w:tc>
          <w:tcPr>
            <w:tcW w:w="50" w:type="pct"/>
            <w:shd w:val="clear" w:color="auto" w:fill="CCEEFF"/>
            <w:vAlign w:val="bottom"/>
            <w:hideMark/>
          </w:tcPr>
          <w:p w:rsidR="00ED767D" w:rsidRDefault="00ED767D">
            <w:pPr>
              <w:jc w:val="both"/>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1,983</w:t>
            </w:r>
          </w:p>
        </w:tc>
        <w:tc>
          <w:tcPr>
            <w:tcW w:w="50" w:type="pct"/>
            <w:shd w:val="clear" w:color="auto" w:fill="CCEEFF"/>
            <w:vAlign w:val="bottom"/>
            <w:hideMark/>
          </w:tcPr>
          <w:p w:rsidR="00ED767D" w:rsidRDefault="00ED767D">
            <w:pPr>
              <w:jc w:val="both"/>
              <w:rPr>
                <w:rFonts w:eastAsia="Times New Roman"/>
                <w:sz w:val="20"/>
                <w:szCs w:val="20"/>
              </w:rPr>
            </w:pP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b/>
                <w:bCs/>
                <w:sz w:val="20"/>
                <w:szCs w:val="20"/>
              </w:rPr>
              <w:t xml:space="preserve">NET DECREASE IN CASH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3,084</w:t>
            </w:r>
          </w:p>
        </w:tc>
        <w:tc>
          <w:tcPr>
            <w:tcW w:w="50" w:type="pct"/>
            <w:shd w:val="clear" w:color="auto" w:fill="FFFFFF"/>
            <w:vAlign w:val="bottom"/>
            <w:hideMark/>
          </w:tcPr>
          <w:p w:rsidR="00ED767D" w:rsidRDefault="00ED767D">
            <w:pPr>
              <w:jc w:val="both"/>
              <w:rPr>
                <w:rFonts w:eastAsia="Times New Roman"/>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4,161</w:t>
            </w:r>
          </w:p>
        </w:tc>
        <w:tc>
          <w:tcPr>
            <w:tcW w:w="50" w:type="pct"/>
            <w:shd w:val="clear" w:color="auto" w:fill="FFFFFF"/>
            <w:vAlign w:val="bottom"/>
            <w:hideMark/>
          </w:tcPr>
          <w:p w:rsidR="00ED767D" w:rsidRDefault="00ED767D">
            <w:pPr>
              <w:jc w:val="both"/>
              <w:rPr>
                <w:rFonts w:eastAsia="Times New Roman"/>
                <w:sz w:val="20"/>
                <w:szCs w:val="20"/>
              </w:rPr>
            </w:pPr>
          </w:p>
        </w:tc>
      </w:tr>
      <w:tr w:rsidR="00ED767D">
        <w:trPr>
          <w:divId w:val="94592678"/>
          <w:tblCellSpacing w:w="0" w:type="dxa"/>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xml:space="preserve">Cash at beginning of year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50,331</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46,170</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 xml:space="preserve">Cash at end of year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53,415</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50,331</w:t>
            </w:r>
          </w:p>
        </w:tc>
        <w:tc>
          <w:tcPr>
            <w:tcW w:w="50" w:type="pct"/>
            <w:shd w:val="clear" w:color="auto" w:fill="CCEEFF"/>
            <w:tcMar>
              <w:top w:w="0" w:type="dxa"/>
              <w:left w:w="0" w:type="dxa"/>
              <w:bottom w:w="4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lastRenderedPageBreak/>
              <w:t>Non Cash Investing and Financing Activities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ED767D">
            <w:pPr>
              <w:rPr>
                <w:sz w:val="20"/>
                <w:szCs w:val="20"/>
              </w:rPr>
            </w:pP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trPr>
        <w:tc>
          <w:tcPr>
            <w:tcW w:w="0" w:type="auto"/>
            <w:shd w:val="clear" w:color="auto" w:fill="CCEEFF"/>
            <w:hideMark/>
          </w:tcPr>
          <w:p w:rsidR="00ED767D" w:rsidRDefault="006C7966">
            <w:pPr>
              <w:pStyle w:val="NormalWeb"/>
              <w:spacing w:before="0" w:beforeAutospacing="0" w:after="0" w:afterAutospacing="0"/>
              <w:ind w:left="450"/>
              <w:jc w:val="both"/>
              <w:rPr>
                <w:sz w:val="20"/>
                <w:szCs w:val="20"/>
              </w:rPr>
            </w:pPr>
            <w:r>
              <w:rPr>
                <w:sz w:val="20"/>
                <w:szCs w:val="20"/>
              </w:rPr>
              <w:t>Cash paid for Interest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5,807</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6,658</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center"/>
        <w:divId w:val="94592678"/>
        <w:rPr>
          <w:sz w:val="20"/>
          <w:szCs w:val="20"/>
        </w:rPr>
      </w:pPr>
      <w:r>
        <w:rPr>
          <w:sz w:val="20"/>
          <w:szCs w:val="20"/>
        </w:rPr>
        <w:t>See accompanying notes to the consolidated financial statements.</w:t>
      </w:r>
    </w:p>
    <w:p w:rsidR="00ED767D" w:rsidRDefault="006C7966">
      <w:pPr>
        <w:pStyle w:val="NormalWeb"/>
        <w:spacing w:before="0" w:beforeAutospacing="0" w:after="0" w:afterAutospacing="0"/>
        <w:jc w:val="center"/>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F-6</w:t>
            </w:r>
          </w:p>
        </w:tc>
      </w:tr>
      <w:tr w:rsidR="00ED767D">
        <w:trPr>
          <w:divId w:val="94592678"/>
          <w:tblCellSpacing w:w="0" w:type="dxa"/>
          <w:jc w:val="center"/>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jc w:val="center"/>
        </w:trPr>
        <w:tc>
          <w:tcPr>
            <w:tcW w:w="0" w:type="auto"/>
            <w:vAlign w:val="center"/>
            <w:hideMark/>
          </w:tcPr>
          <w:p w:rsidR="00ED767D" w:rsidRDefault="00ED767D">
            <w:pPr>
              <w:rPr>
                <w:rFonts w:eastAsia="Times New Roman"/>
                <w:sz w:val="20"/>
                <w:szCs w:val="20"/>
              </w:rPr>
            </w:pPr>
          </w:p>
        </w:tc>
      </w:tr>
      <w:tr w:rsidR="00ED767D">
        <w:trPr>
          <w:divId w:val="94592678"/>
          <w:tblCellSpacing w:w="0" w:type="dxa"/>
          <w:jc w:val="center"/>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br/>
      </w:r>
      <w:bookmarkStart w:id="34" w:name="notes"/>
      <w:r>
        <w:rPr>
          <w:b/>
          <w:bCs/>
          <w:sz w:val="20"/>
          <w:szCs w:val="20"/>
        </w:rPr>
        <w:t>NOTE 1 - ORGANIZATION AND LINE OF BUSINESS:</w:t>
      </w:r>
      <w:bookmarkEnd w:id="34"/>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Organization: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Advanced Oxygen Technologies Inc,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real estate rentals in Denmark through its wholly owned subsidiary.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Lines of Business: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Company, through its wholly owned subsidiary Anton Nielsen Vojens ApS owns income producing commercial real estate leased until 2026. The real estate consists solely of the land with no buildings or improvements ("Land"). All improvements on the Land are those of the tenant.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NOTE 2 - SUMMARY OF SIGNIFICANT ACCOUNTING POLICIES: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Revenue Recognition of rental income: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Revenues are recognized during the period in which the rental payment is received. The Company applies the provisions of FASB Accounting Standards Codification ("ASC") 605-10. Revenue Recognition in Financial Statements ASC 605-10, which provides guidance on recognition, presentation, and disclosure of revenues in financial statements filed with the SEC.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source of revenue is from the Commercial Property lease in which quarterly payments are received pursuant to the property lease which is in effect until 2026.</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F-7</w:t>
            </w:r>
          </w:p>
        </w:tc>
      </w:tr>
      <w:tr w:rsidR="00ED767D">
        <w:trPr>
          <w:divId w:val="94592678"/>
          <w:tblCellSpacing w:w="0" w:type="dxa"/>
          <w:jc w:val="center"/>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jc w:val="center"/>
        </w:trPr>
        <w:tc>
          <w:tcPr>
            <w:tcW w:w="0" w:type="auto"/>
            <w:vAlign w:val="center"/>
            <w:hideMark/>
          </w:tcPr>
          <w:p w:rsidR="00ED767D" w:rsidRDefault="00ED767D">
            <w:pPr>
              <w:rPr>
                <w:rFonts w:eastAsia="Times New Roman"/>
                <w:sz w:val="20"/>
                <w:szCs w:val="20"/>
              </w:rPr>
            </w:pPr>
          </w:p>
        </w:tc>
      </w:tr>
      <w:tr w:rsidR="00ED767D">
        <w:trPr>
          <w:divId w:val="94592678"/>
          <w:tblCellSpacing w:w="0" w:type="dxa"/>
          <w:jc w:val="center"/>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divId w:val="94592678"/>
        <w:rPr>
          <w:sz w:val="20"/>
          <w:szCs w:val="20"/>
        </w:rPr>
      </w:pPr>
      <w:r>
        <w:rPr>
          <w:sz w:val="20"/>
          <w:szCs w:val="20"/>
        </w:rPr>
        <w:t> </w:t>
      </w:r>
    </w:p>
    <w:p w:rsidR="00ED767D" w:rsidRDefault="006C7966">
      <w:pPr>
        <w:pStyle w:val="NormalWeb"/>
        <w:spacing w:before="0" w:beforeAutospacing="0" w:after="0" w:afterAutospacing="0"/>
        <w:divId w:val="94592678"/>
        <w:rPr>
          <w:sz w:val="20"/>
          <w:szCs w:val="20"/>
        </w:rPr>
      </w:pPr>
      <w:r>
        <w:rPr>
          <w:i/>
          <w:iCs/>
          <w:sz w:val="20"/>
          <w:szCs w:val="20"/>
        </w:rPr>
        <w:t>Property Plant and Equipment:</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Land and buildings are recognized at cost. Land is carried at cost less accumulated impairment losses.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Foreign currency translation: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w:t>
      </w:r>
      <w:r>
        <w:rPr>
          <w:sz w:val="20"/>
          <w:szCs w:val="20"/>
        </w:rPr>
        <w:lastRenderedPageBreak/>
        <w:t xml:space="preserve">transaction date and the one in effect at the payment date, or at the balance sheet date, are recognized in the income statement.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Income Taxes: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Net Earnings per Share: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June 30, 2018 and June 30, 2017 there were 10,000 and 10,000, respectively potential dilutive shares and because of the net income, the effect of these potential common shares is dilutive for the period ended June 30, 2018.</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F-8</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i/>
          <w:iCs/>
          <w:sz w:val="20"/>
          <w:szCs w:val="20"/>
        </w:rPr>
        <w:t> </w:t>
      </w:r>
      <w:r>
        <w:rPr>
          <w:i/>
          <w:iCs/>
          <w:sz w:val="20"/>
          <w:szCs w:val="20"/>
        </w:rPr>
        <w:br/>
        <w:t>Cash and Cash Equivalents: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For purposes of the statement of cash flows, the Company considers all highly-liquid investments purchased with original maturities of three months or less to be cash equivalents.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maintains its cash in bank deposit accounts which, at June 30, 2018 did not exceed federally insured limits. The Company has not experienced any losses in such accounts and believes that it is not exposed to any significant credit risk on such amounts.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Estimates: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preparation of the condensed consolidated financial statements in conformity with generally accepted accounting principles requires management to make estimates and assumptions that affect the reported amounts of assets and liabilities and disclosures of contingent assets and liabilities at the date of the condensed consolidated financial statements, as well as the reported amounts of revenue and expenses during the reported period. Actual results could differ from those estimates.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Concentrations of Credit Risk: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Financial instruments that potentially subject the Company to major credit risk consist principally of a single subsidiary of Anton Nielsen Vojens ApS.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Subsequent Events: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evaluated subsequent events and transactions for potential recognition or disclosure in the condensed consolidated financial statements through the date of issuance.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i/>
          <w:iCs/>
          <w:sz w:val="20"/>
          <w:szCs w:val="20"/>
        </w:rPr>
        <w:t>Recently Issued Accounting Standards</w:t>
      </w:r>
    </w:p>
    <w:p w:rsidR="00ED767D" w:rsidRDefault="006C7966">
      <w:pPr>
        <w:pStyle w:val="NormalWeb"/>
        <w:spacing w:before="0" w:beforeAutospacing="0" w:after="0" w:afterAutospacing="0"/>
        <w:jc w:val="both"/>
        <w:divId w:val="94592678"/>
        <w:rPr>
          <w:sz w:val="20"/>
          <w:szCs w:val="20"/>
        </w:rPr>
      </w:pPr>
      <w:r>
        <w:rPr>
          <w:sz w:val="20"/>
          <w:szCs w:val="20"/>
        </w:rPr>
        <w:lastRenderedPageBreak/>
        <w:t> </w:t>
      </w:r>
    </w:p>
    <w:p w:rsidR="00ED767D" w:rsidRDefault="006C7966">
      <w:pPr>
        <w:pStyle w:val="NormalWeb"/>
        <w:spacing w:before="0" w:beforeAutospacing="0" w:after="0" w:afterAutospacing="0"/>
        <w:jc w:val="both"/>
        <w:divId w:val="94592678"/>
        <w:rPr>
          <w:sz w:val="20"/>
          <w:szCs w:val="20"/>
        </w:rPr>
      </w:pPr>
      <w:r>
        <w:rPr>
          <w:sz w:val="20"/>
          <w:szCs w:val="20"/>
        </w:rPr>
        <w:t>On January 5, 2017 FASB issued Accounting Standards Update ("ASU") 2017-01, Clarifying the Definition of a Business. This update amended the definition of a business, which is fundamental to the determination of whether transactions should be accounted for as acquisitions (or disposals) of assets or businesses. That distinction impacts how the acquisition is treated in the financial statements, for instance, whether deal costs are capitalized or expensed. The primary goal of ASU 2017-01 was to narrow that definition, which is generally expected to result in fewer transactions qualifying as business combinations. The Company is in the process of evaluating the impact of this new guidance.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condensed consolidated financial statements.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In May 2014, the FASB issued ASU 2014-09, "</w:t>
      </w:r>
      <w:r>
        <w:rPr>
          <w:i/>
          <w:iCs/>
          <w:sz w:val="20"/>
          <w:szCs w:val="20"/>
        </w:rPr>
        <w:t>Revenue From Contracts With Customers</w:t>
      </w:r>
      <w:r>
        <w:rPr>
          <w:sz w:val="20"/>
          <w:szCs w:val="20"/>
        </w:rPr>
        <w:t>," which changes the definitions/criteria used to determine when revenue should be recognized from being based on risks and rewards to being based on control. Among other changes, ASU 2014-09 changes the manner in which variable consideration is recognized, requires recognition of the time value of money when payment terms exceed one year, provides clarification on accounting for contract costs, and expands disclosure requirements. ASU 2014-09 is effective for reporting periods beginning after December 15, 2017. Although the Company will not complete its final assessment and quantification of the impact of ASU 2014-09 on its consolidated financial statements until adoption, it expects the adoption to have no effect on the timing of revenue recognition. The Company is still in the process of developing an estimate of the impact of the transition adjustment on its consolidated financial statement.</w:t>
      </w:r>
    </w:p>
    <w:p w:rsidR="00ED767D" w:rsidRDefault="006C7966">
      <w:pPr>
        <w:pStyle w:val="NormalWeb"/>
        <w:spacing w:before="0" w:beforeAutospacing="0" w:after="0" w:afterAutospacing="0"/>
        <w:jc w:val="both"/>
        <w:divId w:val="94592678"/>
        <w:rPr>
          <w:sz w:val="20"/>
          <w:szCs w:val="20"/>
        </w:rPr>
      </w:pPr>
      <w:r>
        <w:rPr>
          <w:sz w:val="20"/>
          <w:szCs w:val="20"/>
        </w:rPr>
        <w:t>Other recent accounting pronouncements issued by the FASB did not or are not believed by management to have a material impact on the Company's present or future financial statements.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F-9</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NOTE 3 - MAJOR CUSTOMER:</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Company's subsidiary, Anton Nielsen Vojens, ApS has sales to one customer who is a non related party. For the period ending June 30, 2018 and June 30, 2017 the major customer concentrations were as follows: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5992"/>
        <w:gridCol w:w="50"/>
        <w:gridCol w:w="50"/>
        <w:gridCol w:w="50"/>
        <w:gridCol w:w="677"/>
        <w:gridCol w:w="200"/>
        <w:gridCol w:w="50"/>
        <w:gridCol w:w="687"/>
        <w:gridCol w:w="200"/>
      </w:tblGrid>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5"/>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 xml:space="preserve">Percent of Sales </w:t>
            </w:r>
            <w:r>
              <w:rPr>
                <w:b/>
                <w:bCs/>
                <w:sz w:val="20"/>
                <w:szCs w:val="20"/>
              </w:rPr>
              <w:br/>
              <w:t xml:space="preserve">for the Period ending June 30,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3750" w:type="pct"/>
            <w:shd w:val="clear" w:color="auto" w:fill="CCEEFF"/>
            <w:hideMark/>
          </w:tcPr>
          <w:p w:rsidR="00ED767D" w:rsidRDefault="006C7966">
            <w:pPr>
              <w:pStyle w:val="NormalWeb"/>
              <w:spacing w:before="0" w:beforeAutospacing="0" w:after="0" w:afterAutospacing="0"/>
              <w:jc w:val="center"/>
              <w:rPr>
                <w:sz w:val="20"/>
                <w:szCs w:val="20"/>
              </w:rPr>
            </w:pPr>
            <w:r>
              <w:rPr>
                <w:sz w:val="20"/>
                <w:szCs w:val="20"/>
              </w:rPr>
              <w:t>Circle K Denmark A/S, Formerly Statoil A/S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vAlign w:val="center"/>
            <w:hideMark/>
          </w:tcPr>
          <w:p w:rsidR="00ED767D" w:rsidRDefault="00ED767D">
            <w:pPr>
              <w:jc w:val="both"/>
              <w:rPr>
                <w:rFonts w:eastAsia="Times New Roman"/>
                <w:sz w:val="20"/>
                <w:szCs w:val="20"/>
              </w:rPr>
            </w:pP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ED767D" w:rsidRDefault="006C7966">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ED767D" w:rsidRDefault="006C7966">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ED767D" w:rsidRDefault="006C7966">
            <w:pPr>
              <w:jc w:val="both"/>
              <w:rPr>
                <w:rFonts w:eastAsia="Times New Roman"/>
                <w:sz w:val="20"/>
                <w:szCs w:val="20"/>
              </w:rPr>
            </w:pPr>
            <w:r>
              <w:rPr>
                <w:rFonts w:eastAsia="Times New Roman"/>
                <w:b/>
                <w:bCs/>
                <w:sz w:val="20"/>
                <w:szCs w:val="20"/>
              </w:rPr>
              <w:t>%</w:t>
            </w:r>
          </w:p>
        </w:tc>
      </w:tr>
    </w:tbl>
    <w:p w:rsidR="00ED767D" w:rsidRDefault="006C7966">
      <w:pPr>
        <w:pStyle w:val="NormalWeb"/>
        <w:spacing w:before="0" w:beforeAutospacing="0" w:after="0" w:afterAutospacing="0"/>
        <w:jc w:val="center"/>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NOTE 4 - LAND AND BUILDINGS: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Land owned by the Company's wholly owned subsidiary constitutes the largest asset of the Company. During the period ending June 30, 2018 the Company recorded an increase in the carrying value of the Land of $13,120, due to the currency translation difference. The carrying value of the Land of the Company was as follows: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40"/>
        <w:gridCol w:w="74"/>
        <w:gridCol w:w="100"/>
        <w:gridCol w:w="710"/>
        <w:gridCol w:w="74"/>
        <w:gridCol w:w="74"/>
        <w:gridCol w:w="100"/>
        <w:gridCol w:w="710"/>
        <w:gridCol w:w="74"/>
      </w:tblGrid>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Carrying Value of Land at June 30,</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rHeight w:val="180"/>
          <w:tblCellSpacing w:w="0" w:type="dxa"/>
          <w:jc w:val="center"/>
        </w:trPr>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center"/>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632,712</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619,592</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240" w:afterAutospacing="0"/>
        <w:jc w:val="both"/>
        <w:divId w:val="94592678"/>
        <w:rPr>
          <w:sz w:val="20"/>
          <w:szCs w:val="20"/>
        </w:rPr>
      </w:pPr>
      <w:r>
        <w:rPr>
          <w:b/>
          <w:bCs/>
          <w:sz w:val="20"/>
          <w:szCs w:val="20"/>
        </w:rPr>
        <w:t>NOTE 5 - RELATED PARTY TRANSACTIONS:</w:t>
      </w:r>
    </w:p>
    <w:p w:rsidR="00ED767D" w:rsidRDefault="006C7966">
      <w:pPr>
        <w:pStyle w:val="NormalWeb"/>
        <w:spacing w:before="0" w:beforeAutospacing="0" w:after="0" w:afterAutospacing="0"/>
        <w:jc w:val="both"/>
        <w:divId w:val="94592678"/>
        <w:rPr>
          <w:sz w:val="20"/>
          <w:szCs w:val="20"/>
        </w:rPr>
      </w:pPr>
      <w:r>
        <w:rPr>
          <w:sz w:val="20"/>
          <w:szCs w:val="20"/>
        </w:rPr>
        <w:t>Crossfield, Inc., a company of which the CEO, Robert Wolfe is an officer and director, has made advances to the Company which are not collateralized, non-interest bearing, and payable upon demand, however, the Company did not expect to make payment within one year. During the year ended of June 30, 2018, the Company had a balance of $112,255 and was advanced $19,255 and repaid $4,006. During the year ended June 30, 2017, the Company had an ending balance of $96,725 and was advanced $17,943 respectively, from affiliates and officers to meet expenses. The balances were not collateralized, were non-interest bearing and were payable on demand.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NOTE 6 - NOTES PAYABLE: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During2006,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2019, prior to period end and interest waived through the period ending June 30, 2019. Due to the extension, the note is not in default and therefore not convertible as of June 30, 2018. As of June 30,2018, the unpaid balance was $127,029.</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F-10</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has a note payable with a bank. The original amount of the note was kr 800,000 Danish Krone (kr) ("Note A"). The note is secured by the revenues of the lease with Circle K Denmark A/S. formerly Statoil A/S, with a 7.00% interest rate and 1 year left on the term. The balance on the note as of June 30, 2018 was $0. The Company made principal payments of $10,778 and interest payments of $430. The value of the note reflect the currency adjustments. The paragraph below summarizes the company's commitments going forward.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has a note payable with a bank ("Note B"). The original amount of Note B was kr 1,132,000 Danish Krone (kr). Note B is secured by the subsidiary's real estate, with a 2.00% interest rate and 5.5 years left on the term. The balance on the note as of June 30, 2018 was $99,840. During the period ended June 30, 2018, the Company paid $17,405, in principal payments and $5,378 in interest.</w:t>
      </w:r>
    </w:p>
    <w:p w:rsidR="00ED767D" w:rsidRDefault="006C7966">
      <w:pPr>
        <w:pStyle w:val="NormalWeb"/>
        <w:spacing w:before="0" w:beforeAutospacing="0" w:after="0" w:afterAutospacing="0"/>
        <w:jc w:val="both"/>
        <w:divId w:val="94592678"/>
        <w:rPr>
          <w:sz w:val="20"/>
          <w:szCs w:val="20"/>
        </w:rPr>
      </w:pPr>
      <w:r>
        <w:rPr>
          <w:sz w:val="20"/>
          <w:szCs w:val="20"/>
        </w:rPr>
        <w:br/>
        <w:t xml:space="preserve">The Company's commitments and contingencies are $257,040 for 2018 and $83,446 for the years 2019 through 2025 </w:t>
      </w:r>
      <w:r>
        <w:rPr>
          <w:sz w:val="20"/>
          <w:szCs w:val="20"/>
        </w:rPr>
        <w:lastRenderedPageBreak/>
        <w:t>with a total of $226,869. The amounts stated reflect the Company's commitments in the currencies that those commitments were made and the amounts are an estimate of what the US dollar amount would be if the currency rates did not change going forward.</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NOTE 7 - INCOME TAXES: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As of June 30, 2018, the Company had federal and state net operating loss carryforwards of approximately $4,353,794 of which approximately $928,000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95"/>
        <w:gridCol w:w="75"/>
        <w:gridCol w:w="100"/>
        <w:gridCol w:w="711"/>
        <w:gridCol w:w="75"/>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Year</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ED767D" w:rsidRDefault="006C7966">
            <w:pPr>
              <w:pStyle w:val="NormalWeb"/>
              <w:spacing w:before="0" w:beforeAutospacing="0" w:after="0" w:afterAutospacing="0"/>
              <w:jc w:val="right"/>
              <w:rPr>
                <w:sz w:val="20"/>
                <w:szCs w:val="20"/>
              </w:rPr>
            </w:pPr>
            <w:r>
              <w:rPr>
                <w:b/>
                <w:bCs/>
                <w:sz w:val="20"/>
                <w:szCs w:val="20"/>
              </w:rPr>
              <w:t>Amount</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2019</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548,000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2020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351,000</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2021</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29,000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928,000</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overall effective tax rate differs from the federal statutory tax rate of 21% due to operating losses and other deferred assets not providing benefit for income tax purposes.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A reconciliation of income tax expense at the federal statutory rate to income tax expense at the Company's effective rate is as follows at June 30, 2017 and 2018:</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300" w:type="pct"/>
        <w:jc w:val="center"/>
        <w:tblCellSpacing w:w="0" w:type="dxa"/>
        <w:tblCellMar>
          <w:left w:w="0" w:type="dxa"/>
          <w:right w:w="0" w:type="dxa"/>
        </w:tblCellMar>
        <w:tblLook w:val="04A0" w:firstRow="1" w:lastRow="0" w:firstColumn="1" w:lastColumn="0" w:noHBand="0" w:noVBand="1"/>
      </w:tblPr>
      <w:tblGrid>
        <w:gridCol w:w="6083"/>
        <w:gridCol w:w="50"/>
        <w:gridCol w:w="50"/>
        <w:gridCol w:w="682"/>
        <w:gridCol w:w="167"/>
        <w:gridCol w:w="50"/>
        <w:gridCol w:w="50"/>
        <w:gridCol w:w="684"/>
        <w:gridCol w:w="234"/>
      </w:tblGrid>
      <w:tr w:rsidR="00ED767D">
        <w:trPr>
          <w:divId w:val="94592678"/>
          <w:tblCellSpacing w:w="0" w:type="dxa"/>
          <w:jc w:val="center"/>
        </w:trPr>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United States Statutory Income tax Rate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21</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35</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Increase (Decrease) in rate on income subject to Danish income tax rates</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1</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jc w:val="right"/>
              <w:rPr>
                <w:rFonts w:eastAsia="Times New Roman"/>
                <w:sz w:val="20"/>
                <w:szCs w:val="20"/>
              </w:rPr>
            </w:pPr>
            <w:r>
              <w:rPr>
                <w:rFonts w:eastAsia="Times New Roman"/>
                <w:sz w:val="20"/>
                <w:szCs w:val="20"/>
              </w:rPr>
              <w:t>(13</w:t>
            </w:r>
          </w:p>
        </w:tc>
        <w:tc>
          <w:tcPr>
            <w:tcW w:w="50" w:type="pct"/>
            <w:shd w:val="clear" w:color="auto" w:fill="FFFF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Decrease in rate resulting from Non-Deductible expenses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vAlign w:val="center"/>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Income Tax Expense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22</w:t>
            </w:r>
          </w:p>
        </w:tc>
        <w:tc>
          <w:tcPr>
            <w:tcW w:w="50" w:type="pct"/>
            <w:shd w:val="clear" w:color="auto" w:fill="CCEEFF"/>
            <w:tcMar>
              <w:top w:w="0" w:type="dxa"/>
              <w:left w:w="0" w:type="dxa"/>
              <w:bottom w:w="45" w:type="dxa"/>
              <w:right w:w="0" w:type="dxa"/>
            </w:tcMar>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22</w:t>
            </w:r>
          </w:p>
        </w:tc>
        <w:tc>
          <w:tcPr>
            <w:tcW w:w="50" w:type="pct"/>
            <w:shd w:val="clear" w:color="auto" w:fill="CCEEFF"/>
            <w:tcMar>
              <w:top w:w="0" w:type="dxa"/>
              <w:left w:w="0" w:type="dxa"/>
              <w:bottom w:w="45" w:type="dxa"/>
              <w:right w:w="0" w:type="dxa"/>
            </w:tcMar>
            <w:vAlign w:val="bottom"/>
            <w:hideMark/>
          </w:tcPr>
          <w:p w:rsidR="00ED767D" w:rsidRDefault="006C7966">
            <w:pPr>
              <w:jc w:val="both"/>
              <w:rPr>
                <w:rFonts w:eastAsia="Times New Roman"/>
                <w:sz w:val="20"/>
                <w:szCs w:val="20"/>
              </w:rPr>
            </w:pPr>
            <w:r>
              <w:rPr>
                <w:rFonts w:eastAsia="Times New Roman"/>
                <w:sz w:val="20"/>
                <w:szCs w:val="20"/>
              </w:rPr>
              <w:t>%</w:t>
            </w:r>
          </w:p>
        </w:tc>
      </w:tr>
    </w:tbl>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trPr>
        <w:tc>
          <w:tcPr>
            <w:tcW w:w="0" w:type="auto"/>
            <w:vAlign w:val="center"/>
            <w:hideMark/>
          </w:tcPr>
          <w:p w:rsidR="00ED767D" w:rsidRDefault="006C7966">
            <w:pPr>
              <w:rPr>
                <w:rFonts w:eastAsia="Times New Roman"/>
                <w:sz w:val="20"/>
                <w:szCs w:val="20"/>
              </w:rPr>
            </w:pPr>
            <w:r>
              <w:rPr>
                <w:rFonts w:eastAsia="Times New Roman"/>
                <w:sz w:val="20"/>
                <w:szCs w:val="20"/>
              </w:rPr>
              <w:t> </w:t>
            </w:r>
          </w:p>
        </w:tc>
      </w:tr>
      <w:tr w:rsidR="00ED767D">
        <w:trPr>
          <w:divId w:val="94592678"/>
          <w:tblCellSpacing w:w="0" w:type="dxa"/>
        </w:trPr>
        <w:tc>
          <w:tcPr>
            <w:tcW w:w="0" w:type="auto"/>
            <w:tcBorders>
              <w:bottom w:val="single" w:sz="6" w:space="0" w:color="000000"/>
            </w:tcBorders>
            <w:vAlign w:val="center"/>
            <w:hideMark/>
          </w:tcPr>
          <w:p w:rsidR="00ED767D" w:rsidRDefault="006C7966">
            <w:pPr>
              <w:jc w:val="center"/>
              <w:rPr>
                <w:rFonts w:eastAsia="Times New Roman"/>
                <w:sz w:val="20"/>
                <w:szCs w:val="20"/>
              </w:rPr>
            </w:pPr>
            <w:r>
              <w:rPr>
                <w:rFonts w:eastAsia="Times New Roman"/>
                <w:sz w:val="20"/>
                <w:szCs w:val="20"/>
              </w:rPr>
              <w:t>F-11</w:t>
            </w:r>
          </w:p>
        </w:tc>
      </w:tr>
      <w:tr w:rsidR="00ED767D">
        <w:trPr>
          <w:divId w:val="94592678"/>
          <w:tblCellSpacing w:w="0" w:type="dxa"/>
        </w:trPr>
        <w:tc>
          <w:tcPr>
            <w:tcW w:w="0" w:type="auto"/>
            <w:vAlign w:val="center"/>
            <w:hideMark/>
          </w:tcPr>
          <w:p w:rsidR="00ED767D" w:rsidRDefault="00ED767D">
            <w:pPr>
              <w:jc w:val="center"/>
              <w:rPr>
                <w:rFonts w:eastAsia="Times New Roman"/>
                <w:sz w:val="20"/>
                <w:szCs w:val="20"/>
              </w:rPr>
            </w:pPr>
          </w:p>
        </w:tc>
      </w:tr>
      <w:tr w:rsidR="00ED767D">
        <w:trPr>
          <w:divId w:val="94592678"/>
          <w:tblCellSpacing w:w="0" w:type="dxa"/>
        </w:trPr>
        <w:tc>
          <w:tcPr>
            <w:tcW w:w="0" w:type="auto"/>
            <w:vAlign w:val="center"/>
            <w:hideMark/>
          </w:tcPr>
          <w:p w:rsidR="00ED767D" w:rsidRDefault="00ED767D">
            <w:pPr>
              <w:rPr>
                <w:rFonts w:eastAsia="Times New Roman"/>
                <w:sz w:val="20"/>
                <w:szCs w:val="20"/>
              </w:rPr>
            </w:pPr>
          </w:p>
        </w:tc>
      </w:tr>
      <w:tr w:rsidR="00ED767D">
        <w:trPr>
          <w:divId w:val="94592678"/>
          <w:tblCellSpacing w:w="0" w:type="dxa"/>
        </w:trPr>
        <w:tc>
          <w:tcPr>
            <w:tcW w:w="0" w:type="auto"/>
            <w:vAlign w:val="center"/>
            <w:hideMark/>
          </w:tcPr>
          <w:p w:rsidR="00ED767D" w:rsidRDefault="00FF05C4">
            <w:pPr>
              <w:rPr>
                <w:rFonts w:eastAsia="Times New Roman"/>
                <w:sz w:val="20"/>
                <w:szCs w:val="20"/>
              </w:rPr>
            </w:pPr>
            <w:hyperlink w:anchor="TOC2" w:history="1">
              <w:r w:rsidR="006C7966">
                <w:rPr>
                  <w:rStyle w:val="Hyperlink"/>
                  <w:rFonts w:eastAsia="Times New Roman"/>
                  <w:sz w:val="20"/>
                  <w:szCs w:val="20"/>
                </w:rPr>
                <w:t>Table of Contents</w:t>
              </w:r>
            </w:hyperlink>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components of income tax expense (benefit) from continuing operations for the years ended June 30, 2018 and 2017 consisted of the following:</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40"/>
        <w:gridCol w:w="74"/>
        <w:gridCol w:w="100"/>
        <w:gridCol w:w="710"/>
        <w:gridCol w:w="74"/>
        <w:gridCol w:w="74"/>
        <w:gridCol w:w="100"/>
        <w:gridCol w:w="710"/>
        <w:gridCol w:w="74"/>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b/>
                <w:bCs/>
                <w:sz w:val="20"/>
                <w:szCs w:val="20"/>
              </w:rPr>
              <w:t>Current Tax Expense</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Danish Income Tax Expense (Benefit)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7,201</w:t>
            </w:r>
          </w:p>
        </w:tc>
        <w:tc>
          <w:tcPr>
            <w:tcW w:w="50" w:type="pct"/>
            <w:shd w:val="clear" w:color="auto" w:fill="CCEEFF"/>
            <w:vAlign w:val="bottom"/>
            <w:hideMark/>
          </w:tcPr>
          <w:p w:rsidR="00ED767D" w:rsidRDefault="00ED767D">
            <w:pPr>
              <w:pStyle w:val="NormalWeb"/>
              <w:spacing w:before="0" w:beforeAutospacing="0" w:after="0" w:afterAutospacing="0"/>
              <w:jc w:val="both"/>
              <w:rPr>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(7,580</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b/>
                <w:bCs/>
                <w:sz w:val="20"/>
                <w:szCs w:val="20"/>
              </w:rPr>
              <w:t>Federal US Income Tax Expense (Benefit)</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Current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ED767D">
            <w:pPr>
              <w:jc w:val="right"/>
              <w:rPr>
                <w:rFonts w:eastAsia="Times New Roman"/>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ind w:left="225"/>
              <w:jc w:val="both"/>
              <w:rPr>
                <w:sz w:val="20"/>
                <w:szCs w:val="20"/>
              </w:rPr>
            </w:pPr>
            <w:r>
              <w:rPr>
                <w:sz w:val="20"/>
                <w:szCs w:val="20"/>
              </w:rPr>
              <w:t>Deferred</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Income Tax Expense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7,201</w:t>
            </w:r>
          </w:p>
        </w:tc>
        <w:tc>
          <w:tcPr>
            <w:tcW w:w="50" w:type="pct"/>
            <w:shd w:val="clear" w:color="auto" w:fill="CCEEFF"/>
            <w:tcMar>
              <w:top w:w="0" w:type="dxa"/>
              <w:left w:w="0" w:type="dxa"/>
              <w:bottom w:w="45" w:type="dxa"/>
              <w:right w:w="0" w:type="dxa"/>
            </w:tcMar>
            <w:vAlign w:val="bottom"/>
            <w:hideMark/>
          </w:tcPr>
          <w:p w:rsidR="00ED767D" w:rsidRDefault="00ED767D">
            <w:pPr>
              <w:pStyle w:val="NormalWeb"/>
              <w:spacing w:before="0" w:beforeAutospacing="0" w:after="0" w:afterAutospacing="0"/>
              <w:jc w:val="both"/>
              <w:rPr>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(7,580</w:t>
            </w:r>
          </w:p>
        </w:tc>
        <w:tc>
          <w:tcPr>
            <w:tcW w:w="50" w:type="pct"/>
            <w:shd w:val="clear" w:color="auto" w:fill="CCEEFF"/>
            <w:tcMar>
              <w:top w:w="0" w:type="dxa"/>
              <w:left w:w="0" w:type="dxa"/>
              <w:bottom w:w="45" w:type="dxa"/>
              <w:right w:w="0" w:type="dxa"/>
            </w:tcMar>
            <w:vAlign w:val="bottom"/>
            <w:hideMark/>
          </w:tcPr>
          <w:p w:rsidR="00ED767D" w:rsidRDefault="006C7966">
            <w:pPr>
              <w:jc w:val="both"/>
              <w:rPr>
                <w:rFonts w:eastAsia="Times New Roman"/>
                <w:sz w:val="20"/>
                <w:szCs w:val="20"/>
              </w:rPr>
            </w:pPr>
            <w:r>
              <w:rPr>
                <w:rFonts w:eastAsia="Times New Roman"/>
                <w:sz w:val="20"/>
                <w:szCs w:val="20"/>
              </w:rPr>
              <w:t>)</w:t>
            </w:r>
          </w:p>
        </w:tc>
      </w:tr>
    </w:tbl>
    <w:p w:rsidR="00ED767D" w:rsidRDefault="006C7966">
      <w:pPr>
        <w:pStyle w:val="NormalWeb"/>
        <w:spacing w:before="0" w:beforeAutospacing="0" w:after="0" w:afterAutospacing="0"/>
        <w:ind w:firstLine="72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Deferred income tax expense/(benefit) results primarily from the reversal of temporary timing differences between tax and financial statement income.</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had deferred tax income tax assets as of June 30, 2018 and 2017 as follows:</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5761"/>
        <w:gridCol w:w="64"/>
        <w:gridCol w:w="100"/>
        <w:gridCol w:w="867"/>
        <w:gridCol w:w="67"/>
        <w:gridCol w:w="63"/>
        <w:gridCol w:w="100"/>
        <w:gridCol w:w="867"/>
        <w:gridCol w:w="67"/>
      </w:tblGrid>
      <w:tr w:rsidR="00ED767D">
        <w:trPr>
          <w:divId w:val="94592678"/>
          <w:tblCellSpacing w:w="0" w:type="dxa"/>
          <w:jc w:val="center"/>
        </w:trPr>
        <w:tc>
          <w:tcPr>
            <w:tcW w:w="0" w:type="auto"/>
            <w:tcBorders>
              <w:bottom w:val="single" w:sz="6" w:space="0" w:color="000000"/>
            </w:tcBorders>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0" w:type="auto"/>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ED767D" w:rsidRDefault="006C7966">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jc w:val="both"/>
              <w:rPr>
                <w:sz w:val="20"/>
                <w:szCs w:val="20"/>
              </w:rPr>
            </w:pPr>
            <w:r>
              <w:rPr>
                <w:sz w:val="20"/>
                <w:szCs w:val="20"/>
              </w:rPr>
              <w:t> </w:t>
            </w:r>
          </w:p>
          <w:p w:rsidR="00ED767D" w:rsidRDefault="006C7966">
            <w:pPr>
              <w:pStyle w:val="NormalWeb"/>
              <w:spacing w:before="0" w:beforeAutospacing="0" w:after="0" w:afterAutospacing="0"/>
              <w:ind w:left="225"/>
              <w:jc w:val="both"/>
              <w:rPr>
                <w:sz w:val="20"/>
                <w:szCs w:val="20"/>
              </w:rPr>
            </w:pPr>
            <w:r>
              <w:rPr>
                <w:sz w:val="20"/>
                <w:szCs w:val="20"/>
              </w:rPr>
              <w:t>Net operating loss carryforwards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4,353,794</w:t>
            </w:r>
          </w:p>
        </w:tc>
        <w:tc>
          <w:tcPr>
            <w:tcW w:w="50" w:type="pct"/>
            <w:shd w:val="clear" w:color="auto" w:fill="CCEEFF"/>
            <w:vAlign w:val="bottom"/>
            <w:hideMark/>
          </w:tcPr>
          <w:p w:rsidR="00ED767D" w:rsidRDefault="00ED767D">
            <w:pPr>
              <w:pStyle w:val="NormalWeb"/>
              <w:spacing w:before="0" w:beforeAutospacing="0" w:after="0" w:afterAutospacing="0"/>
              <w:jc w:val="both"/>
              <w:rPr>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4,355,360</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 </w:t>
            </w:r>
          </w:p>
        </w:tc>
      </w:tr>
      <w:tr w:rsidR="00ED767D">
        <w:trPr>
          <w:divId w:val="94592678"/>
          <w:tblCellSpacing w:w="0" w:type="dxa"/>
          <w:jc w:val="center"/>
        </w:trPr>
        <w:tc>
          <w:tcPr>
            <w:tcW w:w="0" w:type="auto"/>
            <w:shd w:val="clear" w:color="auto" w:fill="FFFFFF"/>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ED767D" w:rsidRDefault="006C7966">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ED767D" w:rsidRDefault="006C7966">
            <w:pPr>
              <w:pStyle w:val="NormalWeb"/>
              <w:spacing w:before="0" w:beforeAutospacing="0" w:after="0" w:afterAutospacing="0"/>
              <w:jc w:val="both"/>
              <w:rPr>
                <w:sz w:val="20"/>
                <w:szCs w:val="20"/>
              </w:rPr>
            </w:pPr>
            <w:r>
              <w:rPr>
                <w:sz w:val="20"/>
                <w:szCs w:val="20"/>
              </w:rPr>
              <w:t> </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ind w:left="225"/>
              <w:rPr>
                <w:sz w:val="20"/>
                <w:szCs w:val="20"/>
              </w:rPr>
            </w:pPr>
            <w:r>
              <w:rPr>
                <w:sz w:val="20"/>
                <w:szCs w:val="20"/>
              </w:rPr>
              <w:lastRenderedPageBreak/>
              <w:t>Valuation allowance</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br/>
              <w:t>(4,353,794</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ED767D" w:rsidRDefault="006C7966">
            <w:pPr>
              <w:jc w:val="right"/>
              <w:rPr>
                <w:rFonts w:eastAsia="Times New Roman"/>
                <w:sz w:val="20"/>
                <w:szCs w:val="20"/>
              </w:rPr>
            </w:pPr>
            <w:r>
              <w:rPr>
                <w:rFonts w:eastAsia="Times New Roman"/>
                <w:sz w:val="20"/>
                <w:szCs w:val="20"/>
              </w:rPr>
              <w:t>(4,355,360</w:t>
            </w:r>
          </w:p>
        </w:tc>
        <w:tc>
          <w:tcPr>
            <w:tcW w:w="50" w:type="pct"/>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r>
      <w:tr w:rsidR="00ED767D">
        <w:trPr>
          <w:divId w:val="94592678"/>
          <w:tblCellSpacing w:w="0" w:type="dxa"/>
          <w:jc w:val="center"/>
        </w:trPr>
        <w:tc>
          <w:tcPr>
            <w:tcW w:w="0" w:type="auto"/>
            <w:shd w:val="clear" w:color="auto" w:fill="CCEEFF"/>
            <w:hideMark/>
          </w:tcPr>
          <w:p w:rsidR="00ED767D" w:rsidRDefault="006C7966">
            <w:pPr>
              <w:pStyle w:val="NormalWeb"/>
              <w:spacing w:before="0" w:beforeAutospacing="0" w:after="0" w:afterAutospacing="0"/>
              <w:jc w:val="both"/>
              <w:rPr>
                <w:sz w:val="20"/>
                <w:szCs w:val="20"/>
              </w:rPr>
            </w:pPr>
            <w:r>
              <w:rPr>
                <w:sz w:val="20"/>
                <w:szCs w:val="20"/>
              </w:rPr>
              <w:t>Total net deferred tax assets</w:t>
            </w: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45" w:type="dxa"/>
              <w:right w:w="0" w:type="dxa"/>
            </w:tcMar>
            <w:vAlign w:val="bottom"/>
            <w:hideMark/>
          </w:tcPr>
          <w:p w:rsidR="00ED767D" w:rsidRDefault="00ED767D">
            <w:pPr>
              <w:pStyle w:val="NormalWeb"/>
              <w:spacing w:before="0" w:beforeAutospacing="0" w:after="0" w:afterAutospacing="0"/>
              <w:jc w:val="both"/>
              <w:rPr>
                <w:sz w:val="20"/>
                <w:szCs w:val="20"/>
              </w:rPr>
            </w:pPr>
          </w:p>
        </w:tc>
        <w:tc>
          <w:tcPr>
            <w:tcW w:w="50" w:type="pct"/>
            <w:shd w:val="clear" w:color="auto" w:fill="CCEEFF"/>
            <w:vAlign w:val="bottom"/>
            <w:hideMark/>
          </w:tcPr>
          <w:p w:rsidR="00ED767D" w:rsidRDefault="006C7966">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ED767D" w:rsidRDefault="006C7966">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ED767D" w:rsidRDefault="006C7966">
            <w:pPr>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45" w:type="dxa"/>
              <w:right w:w="0" w:type="dxa"/>
            </w:tcMar>
            <w:vAlign w:val="bottom"/>
            <w:hideMark/>
          </w:tcPr>
          <w:p w:rsidR="00ED767D" w:rsidRDefault="006C7966">
            <w:pPr>
              <w:jc w:val="both"/>
              <w:rPr>
                <w:rFonts w:eastAsia="Times New Roman"/>
                <w:sz w:val="20"/>
                <w:szCs w:val="20"/>
              </w:rPr>
            </w:pPr>
            <w:r>
              <w:rPr>
                <w:rFonts w:eastAsia="Times New Roman"/>
                <w:sz w:val="20"/>
                <w:szCs w:val="20"/>
              </w:rPr>
              <w:t> </w:t>
            </w:r>
          </w:p>
        </w:tc>
      </w:tr>
    </w:tbl>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The Company has maintained a full valuation allowance against the total deferred tax assets for all period due to theuncertainty of future utilization.</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b/>
          <w:bCs/>
          <w:sz w:val="20"/>
          <w:szCs w:val="20"/>
        </w:rPr>
        <w:t>NOTE 8 - SHAREHOLDERS' EQUITY:</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Common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Preferred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 </w:t>
      </w:r>
    </w:p>
    <w:p w:rsidR="00ED767D" w:rsidRDefault="006C7966">
      <w:pPr>
        <w:pStyle w:val="NormalWeb"/>
        <w:spacing w:before="0" w:beforeAutospacing="0" w:after="0" w:afterAutospacing="0"/>
        <w:jc w:val="both"/>
        <w:divId w:val="94592678"/>
        <w:rPr>
          <w:sz w:val="20"/>
          <w:szCs w:val="20"/>
        </w:rPr>
      </w:pPr>
      <w:r>
        <w:rPr>
          <w:sz w:val="20"/>
          <w:szCs w:val="20"/>
        </w:rPr>
        <w:t>Series 2 Convertible Preferred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During November 1997, 172,000 shares of Series 2 preferred stock were converted into 344,000 shares of the Company's common stock. As of June 30, 2018, there are 5,000 shares issued, which are convertible into 2 common shares. There are no warrants outstanding that have been issued in connection with these preferred shares.</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Series 3 Convertible Preferred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Company has designated 1,670,000 shares of series 3 convertible preferred stock with apar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are zero shares issued and outstanding at June 30, 2018.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Series 5 Convertible Preferred Stock:</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xml:space="preserve">The Company has designated 1 share of series 5 convertible preferred stock, no par value. There is 1 Series 5 Convertible Preferred shares designated. 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 There are zero shares issued and outstanding at June 30, 2018. </w:t>
      </w:r>
    </w:p>
    <w:p w:rsidR="00ED767D" w:rsidRDefault="006C7966">
      <w:pPr>
        <w:pStyle w:val="NormalWeb"/>
        <w:spacing w:before="0" w:beforeAutospacing="0" w:after="0" w:afterAutospacing="0"/>
        <w:jc w:val="both"/>
        <w:divId w:val="94592678"/>
        <w:rPr>
          <w:sz w:val="20"/>
          <w:szCs w:val="20"/>
        </w:rPr>
      </w:pPr>
      <w:r>
        <w:rPr>
          <w:sz w:val="20"/>
          <w:szCs w:val="20"/>
        </w:rPr>
        <w:t> </w:t>
      </w:r>
    </w:p>
    <w:p w:rsidR="00ED767D" w:rsidRDefault="006C7966">
      <w:pPr>
        <w:pStyle w:val="NormalWeb"/>
        <w:spacing w:before="0" w:beforeAutospacing="0" w:after="0" w:afterAutospacing="0"/>
        <w:jc w:val="both"/>
        <w:divId w:val="94592678"/>
        <w:rPr>
          <w:sz w:val="20"/>
          <w:szCs w:val="20"/>
        </w:rPr>
      </w:pPr>
      <w:r>
        <w:rPr>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767D">
        <w:trPr>
          <w:divId w:val="94592678"/>
          <w:tblCellSpacing w:w="0" w:type="dxa"/>
          <w:jc w:val="center"/>
        </w:trPr>
        <w:tc>
          <w:tcPr>
            <w:tcW w:w="0" w:type="auto"/>
            <w:tcBorders>
              <w:bottom w:val="single" w:sz="6" w:space="0" w:color="000000"/>
            </w:tcBorders>
            <w:vAlign w:val="center"/>
            <w:hideMark/>
          </w:tcPr>
          <w:p w:rsidR="00ED767D" w:rsidRDefault="006C7966">
            <w:pPr>
              <w:pStyle w:val="NormalWeb"/>
              <w:spacing w:before="0" w:beforeAutospacing="0" w:after="0" w:afterAutospacing="0"/>
              <w:jc w:val="center"/>
              <w:rPr>
                <w:sz w:val="20"/>
                <w:szCs w:val="20"/>
              </w:rPr>
            </w:pPr>
            <w:r>
              <w:rPr>
                <w:sz w:val="20"/>
                <w:szCs w:val="20"/>
              </w:rPr>
              <w:t>F-12</w:t>
            </w:r>
          </w:p>
        </w:tc>
      </w:tr>
    </w:tbl>
    <w:p w:rsidR="006C7966" w:rsidRDefault="006C7966">
      <w:pPr>
        <w:divId w:val="94592678"/>
        <w:rPr>
          <w:rFonts w:eastAsia="Times New Roman"/>
        </w:rPr>
      </w:pPr>
    </w:p>
    <w:sectPr w:rsidR="006C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BC"/>
    <w:rsid w:val="006C7966"/>
    <w:rsid w:val="009845BC"/>
    <w:rsid w:val="00ED767D"/>
    <w:rsid w:val="00FF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C4D35-C75E-4EE1-A9B4-A6767862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2678">
      <w:bodyDiv w:val="1"/>
      <w:marLeft w:val="7"/>
      <w:marRight w:val="7"/>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D:\wolfer2\myfiles\AOXY\edgar\2018\6-30-2018%2010K\Filing\aoxy_10kimg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15638</Words>
  <Characters>89143</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Annual Report on Form 10-K for period ending June 30, 2018</vt:lpstr>
    </vt:vector>
  </TitlesOfParts>
  <Company/>
  <LinksUpToDate>false</LinksUpToDate>
  <CharactersWithSpaces>104572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Form 10-K for period ending June 30, 2018</dc:title>
  <dc:subject/>
  <dc:creator>Robert Wolfe</dc:creator>
  <cp:keywords/>
  <dc:description/>
  <cp:lastModifiedBy>Robert Wolfe</cp:lastModifiedBy>
  <cp:revision>3</cp:revision>
  <dcterms:created xsi:type="dcterms:W3CDTF">2018-09-27T14:34:00Z</dcterms:created>
  <dcterms:modified xsi:type="dcterms:W3CDTF">2018-09-27T14:34:00Z</dcterms:modified>
</cp:coreProperties>
</file>