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B4DBF">
      <w:pPr>
        <w:divId w:val="1360352785"/>
        <w:rPr>
          <w:rFonts w:eastAsia="Times New Roman"/>
        </w:rPr>
      </w:pPr>
      <w:r>
        <w:rPr>
          <w:rFonts w:eastAsia="Times New Roman"/>
        </w:rPr>
        <w:pict>
          <v:rect id="_x0000_i1025" style="width:0;height:2pt" o:hralign="center" o:hrstd="t" o:hrnoshade="t" o:hr="t" fillcolor="black" stroked="f"/>
        </w:pict>
      </w:r>
    </w:p>
    <w:p w:rsidR="00000000" w:rsidRDefault="008B4DBF">
      <w:pPr>
        <w:divId w:val="1360352785"/>
        <w:rPr>
          <w:rFonts w:eastAsia="Times New Roman"/>
        </w:rPr>
      </w:pPr>
      <w:r>
        <w:rPr>
          <w:rFonts w:eastAsia="Times New Roman"/>
        </w:rPr>
        <w:pict>
          <v:rect id="_x0000_i1026" style="width:0;height:.5pt" o:hralign="center" o:hrstd="t" o:hrnoshade="t" o:hr="t" fillcolor="black" stroked="f"/>
        </w:pict>
      </w:r>
    </w:p>
    <w:p w:rsidR="00000000" w:rsidRDefault="008B4DBF">
      <w:pPr>
        <w:divId w:val="1639988631"/>
        <w:rPr>
          <w:rFonts w:eastAsia="Times New Roman"/>
        </w:rPr>
      </w:pPr>
      <w:r>
        <w:rPr>
          <w:rFonts w:eastAsia="Times New Roman"/>
        </w:rPr>
        <w:t> </w:t>
      </w:r>
    </w:p>
    <w:p w:rsidR="00000000" w:rsidRDefault="008B4DBF">
      <w:pPr>
        <w:pStyle w:val="NormalWeb"/>
        <w:spacing w:before="0" w:beforeAutospacing="0" w:after="0" w:afterAutospacing="0" w:line="320" w:lineRule="atLeast"/>
        <w:jc w:val="center"/>
        <w:rPr>
          <w:sz w:val="28"/>
          <w:szCs w:val="28"/>
        </w:rPr>
      </w:pPr>
      <w:r>
        <w:rPr>
          <w:b/>
          <w:bCs/>
          <w:sz w:val="28"/>
          <w:szCs w:val="28"/>
        </w:rPr>
        <w:t>UNITED STATES</w:t>
      </w:r>
    </w:p>
    <w:p w:rsidR="00000000" w:rsidRDefault="008B4DBF">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8B4DBF">
      <w:pPr>
        <w:pStyle w:val="NormalWeb"/>
        <w:spacing w:before="0" w:beforeAutospacing="0" w:after="0" w:afterAutospacing="0"/>
        <w:jc w:val="center"/>
      </w:pPr>
      <w:r>
        <w:rPr>
          <w:b/>
          <w:bCs/>
        </w:rPr>
        <w:t>Washington, D.C. 20549</w:t>
      </w:r>
    </w:p>
    <w:p w:rsidR="00000000" w:rsidRDefault="008B4DBF">
      <w:pPr>
        <w:pStyle w:val="NormalWeb"/>
        <w:spacing w:before="0" w:beforeAutospacing="0" w:after="0" w:afterAutospacing="0"/>
        <w:jc w:val="center"/>
      </w:pPr>
    </w:p>
    <w:p w:rsidR="00000000" w:rsidRDefault="008B4DBF">
      <w:pPr>
        <w:pStyle w:val="NormalWeb"/>
        <w:spacing w:before="0" w:beforeAutospacing="0" w:after="0" w:afterAutospacing="0"/>
        <w:jc w:val="center"/>
      </w:pPr>
      <w:r>
        <w:t>———————</w:t>
      </w:r>
    </w:p>
    <w:p w:rsidR="00000000" w:rsidRDefault="008B4DBF">
      <w:pPr>
        <w:pStyle w:val="NormalWeb"/>
        <w:spacing w:before="0" w:beforeAutospacing="0" w:after="0" w:afterAutospacing="0" w:line="320" w:lineRule="atLeast"/>
        <w:jc w:val="center"/>
        <w:rPr>
          <w:sz w:val="28"/>
          <w:szCs w:val="28"/>
        </w:rPr>
      </w:pPr>
      <w:r>
        <w:rPr>
          <w:b/>
          <w:bCs/>
          <w:sz w:val="28"/>
          <w:szCs w:val="28"/>
        </w:rPr>
        <w:t>FORM 10-Q</w:t>
      </w:r>
    </w:p>
    <w:p w:rsidR="00000000" w:rsidRDefault="008B4DBF">
      <w:pPr>
        <w:pStyle w:val="NormalWeb"/>
        <w:spacing w:before="0" w:beforeAutospacing="0" w:after="0" w:afterAutospacing="0"/>
        <w:jc w:val="center"/>
      </w:pPr>
      <w:r>
        <w:t>———————</w:t>
      </w:r>
    </w:p>
    <w:p w:rsidR="00000000" w:rsidRDefault="008B4DBF">
      <w:pPr>
        <w:pStyle w:val="NormalWeb"/>
        <w:spacing w:before="0" w:beforeAutospacing="0" w:after="0" w:afterAutospacing="0"/>
        <w:jc w:val="center"/>
      </w:pPr>
      <w:r>
        <w:t>(Mark One)</w:t>
      </w:r>
    </w:p>
    <w:p w:rsidR="00000000" w:rsidRDefault="008B4DB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85"/>
        <w:gridCol w:w="10515"/>
      </w:tblGrid>
      <w:tr w:rsidR="00000000">
        <w:trPr>
          <w:tblCellSpacing w:w="0" w:type="dxa"/>
          <w:jc w:val="center"/>
        </w:trPr>
        <w:tc>
          <w:tcPr>
            <w:tcW w:w="285" w:type="dxa"/>
            <w:vAlign w:val="center"/>
            <w:hideMark/>
          </w:tcPr>
          <w:p w:rsidR="00000000" w:rsidRDefault="008B4DBF"/>
        </w:tc>
        <w:tc>
          <w:tcPr>
            <w:tcW w:w="10500" w:type="dxa"/>
            <w:vAlign w:val="center"/>
            <w:hideMark/>
          </w:tcPr>
          <w:p w:rsidR="00000000" w:rsidRDefault="008B4DBF">
            <w:pPr>
              <w:rPr>
                <w:rFonts w:eastAsia="Times New Roman"/>
                <w:sz w:val="20"/>
                <w:szCs w:val="20"/>
              </w:rPr>
            </w:pPr>
          </w:p>
        </w:tc>
      </w:tr>
      <w:tr w:rsidR="00000000">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Default="008B4DBF">
            <w:pPr>
              <w:pStyle w:val="NormalWeb"/>
              <w:spacing w:before="0" w:beforeAutospacing="0" w:after="0" w:afterAutospacing="0"/>
              <w:jc w:val="center"/>
              <w:rPr>
                <w:sz w:val="20"/>
                <w:szCs w:val="20"/>
              </w:rPr>
            </w:pPr>
            <w:r>
              <w:rPr>
                <w:rFonts w:ascii="Wingdings" w:hAnsi="Wingdings"/>
                <w:b/>
                <w:bCs/>
                <w:sz w:val="20"/>
                <w:szCs w:val="20"/>
              </w:rPr>
              <w:t></w:t>
            </w:r>
          </w:p>
        </w:tc>
        <w:tc>
          <w:tcPr>
            <w:tcW w:w="10500" w:type="dxa"/>
            <w:hideMark/>
          </w:tcPr>
          <w:p w:rsidR="00000000" w:rsidRDefault="008B4DBF">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trPr>
          <w:tblCellSpacing w:w="0" w:type="dxa"/>
          <w:jc w:val="center"/>
        </w:trPr>
        <w:tc>
          <w:tcPr>
            <w:tcW w:w="285" w:type="dxa"/>
            <w:hideMark/>
          </w:tcPr>
          <w:p w:rsidR="00000000" w:rsidRDefault="008B4DBF">
            <w:pPr>
              <w:pStyle w:val="NormalWeb"/>
              <w:rPr>
                <w:sz w:val="20"/>
                <w:szCs w:val="20"/>
              </w:rPr>
            </w:pPr>
            <w:r>
              <w:rPr>
                <w:sz w:val="20"/>
                <w:szCs w:val="20"/>
              </w:rPr>
              <w:t> </w:t>
            </w:r>
          </w:p>
        </w:tc>
        <w:tc>
          <w:tcPr>
            <w:tcW w:w="10500" w:type="dxa"/>
            <w:hideMark/>
          </w:tcPr>
          <w:p w:rsidR="00000000" w:rsidRDefault="008B4DBF">
            <w:pPr>
              <w:pStyle w:val="NormalWeb"/>
              <w:spacing w:before="0" w:beforeAutospacing="0" w:after="0" w:afterAutospacing="0"/>
              <w:rPr>
                <w:sz w:val="20"/>
                <w:szCs w:val="20"/>
              </w:rPr>
            </w:pPr>
            <w:r>
              <w:rPr>
                <w:b/>
                <w:bCs/>
                <w:sz w:val="20"/>
                <w:szCs w:val="20"/>
              </w:rPr>
              <w:t> </w:t>
            </w:r>
          </w:p>
        </w:tc>
      </w:tr>
      <w:tr w:rsidR="00000000">
        <w:trPr>
          <w:tblCellSpacing w:w="0" w:type="dxa"/>
          <w:jc w:val="center"/>
        </w:trPr>
        <w:tc>
          <w:tcPr>
            <w:tcW w:w="10800" w:type="dxa"/>
            <w:gridSpan w:val="2"/>
            <w:hideMark/>
          </w:tcPr>
          <w:p w:rsidR="00000000" w:rsidRDefault="008B4DBF">
            <w:pPr>
              <w:pStyle w:val="NormalWeb"/>
              <w:spacing w:before="0" w:beforeAutospacing="0" w:after="0" w:afterAutospacing="0"/>
              <w:jc w:val="center"/>
              <w:rPr>
                <w:sz w:val="20"/>
                <w:szCs w:val="20"/>
              </w:rPr>
            </w:pPr>
            <w:r>
              <w:rPr>
                <w:sz w:val="20"/>
                <w:szCs w:val="20"/>
              </w:rPr>
              <w:t>For the quarterly period ended: March 31, 2018</w:t>
            </w:r>
          </w:p>
        </w:tc>
      </w:tr>
      <w:tr w:rsidR="00000000">
        <w:trPr>
          <w:tblCellSpacing w:w="0" w:type="dxa"/>
          <w:jc w:val="center"/>
        </w:trPr>
        <w:tc>
          <w:tcPr>
            <w:tcW w:w="10800" w:type="dxa"/>
            <w:gridSpan w:val="2"/>
            <w:hideMark/>
          </w:tcPr>
          <w:p w:rsidR="00000000" w:rsidRDefault="008B4DBF">
            <w:pPr>
              <w:pStyle w:val="NormalWeb"/>
              <w:spacing w:before="0" w:beforeAutospacing="0" w:after="0" w:afterAutospacing="0"/>
              <w:jc w:val="center"/>
              <w:rPr>
                <w:sz w:val="20"/>
                <w:szCs w:val="20"/>
              </w:rPr>
            </w:pPr>
            <w:r>
              <w:rPr>
                <w:sz w:val="20"/>
                <w:szCs w:val="20"/>
              </w:rPr>
              <w:t>Or</w:t>
            </w:r>
          </w:p>
        </w:tc>
      </w:tr>
      <w:tr w:rsidR="00000000">
        <w:trPr>
          <w:tblCellSpacing w:w="0" w:type="dxa"/>
          <w:jc w:val="center"/>
        </w:trPr>
        <w:tc>
          <w:tcPr>
            <w:tcW w:w="285" w:type="dxa"/>
            <w:hideMark/>
          </w:tcPr>
          <w:p w:rsidR="00000000" w:rsidRDefault="008B4DBF">
            <w:pPr>
              <w:pStyle w:val="NormalWeb"/>
              <w:rPr>
                <w:sz w:val="20"/>
                <w:szCs w:val="20"/>
              </w:rPr>
            </w:pPr>
            <w:r>
              <w:rPr>
                <w:sz w:val="20"/>
                <w:szCs w:val="20"/>
              </w:rPr>
              <w:t> </w:t>
            </w:r>
          </w:p>
        </w:tc>
        <w:tc>
          <w:tcPr>
            <w:tcW w:w="10500" w:type="dxa"/>
            <w:hideMark/>
          </w:tcPr>
          <w:p w:rsidR="00000000" w:rsidRDefault="008B4DBF">
            <w:pPr>
              <w:pStyle w:val="NormalWeb"/>
              <w:rPr>
                <w:sz w:val="20"/>
                <w:szCs w:val="20"/>
              </w:rPr>
            </w:pPr>
            <w:r>
              <w:rPr>
                <w:sz w:val="20"/>
                <w:szCs w:val="20"/>
              </w:rPr>
              <w:t> </w:t>
            </w:r>
          </w:p>
        </w:tc>
      </w:tr>
      <w:tr w:rsidR="00000000">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Default="008B4DBF">
            <w:pPr>
              <w:pStyle w:val="NormalWeb"/>
              <w:spacing w:before="0" w:beforeAutospacing="0" w:after="0" w:afterAutospacing="0"/>
              <w:jc w:val="center"/>
              <w:rPr>
                <w:sz w:val="20"/>
                <w:szCs w:val="20"/>
              </w:rPr>
            </w:pPr>
            <w:r>
              <w:rPr>
                <w:rFonts w:ascii="Wingdings" w:hAnsi="Wingdings"/>
                <w:b/>
                <w:bCs/>
                <w:sz w:val="20"/>
                <w:szCs w:val="20"/>
              </w:rPr>
              <w:t></w:t>
            </w:r>
          </w:p>
        </w:tc>
        <w:tc>
          <w:tcPr>
            <w:tcW w:w="10500" w:type="dxa"/>
            <w:hideMark/>
          </w:tcPr>
          <w:p w:rsidR="00000000" w:rsidRDefault="008B4DBF">
            <w:pPr>
              <w:pStyle w:val="NormalWeb"/>
              <w:spacing w:before="0" w:beforeAutospacing="0" w:after="0" w:afterAutospacing="0"/>
              <w:rPr>
                <w:sz w:val="20"/>
                <w:szCs w:val="20"/>
              </w:rPr>
            </w:pPr>
            <w:r>
              <w:rPr>
                <w:b/>
                <w:bCs/>
                <w:sz w:val="20"/>
                <w:szCs w:val="20"/>
              </w:rPr>
              <w:t xml:space="preserve"> TRANSITION REPORT PURSUANT TO SECTION 13 OR 15(d) OF THE SECURITIES </w:t>
            </w:r>
            <w:proofErr w:type="gramStart"/>
            <w:r>
              <w:rPr>
                <w:b/>
                <w:bCs/>
                <w:sz w:val="20"/>
                <w:szCs w:val="20"/>
              </w:rPr>
              <w:t>EXCHANGE  ACT</w:t>
            </w:r>
            <w:proofErr w:type="gramEnd"/>
            <w:r>
              <w:rPr>
                <w:b/>
                <w:bCs/>
                <w:sz w:val="20"/>
                <w:szCs w:val="20"/>
              </w:rPr>
              <w:t xml:space="preserve"> OF 1934</w:t>
            </w:r>
          </w:p>
        </w:tc>
      </w:tr>
      <w:tr w:rsidR="00000000">
        <w:trPr>
          <w:tblCellSpacing w:w="0" w:type="dxa"/>
          <w:jc w:val="center"/>
        </w:trPr>
        <w:tc>
          <w:tcPr>
            <w:tcW w:w="285" w:type="dxa"/>
            <w:hideMark/>
          </w:tcPr>
          <w:p w:rsidR="00000000" w:rsidRDefault="008B4DBF">
            <w:pPr>
              <w:pStyle w:val="NormalWeb"/>
              <w:rPr>
                <w:sz w:val="20"/>
                <w:szCs w:val="20"/>
              </w:rPr>
            </w:pPr>
            <w:r>
              <w:rPr>
                <w:sz w:val="20"/>
                <w:szCs w:val="20"/>
              </w:rPr>
              <w:t> </w:t>
            </w:r>
          </w:p>
        </w:tc>
        <w:tc>
          <w:tcPr>
            <w:tcW w:w="10500" w:type="dxa"/>
            <w:hideMark/>
          </w:tcPr>
          <w:p w:rsidR="00000000" w:rsidRDefault="008B4DBF">
            <w:pPr>
              <w:rPr>
                <w:sz w:val="20"/>
                <w:szCs w:val="20"/>
              </w:rPr>
            </w:pPr>
          </w:p>
        </w:tc>
      </w:tr>
      <w:tr w:rsidR="00000000">
        <w:trPr>
          <w:tblCellSpacing w:w="0" w:type="dxa"/>
          <w:jc w:val="center"/>
        </w:trPr>
        <w:tc>
          <w:tcPr>
            <w:tcW w:w="10800" w:type="dxa"/>
            <w:gridSpan w:val="2"/>
            <w:hideMark/>
          </w:tcPr>
          <w:p w:rsidR="00000000" w:rsidRDefault="008B4DBF">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8B4DBF">
      <w:pPr>
        <w:pStyle w:val="NormalWeb"/>
        <w:spacing w:before="0" w:beforeAutospacing="0" w:after="0" w:afterAutospacing="0"/>
        <w:jc w:val="center"/>
      </w:pPr>
    </w:p>
    <w:p w:rsidR="00000000" w:rsidRDefault="008B4DBF">
      <w:pPr>
        <w:pStyle w:val="NormalWeb"/>
        <w:spacing w:before="0" w:beforeAutospacing="0" w:after="0" w:afterAutospacing="0"/>
        <w:jc w:val="center"/>
      </w:pPr>
      <w:r>
        <w:t>———————</w:t>
      </w:r>
    </w:p>
    <w:p w:rsidR="00000000" w:rsidRDefault="008B4DBF">
      <w:pPr>
        <w:jc w:val="center"/>
        <w:rPr>
          <w:rFonts w:eastAsia="Times New Roman"/>
        </w:rPr>
      </w:pPr>
      <w:r>
        <w:rPr>
          <w:rStyle w:val="Strong"/>
          <w:rFonts w:eastAsia="Times New Roman"/>
          <w:sz w:val="32"/>
          <w:szCs w:val="32"/>
        </w:rPr>
        <w:t>ADVANCED OXYGEN TECHNOLOGIES, INC.</w:t>
      </w:r>
    </w:p>
    <w:p w:rsidR="00000000" w:rsidRDefault="008B4DBF">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8B4DBF">
      <w:pPr>
        <w:pStyle w:val="NormalWeb"/>
        <w:spacing w:before="0" w:beforeAutospacing="0" w:after="0" w:afterAutospacing="0"/>
        <w:jc w:val="center"/>
      </w:pPr>
      <w:r>
        <w:t>———————</w:t>
      </w:r>
    </w:p>
    <w:p w:rsidR="00000000" w:rsidRDefault="008B4DBF">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600"/>
        <w:gridCol w:w="3600"/>
        <w:gridCol w:w="3585"/>
      </w:tblGrid>
      <w:tr w:rsidR="00000000">
        <w:trPr>
          <w:tblCellSpacing w:w="0" w:type="dxa"/>
          <w:jc w:val="center"/>
        </w:trPr>
        <w:tc>
          <w:tcPr>
            <w:tcW w:w="3600" w:type="dxa"/>
            <w:vAlign w:val="center"/>
            <w:hideMark/>
          </w:tcPr>
          <w:p w:rsidR="00000000" w:rsidRDefault="008B4DBF"/>
        </w:tc>
        <w:tc>
          <w:tcPr>
            <w:tcW w:w="3600" w:type="dxa"/>
            <w:vAlign w:val="center"/>
            <w:hideMark/>
          </w:tcPr>
          <w:p w:rsidR="00000000" w:rsidRDefault="008B4DBF">
            <w:pPr>
              <w:rPr>
                <w:rFonts w:eastAsia="Times New Roman"/>
                <w:sz w:val="20"/>
                <w:szCs w:val="20"/>
              </w:rPr>
            </w:pPr>
          </w:p>
        </w:tc>
        <w:tc>
          <w:tcPr>
            <w:tcW w:w="3585" w:type="dxa"/>
            <w:vAlign w:val="center"/>
            <w:hideMark/>
          </w:tcPr>
          <w:p w:rsidR="00000000" w:rsidRDefault="008B4DBF">
            <w:pPr>
              <w:rPr>
                <w:rFonts w:eastAsia="Times New Roman"/>
                <w:sz w:val="20"/>
                <w:szCs w:val="20"/>
              </w:rPr>
            </w:pPr>
          </w:p>
        </w:tc>
      </w:tr>
      <w:tr w:rsidR="00000000">
        <w:trPr>
          <w:tblCellSpacing w:w="0" w:type="dxa"/>
          <w:jc w:val="center"/>
        </w:trPr>
        <w:tc>
          <w:tcPr>
            <w:tcW w:w="3600" w:type="dxa"/>
            <w:hideMark/>
          </w:tcPr>
          <w:p w:rsidR="00000000" w:rsidRDefault="008B4DBF">
            <w:pPr>
              <w:pStyle w:val="NormalWeb"/>
              <w:spacing w:before="0" w:beforeAutospacing="0" w:after="0" w:afterAutospacing="0"/>
              <w:jc w:val="center"/>
              <w:rPr>
                <w:sz w:val="20"/>
                <w:szCs w:val="20"/>
              </w:rPr>
            </w:pPr>
            <w:r>
              <w:rPr>
                <w:b/>
                <w:bCs/>
                <w:sz w:val="20"/>
                <w:szCs w:val="20"/>
              </w:rPr>
              <w:t>Delaware</w:t>
            </w:r>
          </w:p>
        </w:tc>
        <w:tc>
          <w:tcPr>
            <w:tcW w:w="3600" w:type="dxa"/>
            <w:hideMark/>
          </w:tcPr>
          <w:p w:rsidR="00000000" w:rsidRDefault="008B4DBF">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000000" w:rsidRDefault="008B4DBF">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3600" w:type="dxa"/>
            <w:hideMark/>
          </w:tcPr>
          <w:p w:rsidR="00000000" w:rsidRDefault="008B4DBF">
            <w:pPr>
              <w:pStyle w:val="NormalWeb"/>
              <w:spacing w:before="0" w:beforeAutospacing="0" w:after="0" w:afterAutospacing="0" w:line="200" w:lineRule="atLeast"/>
              <w:jc w:val="center"/>
              <w:rPr>
                <w:sz w:val="16"/>
                <w:szCs w:val="16"/>
              </w:rPr>
            </w:pPr>
            <w:r>
              <w:rPr>
                <w:sz w:val="16"/>
                <w:szCs w:val="16"/>
              </w:rPr>
              <w:t xml:space="preserve">(State or </w:t>
            </w:r>
            <w:proofErr w:type="gramStart"/>
            <w:r>
              <w:rPr>
                <w:sz w:val="16"/>
                <w:szCs w:val="16"/>
              </w:rPr>
              <w:t>Other</w:t>
            </w:r>
            <w:proofErr w:type="gramEnd"/>
            <w:r>
              <w:rPr>
                <w:sz w:val="16"/>
                <w:szCs w:val="16"/>
              </w:rPr>
              <w:t xml:space="preserve"> Jurisdiction</w:t>
            </w:r>
          </w:p>
        </w:tc>
        <w:tc>
          <w:tcPr>
            <w:tcW w:w="3600" w:type="dxa"/>
            <w:hideMark/>
          </w:tcPr>
          <w:p w:rsidR="00000000" w:rsidRDefault="008B4DBF">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000000" w:rsidRDefault="008B4DBF">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3600" w:type="dxa"/>
            <w:hideMark/>
          </w:tcPr>
          <w:p w:rsidR="00000000" w:rsidRDefault="008B4DBF">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000000" w:rsidRDefault="008B4DBF">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000000" w:rsidRDefault="008B4DBF">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8B4DBF">
      <w:pPr>
        <w:pStyle w:val="NormalWeb"/>
        <w:spacing w:before="0" w:beforeAutospacing="0" w:after="0" w:afterAutospacing="0"/>
        <w:jc w:val="center"/>
      </w:pPr>
    </w:p>
    <w:p w:rsidR="00000000" w:rsidRDefault="008B4DBF">
      <w:pPr>
        <w:pStyle w:val="NormalWeb"/>
        <w:spacing w:before="0" w:beforeAutospacing="0" w:after="0" w:afterAutospacing="0"/>
        <w:jc w:val="center"/>
      </w:pPr>
      <w:r>
        <w:rPr>
          <w:b/>
          <w:bCs/>
        </w:rPr>
        <w:t xml:space="preserve">C/O Crossfield, Inc., 653 VT Route 12A, PO Box 189, Randolph, VT 05060 </w:t>
      </w:r>
    </w:p>
    <w:p w:rsidR="00000000" w:rsidRDefault="008B4DBF">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8B4DBF">
      <w:pPr>
        <w:pStyle w:val="NormalWeb"/>
        <w:spacing w:before="0" w:beforeAutospacing="0" w:after="0" w:afterAutospacing="0"/>
        <w:jc w:val="center"/>
      </w:pPr>
    </w:p>
    <w:p w:rsidR="00000000" w:rsidRDefault="008B4DBF">
      <w:pPr>
        <w:pStyle w:val="NormalWeb"/>
        <w:spacing w:before="0" w:beforeAutospacing="0" w:after="0" w:afterAutospacing="0"/>
        <w:jc w:val="center"/>
      </w:pPr>
      <w:r>
        <w:rPr>
          <w:b/>
          <w:bCs/>
        </w:rPr>
        <w:t>(212) 727-7085</w:t>
      </w:r>
    </w:p>
    <w:p w:rsidR="00000000" w:rsidRDefault="008B4DBF">
      <w:pPr>
        <w:pStyle w:val="NormalWeb"/>
        <w:spacing w:before="0" w:beforeAutospacing="0" w:after="0" w:afterAutospacing="0" w:line="200" w:lineRule="atLeast"/>
        <w:jc w:val="center"/>
        <w:rPr>
          <w:sz w:val="16"/>
          <w:szCs w:val="16"/>
        </w:rPr>
      </w:pPr>
      <w:r>
        <w:rPr>
          <w:sz w:val="16"/>
          <w:szCs w:val="16"/>
        </w:rPr>
        <w:t> (Registrant’s telephone number, including</w:t>
      </w:r>
      <w:r>
        <w:rPr>
          <w:sz w:val="16"/>
          <w:szCs w:val="16"/>
        </w:rPr>
        <w:t xml:space="preserve"> area code)</w:t>
      </w:r>
    </w:p>
    <w:p w:rsidR="00000000" w:rsidRDefault="008B4DBF">
      <w:pPr>
        <w:pStyle w:val="NormalWeb"/>
        <w:jc w:val="center"/>
        <w:divId w:val="920405673"/>
      </w:pPr>
      <w:r>
        <w:rPr>
          <w:sz w:val="20"/>
          <w:szCs w:val="20"/>
        </w:rPr>
        <w:t>Securities registered under Section 12(g) of the Exchange Act: Common Stock, par value $.01per share</w:t>
      </w:r>
    </w:p>
    <w:p w:rsidR="00000000" w:rsidRDefault="008B4DBF">
      <w:pPr>
        <w:pStyle w:val="NormalWeb"/>
        <w:jc w:val="center"/>
        <w:divId w:val="546797425"/>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510"/>
        <w:gridCol w:w="4683"/>
        <w:gridCol w:w="510"/>
      </w:tblGrid>
      <w:tr w:rsidR="00000000">
        <w:trPr>
          <w:divId w:val="920405673"/>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000000" w:rsidRDefault="008B4DBF">
            <w:pPr>
              <w:pStyle w:val="NormalWeb"/>
            </w:pPr>
            <w:r>
              <w:rPr>
                <w:sz w:val="20"/>
                <w:szCs w:val="20"/>
              </w:rPr>
              <w:t xml:space="preserve">Indicate by check mark if the registrant is a well-known seasoned issuer, as defined in Rule 405 of the Securities Act. Yes </w:t>
            </w:r>
            <w:proofErr w:type="gramStart"/>
            <w:r>
              <w:rPr>
                <w:rFonts w:ascii="Wingdings" w:hAnsi="Wingdings"/>
                <w:b/>
                <w:bCs/>
                <w:sz w:val="20"/>
                <w:szCs w:val="20"/>
              </w:rPr>
              <w:t></w:t>
            </w:r>
            <w:r>
              <w:rPr>
                <w:sz w:val="20"/>
                <w:szCs w:val="20"/>
              </w:rPr>
              <w:t>  No</w:t>
            </w:r>
            <w:proofErr w:type="gramEnd"/>
            <w:r>
              <w:rPr>
                <w:sz w:val="20"/>
                <w:szCs w:val="20"/>
              </w:rPr>
              <w:t xml:space="preserve"> </w:t>
            </w:r>
            <w:r>
              <w:rPr>
                <w:rFonts w:ascii="Wingdings" w:hAnsi="Wingdings"/>
                <w:b/>
                <w:bCs/>
                <w:sz w:val="20"/>
                <w:szCs w:val="20"/>
              </w:rPr>
              <w:t></w:t>
            </w:r>
            <w:r>
              <w:rPr>
                <w:sz w:val="20"/>
                <w:szCs w:val="20"/>
              </w:rPr>
              <w:t> </w:t>
            </w:r>
            <w:r>
              <w:t xml:space="preserve"> </w:t>
            </w:r>
          </w:p>
          <w:p w:rsidR="00000000" w:rsidRDefault="008B4DBF">
            <w:pPr>
              <w:pStyle w:val="NormalWeb"/>
            </w:pPr>
            <w:r>
              <w:rPr>
                <w:sz w:val="20"/>
                <w:szCs w:val="20"/>
              </w:rPr>
              <w:t>Indicat</w:t>
            </w:r>
            <w:r>
              <w:rPr>
                <w:sz w:val="20"/>
                <w:szCs w:val="20"/>
              </w:rPr>
              <w:t xml:space="preserve">e by check mark if the registrant is not required to file reports pursuant to section 13 or Section 15(d) of the Act. Yes </w:t>
            </w:r>
            <w:proofErr w:type="gramStart"/>
            <w:r>
              <w:rPr>
                <w:rFonts w:ascii="Wingdings" w:hAnsi="Wingdings"/>
                <w:b/>
                <w:bCs/>
                <w:sz w:val="20"/>
                <w:szCs w:val="20"/>
              </w:rPr>
              <w:t></w:t>
            </w:r>
            <w:r>
              <w:rPr>
                <w:sz w:val="20"/>
                <w:szCs w:val="20"/>
              </w:rPr>
              <w:t>  No</w:t>
            </w:r>
            <w:proofErr w:type="gramEnd"/>
            <w:r>
              <w:rPr>
                <w:sz w:val="20"/>
                <w:szCs w:val="20"/>
              </w:rPr>
              <w:t> </w:t>
            </w:r>
            <w:r>
              <w:rPr>
                <w:rFonts w:ascii="Wingdings" w:hAnsi="Wingdings"/>
                <w:b/>
                <w:bCs/>
                <w:sz w:val="20"/>
                <w:szCs w:val="20"/>
              </w:rPr>
              <w:t></w:t>
            </w:r>
          </w:p>
          <w:p w:rsidR="00000000" w:rsidRDefault="008B4DBF">
            <w:pPr>
              <w:pStyle w:val="NormalWeb"/>
            </w:pPr>
            <w:r>
              <w:rPr>
                <w:sz w:val="20"/>
                <w:szCs w:val="20"/>
              </w:rPr>
              <w:t>Indicate by check whether the registrant: (1) has filed all reports required to be filed by Section 13 or 15(d) of the Securit</w:t>
            </w:r>
            <w:r>
              <w:rPr>
                <w:sz w:val="20"/>
                <w:szCs w:val="20"/>
              </w:rPr>
              <w:t xml:space="preserve">ies Exchange Act of 1934 during the preceding 12 months (or for such shorter period that the registrant was required to file such reports), and (2) has been subject to such filing requirements for the past 90 days.     Yes </w:t>
            </w:r>
            <w:proofErr w:type="gramStart"/>
            <w:r>
              <w:rPr>
                <w:rFonts w:ascii="Wingdings" w:hAnsi="Wingdings"/>
                <w:b/>
                <w:bCs/>
                <w:sz w:val="20"/>
                <w:szCs w:val="20"/>
              </w:rPr>
              <w:t></w:t>
            </w:r>
            <w:r>
              <w:rPr>
                <w:sz w:val="20"/>
                <w:szCs w:val="20"/>
              </w:rPr>
              <w:t>  No</w:t>
            </w:r>
            <w:proofErr w:type="gramEnd"/>
            <w:r>
              <w:rPr>
                <w:sz w:val="20"/>
                <w:szCs w:val="20"/>
              </w:rPr>
              <w:t> </w:t>
            </w:r>
            <w:r>
              <w:rPr>
                <w:rFonts w:ascii="Wingdings" w:hAnsi="Wingdings"/>
                <w:b/>
                <w:bCs/>
                <w:sz w:val="20"/>
                <w:szCs w:val="20"/>
              </w:rPr>
              <w:t></w:t>
            </w:r>
          </w:p>
          <w:p w:rsidR="00000000" w:rsidRDefault="008B4DBF">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w:t>
            </w:r>
            <w:r>
              <w:rPr>
                <w:sz w:val="20"/>
                <w:szCs w:val="20"/>
              </w:rPr>
              <w:lastRenderedPageBreak/>
              <w:t>this chapter) duri</w:t>
            </w:r>
            <w:r>
              <w:rPr>
                <w:sz w:val="20"/>
                <w:szCs w:val="20"/>
              </w:rPr>
              <w:t xml:space="preserve">ng the preceding 12 months (or for such shorter period that the registrant was required to submit and post such files). Yes </w:t>
            </w:r>
            <w:proofErr w:type="gramStart"/>
            <w:r>
              <w:rPr>
                <w:rFonts w:ascii="Wingdings" w:hAnsi="Wingdings"/>
                <w:b/>
                <w:bCs/>
                <w:sz w:val="20"/>
                <w:szCs w:val="20"/>
              </w:rPr>
              <w:t></w:t>
            </w:r>
            <w:r>
              <w:rPr>
                <w:sz w:val="20"/>
                <w:szCs w:val="20"/>
              </w:rPr>
              <w:t>  No</w:t>
            </w:r>
            <w:proofErr w:type="gramEnd"/>
            <w:r>
              <w:rPr>
                <w:sz w:val="20"/>
                <w:szCs w:val="20"/>
              </w:rPr>
              <w:t> </w:t>
            </w:r>
            <w:r>
              <w:rPr>
                <w:rFonts w:ascii="Wingdings" w:hAnsi="Wingdings"/>
                <w:b/>
                <w:bCs/>
                <w:sz w:val="20"/>
                <w:szCs w:val="20"/>
              </w:rPr>
              <w:t></w:t>
            </w:r>
          </w:p>
          <w:p w:rsidR="00000000" w:rsidRDefault="008B4DBF">
            <w:pPr>
              <w:pStyle w:val="NormalWeb"/>
            </w:pPr>
            <w:r>
              <w:rPr>
                <w:sz w:val="20"/>
                <w:szCs w:val="20"/>
              </w:rPr>
              <w:t>Indicate by check mark if disclosure of delinquent filers in response to Item 405 of Regulation S-</w:t>
            </w:r>
            <w:proofErr w:type="gramStart"/>
            <w:r>
              <w:rPr>
                <w:sz w:val="20"/>
                <w:szCs w:val="20"/>
              </w:rPr>
              <w:t>K(</w:t>
            </w:r>
            <w:proofErr w:type="gramEnd"/>
            <w:r>
              <w:rPr>
                <w:sz w:val="20"/>
                <w:szCs w:val="20"/>
              </w:rPr>
              <w:t>§ 229.405 of this chapte</w:t>
            </w:r>
            <w:r>
              <w:rPr>
                <w:sz w:val="20"/>
                <w:szCs w:val="20"/>
              </w:rPr>
              <w:t xml:space="preserve">r) is not contained herein, and will not be contained, to the best of registrant's knowledge, in definitive proxy or information statements incorporated by reference in Part III of this Form 10-K or any amendment to this Form 10-K. Yes </w:t>
            </w:r>
            <w:proofErr w:type="gramStart"/>
            <w:r>
              <w:rPr>
                <w:rFonts w:ascii="Wingdings" w:hAnsi="Wingdings"/>
                <w:b/>
                <w:bCs/>
                <w:sz w:val="20"/>
                <w:szCs w:val="20"/>
              </w:rPr>
              <w:t></w:t>
            </w:r>
            <w:r>
              <w:rPr>
                <w:sz w:val="20"/>
                <w:szCs w:val="20"/>
              </w:rPr>
              <w:t>  No</w:t>
            </w:r>
            <w:proofErr w:type="gramEnd"/>
            <w:r>
              <w:rPr>
                <w:sz w:val="20"/>
                <w:szCs w:val="20"/>
              </w:rPr>
              <w:t> </w:t>
            </w:r>
            <w:r>
              <w:rPr>
                <w:rFonts w:ascii="Wingdings" w:hAnsi="Wingdings"/>
                <w:b/>
                <w:bCs/>
                <w:sz w:val="20"/>
                <w:szCs w:val="20"/>
              </w:rPr>
              <w:t></w:t>
            </w:r>
          </w:p>
          <w:p w:rsidR="00000000" w:rsidRDefault="008B4DBF">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w:t>
            </w:r>
            <w:r>
              <w:rPr>
                <w:sz w:val="20"/>
                <w:szCs w:val="20"/>
              </w:rPr>
              <w:t>ny" in Rule 12b-2 of the Exchange Act.</w:t>
            </w:r>
          </w:p>
        </w:tc>
      </w:tr>
      <w:tr w:rsidR="00000000">
        <w:trPr>
          <w:divId w:val="92040567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rPr>
                <w:rFonts w:eastAsia="Times New Roman"/>
              </w:rPr>
            </w:pPr>
            <w:r>
              <w:rPr>
                <w:rFonts w:ascii="Wingdings" w:eastAsia="Times New Roman" w:hAnsi="Wingdings"/>
                <w:b/>
                <w:bCs/>
                <w:sz w:val="20"/>
                <w:szCs w:val="20"/>
              </w:rPr>
              <w:t></w:t>
            </w:r>
          </w:p>
        </w:tc>
      </w:tr>
      <w:tr w:rsidR="00000000">
        <w:trPr>
          <w:divId w:val="92040567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proofErr w:type="gramStart"/>
            <w:r>
              <w:rPr>
                <w:sz w:val="20"/>
                <w:szCs w:val="20"/>
              </w:rPr>
              <w:t>Non Accelerated</w:t>
            </w:r>
            <w:proofErr w:type="gramEnd"/>
            <w:r>
              <w:rPr>
                <w:sz w:val="20"/>
                <w:szCs w:val="20"/>
              </w:rPr>
              <w:t xml:space="preserve">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B4DBF">
            <w:pPr>
              <w:pStyle w:val="NormalWeb"/>
            </w:pPr>
            <w:r>
              <w:rPr>
                <w:rFonts w:ascii="Wingdings" w:hAnsi="Wingdings"/>
                <w:b/>
                <w:bCs/>
                <w:sz w:val="20"/>
                <w:szCs w:val="20"/>
              </w:rPr>
              <w:t></w:t>
            </w:r>
          </w:p>
        </w:tc>
      </w:tr>
      <w:tr w:rsidR="00000000">
        <w:trPr>
          <w:divId w:val="920405673"/>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8B4DBF">
            <w:pPr>
              <w:rPr>
                <w:rFonts w:eastAsia="Times New Roman"/>
              </w:rPr>
            </w:pPr>
          </w:p>
          <w:p w:rsidR="00000000" w:rsidRDefault="008B4DBF">
            <w:pPr>
              <w:pStyle w:val="NormalWeb"/>
            </w:pPr>
            <w:r>
              <w:rPr>
                <w:sz w:val="20"/>
                <w:szCs w:val="20"/>
              </w:rPr>
              <w:t>Emerging Growth Company     </w:t>
            </w:r>
            <w:r>
              <w:rPr>
                <w:rFonts w:ascii="Wingdings" w:hAnsi="Wingdings"/>
                <w:sz w:val="20"/>
                <w:szCs w:val="20"/>
              </w:rPr>
              <w:t></w:t>
            </w:r>
          </w:p>
          <w:p w:rsidR="00000000" w:rsidRDefault="008B4DBF">
            <w:pPr>
              <w:pStyle w:val="NormalWeb"/>
              <w:spacing w:before="0" w:beforeAutospacing="0" w:after="0" w:afterAutospacing="0"/>
            </w:pPr>
            <w:r>
              <w:rPr>
                <w:sz w:val="20"/>
                <w:szCs w:val="20"/>
              </w:rPr>
              <w:t>If an emerging growth company, indicate by check mark if the registrant has elect</w:t>
            </w:r>
            <w:r>
              <w:rPr>
                <w:sz w:val="20"/>
                <w:szCs w:val="20"/>
              </w:rPr>
              <w:t>ed not to use the extended transition period for complying with any new or revised financial accounting standards provided pursuant to Section 13(a) of the Exchange Act.     </w:t>
            </w:r>
            <w:r>
              <w:rPr>
                <w:rFonts w:ascii="Wingdings" w:hAnsi="Wingdings"/>
                <w:sz w:val="20"/>
                <w:szCs w:val="20"/>
              </w:rPr>
              <w:t></w:t>
            </w:r>
            <w:r>
              <w:rPr>
                <w:rFonts w:ascii="Wingdings" w:hAnsi="Wingdings"/>
                <w:sz w:val="20"/>
                <w:szCs w:val="20"/>
              </w:rPr>
              <w:t></w:t>
            </w:r>
          </w:p>
          <w:p w:rsidR="00000000" w:rsidRDefault="008B4DBF">
            <w:pPr>
              <w:rPr>
                <w:rFonts w:eastAsia="Times New Roman"/>
              </w:rPr>
            </w:pPr>
          </w:p>
          <w:p w:rsidR="00000000" w:rsidRDefault="008B4DBF">
            <w:pPr>
              <w:pStyle w:val="NormalWeb"/>
              <w:spacing w:before="0" w:beforeAutospacing="0" w:after="0" w:afterAutospacing="0"/>
            </w:pPr>
            <w:r>
              <w:rPr>
                <w:sz w:val="20"/>
                <w:szCs w:val="20"/>
              </w:rPr>
              <w:t xml:space="preserve">Indicate by check mark whether the registrant is a shell company (as defined in Rule 12b-2 of the Exchange Act. Check one: Yes </w:t>
            </w:r>
            <w:proofErr w:type="gramStart"/>
            <w:r>
              <w:rPr>
                <w:rFonts w:ascii="Wingdings" w:hAnsi="Wingdings"/>
                <w:b/>
                <w:bCs/>
                <w:sz w:val="20"/>
                <w:szCs w:val="20"/>
              </w:rPr>
              <w:t></w:t>
            </w:r>
            <w:r>
              <w:rPr>
                <w:sz w:val="20"/>
                <w:szCs w:val="20"/>
              </w:rPr>
              <w:t>  No</w:t>
            </w:r>
            <w:proofErr w:type="gramEnd"/>
            <w:r>
              <w:rPr>
                <w:sz w:val="20"/>
                <w:szCs w:val="20"/>
              </w:rPr>
              <w:t> </w:t>
            </w:r>
            <w:r>
              <w:rPr>
                <w:rFonts w:ascii="Wingdings" w:hAnsi="Wingdings"/>
                <w:b/>
                <w:bCs/>
                <w:sz w:val="20"/>
                <w:szCs w:val="20"/>
              </w:rPr>
              <w:t></w:t>
            </w:r>
          </w:p>
          <w:p w:rsidR="00000000" w:rsidRDefault="008B4DBF">
            <w:pPr>
              <w:pStyle w:val="NormalWeb"/>
            </w:pPr>
            <w:r>
              <w:rPr>
                <w:sz w:val="20"/>
                <w:szCs w:val="20"/>
              </w:rPr>
              <w:t>Indicate the number of shares outstanding of each of the issuer's classes of common stock, as of the last practicable dat</w:t>
            </w:r>
            <w:r>
              <w:rPr>
                <w:sz w:val="20"/>
                <w:szCs w:val="20"/>
              </w:rPr>
              <w:t>e: As of May 8, 2018, there were 2,292,945 issued and outstanding shares of the registrant's Common Stock, $.01 par value.</w:t>
            </w:r>
          </w:p>
          <w:p w:rsidR="00000000" w:rsidRDefault="008B4DBF">
            <w:pPr>
              <w:pStyle w:val="NormalWeb"/>
            </w:pPr>
            <w:r>
              <w:rPr>
                <w:sz w:val="20"/>
                <w:szCs w:val="20"/>
              </w:rPr>
              <w:t>Documents incorporated by reference: None.</w:t>
            </w:r>
          </w:p>
        </w:tc>
      </w:tr>
    </w:tbl>
    <w:p w:rsidR="00000000" w:rsidRDefault="008B4DBF">
      <w:pPr>
        <w:rPr>
          <w:rFonts w:eastAsia="Times New Roman"/>
        </w:rPr>
      </w:pPr>
      <w:r>
        <w:rPr>
          <w:rFonts w:eastAsia="Times New Roman"/>
        </w:rPr>
        <w:pict>
          <v:rect id="_x0000_i1027" style="width:0;height:.5pt" o:hralign="center" o:hrstd="t" o:hrnoshade="t" o:hr="t" fillcolor="black" stroked="f"/>
        </w:pict>
      </w:r>
    </w:p>
    <w:p w:rsidR="00F10712" w:rsidRDefault="008B4DBF">
      <w:pPr>
        <w:rPr>
          <w:rFonts w:eastAsia="Times New Roman"/>
        </w:rPr>
      </w:pPr>
      <w:r>
        <w:rPr>
          <w:rFonts w:eastAsia="Times New Roman"/>
        </w:rPr>
        <w:pict>
          <v:rect id="_x0000_i1028" style="width:0;height:2pt" o:hralign="center" o:hrstd="t" o:hrnoshade="t" o:hr="t" fillcolor="black" stroked="f"/>
        </w:pict>
      </w:r>
    </w:p>
    <w:p w:rsidR="00F10712" w:rsidRDefault="00F10712">
      <w:pPr>
        <w:rPr>
          <w:rFonts w:eastAsia="Times New Roman"/>
        </w:rPr>
      </w:pPr>
      <w:r>
        <w:rPr>
          <w:rFonts w:eastAsia="Times New Roman"/>
        </w:rPr>
        <w:br w:type="page"/>
      </w:r>
    </w:p>
    <w:p w:rsidR="00000000" w:rsidRDefault="008B4DBF">
      <w:pPr>
        <w:rPr>
          <w:rFonts w:eastAsia="Times New Roman"/>
        </w:rPr>
      </w:pPr>
    </w:p>
    <w:p w:rsidR="00000000" w:rsidRDefault="008B4DBF">
      <w:pPr>
        <w:pStyle w:val="NormalWeb"/>
        <w:jc w:val="center"/>
      </w:pPr>
      <w:r>
        <w:rPr>
          <w:b/>
          <w:bCs/>
        </w:rPr>
        <w:t>ADVANCED OXYGEN TECHNOLOGIES, INC.</w:t>
      </w:r>
    </w:p>
    <w:p w:rsidR="00000000" w:rsidRDefault="008B4DBF">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firstRow="1" w:lastRow="0" w:firstColumn="1" w:lastColumn="0" w:noHBand="0" w:noVBand="1"/>
      </w:tblPr>
      <w:tblGrid>
        <w:gridCol w:w="152"/>
        <w:gridCol w:w="152"/>
        <w:gridCol w:w="8124"/>
        <w:gridCol w:w="542"/>
        <w:gridCol w:w="750"/>
      </w:tblGrid>
      <w:tr w:rsidR="00000000">
        <w:trPr>
          <w:tblCellSpacing w:w="0" w:type="dxa"/>
          <w:jc w:val="center"/>
        </w:trPr>
        <w:tc>
          <w:tcPr>
            <w:tcW w:w="100" w:type="pct"/>
            <w:shd w:val="clear" w:color="auto" w:fill="CCEEFF"/>
            <w:vAlign w:val="center"/>
            <w:hideMark/>
          </w:tcPr>
          <w:p w:rsidR="00000000" w:rsidRDefault="008B4DBF"/>
        </w:tc>
        <w:tc>
          <w:tcPr>
            <w:tcW w:w="100" w:type="pct"/>
            <w:shd w:val="clear" w:color="auto" w:fill="CCEEFF"/>
            <w:vAlign w:val="center"/>
            <w:hideMark/>
          </w:tcPr>
          <w:p w:rsidR="00000000" w:rsidRDefault="008B4DBF">
            <w:pPr>
              <w:rPr>
                <w:rFonts w:eastAsia="Times New Roman"/>
                <w:sz w:val="20"/>
                <w:szCs w:val="20"/>
              </w:rPr>
            </w:pPr>
          </w:p>
        </w:tc>
        <w:tc>
          <w:tcPr>
            <w:tcW w:w="0" w:type="auto"/>
            <w:gridSpan w:val="3"/>
            <w:shd w:val="clear" w:color="auto" w:fill="CCEEFF"/>
            <w:vAlign w:val="center"/>
            <w:hideMark/>
          </w:tcPr>
          <w:p w:rsidR="00000000" w:rsidRDefault="008B4DBF">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8B4DBF">
            <w:pPr>
              <w:rPr>
                <w:rFonts w:eastAsia="Times New Roman"/>
              </w:rPr>
            </w:pPr>
          </w:p>
        </w:tc>
        <w:tc>
          <w:tcPr>
            <w:tcW w:w="300" w:type="pct"/>
            <w:shd w:val="clear" w:color="auto" w:fill="FFFFFF"/>
            <w:vAlign w:val="center"/>
            <w:hideMark/>
          </w:tcPr>
          <w:p w:rsidR="00000000" w:rsidRDefault="008B4DBF">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8B4DBF">
            <w:pPr>
              <w:rPr>
                <w:rFonts w:eastAsia="Times New Roman"/>
                <w:sz w:val="20"/>
                <w:szCs w:val="20"/>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 xml:space="preserve">Item I: Financial Statements (unaudited) </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shd w:val="clear" w:color="auto" w:fill="FFFFFF"/>
            <w:vAlign w:val="center"/>
            <w:hideMark/>
          </w:tcPr>
          <w:p w:rsidR="00000000" w:rsidRDefault="008B4DBF">
            <w:pPr>
              <w:rPr>
                <w:rFonts w:eastAsia="Times New Roman"/>
                <w:sz w:val="20"/>
                <w:szCs w:val="20"/>
              </w:rPr>
            </w:pPr>
          </w:p>
        </w:tc>
        <w:tc>
          <w:tcPr>
            <w:tcW w:w="0" w:type="auto"/>
            <w:shd w:val="clear" w:color="auto" w:fill="FFFFFF"/>
            <w:vAlign w:val="center"/>
            <w:hideMark/>
          </w:tcPr>
          <w:p w:rsidR="00000000" w:rsidRDefault="008B4DBF">
            <w:pPr>
              <w:rPr>
                <w:rFonts w:eastAsia="Times New Roman"/>
              </w:rPr>
            </w:pPr>
            <w:r>
              <w:rPr>
                <w:rFonts w:eastAsia="Times New Roman"/>
                <w:sz w:val="20"/>
                <w:szCs w:val="20"/>
              </w:rPr>
              <w:t>Condensed Consolidated Balance Sheet as of March 31, 2018 (unaudited) and June 30, 2017</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shd w:val="clear" w:color="auto" w:fill="CCEEFF"/>
            <w:vAlign w:val="center"/>
            <w:hideMark/>
          </w:tcPr>
          <w:p w:rsidR="00000000" w:rsidRDefault="008B4DBF">
            <w:pPr>
              <w:rPr>
                <w:rFonts w:eastAsia="Times New Roman"/>
                <w:sz w:val="20"/>
                <w:szCs w:val="20"/>
              </w:rPr>
            </w:pPr>
          </w:p>
        </w:tc>
        <w:tc>
          <w:tcPr>
            <w:tcW w:w="0" w:type="auto"/>
            <w:shd w:val="clear" w:color="auto" w:fill="CCEEFF"/>
            <w:vAlign w:val="center"/>
            <w:hideMark/>
          </w:tcPr>
          <w:p w:rsidR="00000000" w:rsidRDefault="008B4DBF">
            <w:pPr>
              <w:rPr>
                <w:rFonts w:eastAsia="Times New Roman"/>
              </w:rPr>
            </w:pPr>
            <w:r>
              <w:rPr>
                <w:rFonts w:eastAsia="Times New Roman"/>
                <w:sz w:val="20"/>
                <w:szCs w:val="20"/>
              </w:rPr>
              <w:t>Condensed Consolidated Statement of Operations and Other Comprehensive Income (Loss) for the three months and nine months ended March 31, 2018 and March 31, 2017 (unaudited)</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shd w:val="clear" w:color="auto" w:fill="FFFFFF"/>
            <w:vAlign w:val="center"/>
            <w:hideMark/>
          </w:tcPr>
          <w:p w:rsidR="00000000" w:rsidRDefault="008B4DBF">
            <w:pPr>
              <w:rPr>
                <w:rFonts w:eastAsia="Times New Roman"/>
                <w:sz w:val="20"/>
                <w:szCs w:val="20"/>
              </w:rPr>
            </w:pPr>
          </w:p>
        </w:tc>
        <w:tc>
          <w:tcPr>
            <w:tcW w:w="0" w:type="auto"/>
            <w:shd w:val="clear" w:color="auto" w:fill="FFFFFF"/>
            <w:vAlign w:val="center"/>
            <w:hideMark/>
          </w:tcPr>
          <w:p w:rsidR="00000000" w:rsidRDefault="008B4DBF">
            <w:pPr>
              <w:rPr>
                <w:rFonts w:eastAsia="Times New Roman"/>
              </w:rPr>
            </w:pPr>
            <w:r>
              <w:rPr>
                <w:rFonts w:eastAsia="Times New Roman"/>
                <w:sz w:val="20"/>
                <w:szCs w:val="20"/>
              </w:rPr>
              <w:t>Condensed Consolidated Statement of Cash Flow for the nine months ended Marc</w:t>
            </w:r>
            <w:r>
              <w:rPr>
                <w:rFonts w:eastAsia="Times New Roman"/>
                <w:sz w:val="20"/>
                <w:szCs w:val="20"/>
              </w:rPr>
              <w:t>h 31, 2018 and March 31, 2017 (unaudited)</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shd w:val="clear" w:color="auto" w:fill="CCEEFF"/>
            <w:vAlign w:val="center"/>
            <w:hideMark/>
          </w:tcPr>
          <w:p w:rsidR="00000000" w:rsidRDefault="008B4DBF">
            <w:pPr>
              <w:rPr>
                <w:rFonts w:eastAsia="Times New Roman"/>
                <w:sz w:val="20"/>
                <w:szCs w:val="20"/>
              </w:rPr>
            </w:pPr>
          </w:p>
        </w:tc>
        <w:tc>
          <w:tcPr>
            <w:tcW w:w="0" w:type="auto"/>
            <w:shd w:val="clear" w:color="auto" w:fill="CCEEFF"/>
            <w:vAlign w:val="center"/>
            <w:hideMark/>
          </w:tcPr>
          <w:p w:rsidR="00000000" w:rsidRDefault="008B4DBF">
            <w:pPr>
              <w:rPr>
                <w:rFonts w:eastAsia="Times New Roman"/>
              </w:rPr>
            </w:pPr>
            <w:r>
              <w:rPr>
                <w:rFonts w:eastAsia="Times New Roman"/>
                <w:sz w:val="20"/>
                <w:szCs w:val="20"/>
              </w:rPr>
              <w:t>Notes to the Condensed Consolidated Financial Statements</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shd w:val="clear" w:color="auto" w:fill="FFFFFF"/>
            <w:vAlign w:val="center"/>
            <w:hideMark/>
          </w:tcPr>
          <w:p w:rsidR="00000000" w:rsidRDefault="008B4DBF">
            <w:pPr>
              <w:rPr>
                <w:rFonts w:eastAsia="Times New Roman"/>
                <w:sz w:val="20"/>
                <w:szCs w:val="20"/>
              </w:rPr>
            </w:pPr>
          </w:p>
        </w:tc>
        <w:tc>
          <w:tcPr>
            <w:tcW w:w="0" w:type="auto"/>
            <w:shd w:val="clear" w:color="auto" w:fill="FFFFFF"/>
            <w:vAlign w:val="center"/>
            <w:hideMark/>
          </w:tcPr>
          <w:p w:rsidR="00000000" w:rsidRDefault="008B4DBF">
            <w:pPr>
              <w:jc w:val="right"/>
              <w:rPr>
                <w:rFonts w:eastAsia="Times New Roman"/>
                <w:sz w:val="20"/>
                <w:szCs w:val="20"/>
              </w:rPr>
            </w:pPr>
          </w:p>
        </w:tc>
        <w:tc>
          <w:tcPr>
            <w:tcW w:w="0" w:type="auto"/>
            <w:shd w:val="clear" w:color="auto" w:fill="FFFFFF"/>
            <w:vAlign w:val="center"/>
            <w:hideMark/>
          </w:tcPr>
          <w:p w:rsidR="00000000" w:rsidRDefault="008B4DBF">
            <w:pPr>
              <w:rPr>
                <w:rFonts w:eastAsia="Times New Roman"/>
                <w:sz w:val="20"/>
                <w:szCs w:val="20"/>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gridSpan w:val="2"/>
            <w:shd w:val="clear" w:color="auto" w:fill="FFFFFF"/>
            <w:vAlign w:val="center"/>
            <w:hideMark/>
          </w:tcPr>
          <w:p w:rsidR="00000000" w:rsidRDefault="008B4DBF">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Item 4: Controls and Procedures</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8B4DBF">
            <w:pPr>
              <w:rPr>
                <w:rFonts w:eastAsia="Times New Roman"/>
                <w:sz w:val="20"/>
                <w:szCs w:val="20"/>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 xml:space="preserve">Item 1: Legal Proceedings </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gridSpan w:val="2"/>
            <w:shd w:val="clear" w:color="auto" w:fill="FFFFFF"/>
            <w:vAlign w:val="center"/>
            <w:hideMark/>
          </w:tcPr>
          <w:p w:rsidR="00000000" w:rsidRDefault="008B4DBF">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 xml:space="preserve">Item 3: </w:t>
            </w:r>
            <w:r>
              <w:rPr>
                <w:rFonts w:eastAsia="Times New Roman"/>
                <w:sz w:val="20"/>
                <w:szCs w:val="20"/>
              </w:rPr>
              <w:t>Defaults Upon Senior Securities</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gridSpan w:val="2"/>
            <w:shd w:val="clear" w:color="auto" w:fill="FFFFFF"/>
            <w:vAlign w:val="center"/>
            <w:hideMark/>
          </w:tcPr>
          <w:p w:rsidR="00000000" w:rsidRDefault="008B4DBF">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8B4DBF">
            <w:pPr>
              <w:jc w:val="right"/>
              <w:rPr>
                <w:rFonts w:eastAsia="Times New Roman"/>
              </w:rPr>
            </w:pPr>
          </w:p>
        </w:tc>
        <w:tc>
          <w:tcPr>
            <w:tcW w:w="0" w:type="auto"/>
            <w:gridSpan w:val="2"/>
            <w:shd w:val="clear" w:color="auto" w:fill="CCEEFF"/>
            <w:vAlign w:val="center"/>
            <w:hideMark/>
          </w:tcPr>
          <w:p w:rsidR="00000000" w:rsidRDefault="008B4DBF">
            <w:pPr>
              <w:rPr>
                <w:rFonts w:eastAsia="Times New Roman"/>
              </w:rPr>
            </w:pPr>
            <w:r>
              <w:rPr>
                <w:rFonts w:eastAsia="Times New Roman"/>
                <w:sz w:val="20"/>
                <w:szCs w:val="20"/>
              </w:rPr>
              <w:t xml:space="preserve">Item 5: Other Information </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8B4DBF">
            <w:pPr>
              <w:jc w:val="right"/>
              <w:rPr>
                <w:rFonts w:eastAsia="Times New Roman"/>
              </w:rPr>
            </w:pPr>
          </w:p>
        </w:tc>
        <w:tc>
          <w:tcPr>
            <w:tcW w:w="0" w:type="auto"/>
            <w:gridSpan w:val="2"/>
            <w:shd w:val="clear" w:color="auto" w:fill="FFFFFF"/>
            <w:vAlign w:val="center"/>
            <w:hideMark/>
          </w:tcPr>
          <w:p w:rsidR="00000000" w:rsidRDefault="008B4DBF">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EEFF"/>
            <w:vAlign w:val="center"/>
            <w:hideMark/>
          </w:tcPr>
          <w:p w:rsidR="00000000" w:rsidRDefault="008B4DBF">
            <w:pPr>
              <w:rPr>
                <w:rFonts w:eastAsia="Times New Roman"/>
              </w:rPr>
            </w:pPr>
            <w:r>
              <w:rPr>
                <w:rFonts w:eastAsia="Times New Roman"/>
                <w:sz w:val="20"/>
                <w:szCs w:val="20"/>
              </w:rPr>
              <w:t>Signature</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sz w:val="20"/>
                <w:szCs w:val="20"/>
              </w:rPr>
              <w:t>EXHIBIT 31.1, 31.2 Certifications of Officers</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EEFF"/>
            <w:vAlign w:val="center"/>
            <w:hideMark/>
          </w:tcPr>
          <w:p w:rsidR="00000000" w:rsidRDefault="008B4DBF">
            <w:pPr>
              <w:rPr>
                <w:rFonts w:eastAsia="Times New Roman"/>
              </w:rPr>
            </w:pPr>
            <w:r>
              <w:rPr>
                <w:rFonts w:eastAsia="Times New Roman"/>
                <w:sz w:val="20"/>
                <w:szCs w:val="20"/>
              </w:rPr>
              <w:t>EXHIBIT 32.1, 32.2 Certifications of Officers</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EX 32</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sz w:val="20"/>
                <w:szCs w:val="20"/>
              </w:rPr>
              <w:t>EXHIBIT 101.INS XBRL Instance</w:t>
            </w:r>
          </w:p>
        </w:tc>
        <w:tc>
          <w:tcPr>
            <w:tcW w:w="0" w:type="auto"/>
            <w:shd w:val="clear" w:color="auto" w:fill="FFFFFF"/>
            <w:vAlign w:val="center"/>
            <w:hideMark/>
          </w:tcPr>
          <w:p w:rsidR="00000000" w:rsidRDefault="008B4DBF">
            <w:pPr>
              <w:jc w:val="right"/>
              <w:rPr>
                <w:rFonts w:eastAsia="Times New Roman"/>
              </w:rPr>
            </w:pPr>
            <w:r>
              <w:rPr>
                <w:rFonts w:eastAsia="Times New Roman"/>
              </w:rPr>
              <w:t> </w:t>
            </w: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EX 101.INS</w:t>
            </w:r>
          </w:p>
        </w:tc>
      </w:tr>
      <w:tr w:rsidR="00000000">
        <w:trPr>
          <w:tblCellSpacing w:w="0" w:type="dxa"/>
          <w:jc w:val="center"/>
        </w:trPr>
        <w:tc>
          <w:tcPr>
            <w:tcW w:w="0" w:type="auto"/>
            <w:gridSpan w:val="3"/>
            <w:shd w:val="clear" w:color="auto" w:fill="CCEEFF"/>
            <w:vAlign w:val="center"/>
            <w:hideMark/>
          </w:tcPr>
          <w:p w:rsidR="00000000" w:rsidRDefault="008B4DBF">
            <w:pPr>
              <w:rPr>
                <w:rFonts w:eastAsia="Times New Roman"/>
              </w:rPr>
            </w:pPr>
            <w:r>
              <w:rPr>
                <w:rFonts w:eastAsia="Times New Roman"/>
                <w:sz w:val="20"/>
                <w:szCs w:val="20"/>
              </w:rPr>
              <w:t>EXHIBIT 101.SCH XBRL Taxonomy Extension Schema Document</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EX 101.SCH</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sz w:val="20"/>
                <w:szCs w:val="20"/>
              </w:rPr>
              <w:t>EXHIBIT 101.CAL XBRL Taxonomy Extension Calculation Document</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EX 101.CAL</w:t>
            </w:r>
          </w:p>
        </w:tc>
      </w:tr>
      <w:tr w:rsidR="00000000">
        <w:trPr>
          <w:tblCellSpacing w:w="0" w:type="dxa"/>
          <w:jc w:val="center"/>
        </w:trPr>
        <w:tc>
          <w:tcPr>
            <w:tcW w:w="0" w:type="auto"/>
            <w:gridSpan w:val="3"/>
            <w:shd w:val="clear" w:color="auto" w:fill="CCEEFF"/>
            <w:vAlign w:val="center"/>
            <w:hideMark/>
          </w:tcPr>
          <w:p w:rsidR="00000000" w:rsidRDefault="008B4DBF">
            <w:pPr>
              <w:rPr>
                <w:rFonts w:eastAsia="Times New Roman"/>
              </w:rPr>
            </w:pPr>
            <w:r>
              <w:rPr>
                <w:rFonts w:eastAsia="Times New Roman"/>
                <w:sz w:val="20"/>
                <w:szCs w:val="20"/>
              </w:rPr>
              <w:t>EXHIBIT 101.DEF XBRL Taxonomy Extension Definition Document</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EX 101.DEF</w:t>
            </w:r>
          </w:p>
        </w:tc>
      </w:tr>
      <w:tr w:rsidR="00000000">
        <w:trPr>
          <w:tblCellSpacing w:w="0" w:type="dxa"/>
          <w:jc w:val="center"/>
        </w:trPr>
        <w:tc>
          <w:tcPr>
            <w:tcW w:w="0" w:type="auto"/>
            <w:gridSpan w:val="3"/>
            <w:shd w:val="clear" w:color="auto" w:fill="FFFFFF"/>
            <w:vAlign w:val="center"/>
            <w:hideMark/>
          </w:tcPr>
          <w:p w:rsidR="00000000" w:rsidRDefault="008B4DBF">
            <w:pPr>
              <w:rPr>
                <w:rFonts w:eastAsia="Times New Roman"/>
              </w:rPr>
            </w:pPr>
            <w:r>
              <w:rPr>
                <w:rFonts w:eastAsia="Times New Roman"/>
                <w:sz w:val="20"/>
                <w:szCs w:val="20"/>
              </w:rPr>
              <w:t>EXHIBIT 101.LAB XBRL Taxonomy Extension Labels Document</w:t>
            </w:r>
          </w:p>
        </w:tc>
        <w:tc>
          <w:tcPr>
            <w:tcW w:w="0" w:type="auto"/>
            <w:shd w:val="clear" w:color="auto" w:fill="FFFFFF"/>
            <w:vAlign w:val="center"/>
            <w:hideMark/>
          </w:tcPr>
          <w:p w:rsidR="00000000" w:rsidRDefault="008B4DBF">
            <w:pPr>
              <w:rPr>
                <w:rFonts w:eastAsia="Times New Roman"/>
              </w:rPr>
            </w:pPr>
          </w:p>
        </w:tc>
        <w:tc>
          <w:tcPr>
            <w:tcW w:w="0" w:type="auto"/>
            <w:shd w:val="clear" w:color="auto" w:fill="FFFFFF"/>
            <w:vAlign w:val="center"/>
            <w:hideMark/>
          </w:tcPr>
          <w:p w:rsidR="00000000" w:rsidRDefault="008B4DBF">
            <w:pPr>
              <w:jc w:val="right"/>
              <w:rPr>
                <w:rFonts w:eastAsia="Times New Roman"/>
              </w:rPr>
            </w:pPr>
            <w:r>
              <w:rPr>
                <w:rFonts w:eastAsia="Times New Roman"/>
                <w:sz w:val="20"/>
                <w:szCs w:val="20"/>
              </w:rPr>
              <w:t>EX 101.LAB</w:t>
            </w:r>
          </w:p>
        </w:tc>
      </w:tr>
      <w:tr w:rsidR="00000000">
        <w:trPr>
          <w:tblCellSpacing w:w="0" w:type="dxa"/>
          <w:jc w:val="center"/>
        </w:trPr>
        <w:tc>
          <w:tcPr>
            <w:tcW w:w="0" w:type="auto"/>
            <w:gridSpan w:val="3"/>
            <w:shd w:val="clear" w:color="auto" w:fill="CCEEFF"/>
            <w:vAlign w:val="center"/>
            <w:hideMark/>
          </w:tcPr>
          <w:p w:rsidR="00000000" w:rsidRDefault="008B4DBF">
            <w:pPr>
              <w:rPr>
                <w:rFonts w:eastAsia="Times New Roman"/>
              </w:rPr>
            </w:pPr>
            <w:r>
              <w:rPr>
                <w:rFonts w:eastAsia="Times New Roman"/>
                <w:sz w:val="20"/>
                <w:szCs w:val="20"/>
              </w:rPr>
              <w:t>EXHIBIT 101.PRE XBRL Taxonomy Extension Presentation Document</w:t>
            </w:r>
          </w:p>
        </w:tc>
        <w:tc>
          <w:tcPr>
            <w:tcW w:w="0" w:type="auto"/>
            <w:shd w:val="clear" w:color="auto" w:fill="CCEEFF"/>
            <w:vAlign w:val="center"/>
            <w:hideMark/>
          </w:tcPr>
          <w:p w:rsidR="00000000" w:rsidRDefault="008B4DBF">
            <w:pPr>
              <w:rPr>
                <w:rFonts w:eastAsia="Times New Roman"/>
              </w:rPr>
            </w:pPr>
          </w:p>
        </w:tc>
        <w:tc>
          <w:tcPr>
            <w:tcW w:w="0" w:type="auto"/>
            <w:shd w:val="clear" w:color="auto" w:fill="CCEEFF"/>
            <w:vAlign w:val="center"/>
            <w:hideMark/>
          </w:tcPr>
          <w:p w:rsidR="00000000" w:rsidRDefault="008B4DBF">
            <w:pPr>
              <w:jc w:val="right"/>
              <w:rPr>
                <w:rFonts w:eastAsia="Times New Roman"/>
              </w:rPr>
            </w:pPr>
            <w:r>
              <w:rPr>
                <w:rFonts w:eastAsia="Times New Roman"/>
                <w:sz w:val="20"/>
                <w:szCs w:val="20"/>
              </w:rPr>
              <w:t>EX 101.PRE</w:t>
            </w:r>
          </w:p>
        </w:tc>
      </w:tr>
    </w:tbl>
    <w:p w:rsidR="00F10712" w:rsidRDefault="008B4DBF">
      <w:pPr>
        <w:rPr>
          <w:rFonts w:eastAsia="Times New Roman"/>
        </w:rPr>
      </w:pPr>
      <w:r>
        <w:rPr>
          <w:rFonts w:eastAsia="Times New Roman"/>
        </w:rPr>
        <w:pict>
          <v:rect id="_x0000_i1029" style="width:0;height:2pt" o:hralign="center" o:hrstd="t" o:hrnoshade="t" o:hr="t" fillcolor="black" stroked="f"/>
        </w:pict>
      </w:r>
    </w:p>
    <w:p w:rsidR="00F10712" w:rsidRDefault="00F10712">
      <w:pPr>
        <w:rPr>
          <w:rFonts w:eastAsia="Times New Roman"/>
        </w:rPr>
      </w:pPr>
      <w:r>
        <w:rPr>
          <w:rFonts w:eastAsia="Times New Roman"/>
        </w:rPr>
        <w:br w:type="page"/>
      </w:r>
    </w:p>
    <w:p w:rsidR="00000000" w:rsidRDefault="008B4DBF">
      <w:pPr>
        <w:pStyle w:val="NormalWeb"/>
      </w:pPr>
      <w:r>
        <w:rPr>
          <w:b/>
          <w:bCs/>
          <w:sz w:val="20"/>
          <w:szCs w:val="20"/>
        </w:rPr>
        <w:lastRenderedPageBreak/>
        <w:t>PART</w:t>
      </w:r>
      <w:r>
        <w:rPr>
          <w:b/>
          <w:bCs/>
          <w:sz w:val="20"/>
          <w:szCs w:val="20"/>
        </w:rPr>
        <w:t xml:space="preserve"> 1: FINANCIAL INFORMATION </w:t>
      </w:r>
    </w:p>
    <w:p w:rsidR="00000000" w:rsidRDefault="008B4DBF">
      <w:pPr>
        <w:divId w:val="1009874571"/>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Condensed Consolidated Financial Statements for the nine months ending March 31, 2018 (unaudited).</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5985"/>
        <w:gridCol w:w="143"/>
        <w:gridCol w:w="2173"/>
        <w:gridCol w:w="985"/>
        <w:gridCol w:w="143"/>
        <w:gridCol w:w="143"/>
        <w:gridCol w:w="100"/>
        <w:gridCol w:w="985"/>
        <w:gridCol w:w="143"/>
      </w:tblGrid>
      <w:tr w:rsidR="00000000">
        <w:trPr>
          <w:divId w:val="1009874571"/>
          <w:tblCellSpacing w:w="0" w:type="dxa"/>
        </w:trPr>
        <w:tc>
          <w:tcPr>
            <w:tcW w:w="0" w:type="auto"/>
            <w:gridSpan w:val="9"/>
            <w:hideMark/>
          </w:tcPr>
          <w:p w:rsidR="00000000" w:rsidRDefault="008B4DBF">
            <w:pPr>
              <w:pStyle w:val="NormalWeb"/>
              <w:spacing w:before="0" w:beforeAutospacing="0" w:after="0" w:afterAutospacing="0"/>
              <w:jc w:val="center"/>
              <w:rPr>
                <w:sz w:val="20"/>
                <w:szCs w:val="20"/>
              </w:rPr>
            </w:pPr>
            <w:r>
              <w:rPr>
                <w:b/>
                <w:bCs/>
                <w:sz w:val="20"/>
                <w:szCs w:val="20"/>
              </w:rPr>
              <w:br/>
              <w:t>ADVANCED OXYGEN TECHNOLOGIES, INC.</w:t>
            </w:r>
            <w:r>
              <w:rPr>
                <w:b/>
                <w:bCs/>
                <w:sz w:val="20"/>
                <w:szCs w:val="20"/>
              </w:rPr>
              <w:br/>
              <w:t>AND SUBSIDIARY</w:t>
            </w:r>
            <w:r>
              <w:rPr>
                <w:b/>
                <w:bCs/>
                <w:sz w:val="20"/>
                <w:szCs w:val="20"/>
              </w:rPr>
              <w:br/>
              <w:t>CONDENSED CONSOLIDATED BALANCE SHEETS</w:t>
            </w:r>
          </w:p>
        </w:tc>
      </w:tr>
      <w:tr w:rsidR="00000000">
        <w:trPr>
          <w:divId w:val="1009874571"/>
          <w:trHeight w:val="150"/>
          <w:tblCellSpacing w:w="0" w:type="dxa"/>
        </w:trPr>
        <w:tc>
          <w:tcPr>
            <w:tcW w:w="0" w:type="auto"/>
            <w:gridSpan w:val="9"/>
            <w:vAlign w:val="center"/>
            <w:hideMark/>
          </w:tcPr>
          <w:p w:rsidR="00000000" w:rsidRDefault="008B4DBF">
            <w:pPr>
              <w:pStyle w:val="NormalWeb"/>
              <w:spacing w:before="0" w:beforeAutospacing="0" w:after="0" w:afterAutospacing="0"/>
              <w:jc w:val="both"/>
              <w:rPr>
                <w:sz w:val="20"/>
                <w:szCs w:val="20"/>
              </w:rPr>
            </w:pPr>
            <w:r>
              <w:rPr>
                <w:sz w:val="20"/>
                <w:szCs w:val="20"/>
              </w:rPr>
              <w:t xml:space="preserve">   </w:t>
            </w:r>
          </w:p>
        </w:tc>
      </w:tr>
      <w:tr w:rsidR="00000000">
        <w:trPr>
          <w:divId w:val="1009874571"/>
          <w:tblCellSpacing w:w="0" w:type="dxa"/>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8B4DBF">
            <w:pPr>
              <w:rPr>
                <w:sz w:val="20"/>
                <w:szCs w:val="20"/>
              </w:rPr>
            </w:pP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vAlign w:val="bottom"/>
            <w:hideMark/>
          </w:tcPr>
          <w:p w:rsidR="00000000" w:rsidRDefault="008B4DBF">
            <w:pPr>
              <w:rPr>
                <w:sz w:val="20"/>
                <w:szCs w:val="20"/>
              </w:rPr>
            </w:pP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March 31,</w:t>
            </w:r>
          </w:p>
          <w:p w:rsidR="00000000" w:rsidRDefault="008B4DBF">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2"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June 30,</w:t>
            </w:r>
          </w:p>
          <w:p w:rsidR="00000000" w:rsidRDefault="008B4DBF">
            <w:pPr>
              <w:pStyle w:val="NormalWeb"/>
              <w:spacing w:before="0" w:beforeAutospacing="0" w:after="0" w:afterAutospacing="0"/>
              <w:jc w:val="center"/>
              <w:rPr>
                <w:sz w:val="20"/>
                <w:szCs w:val="20"/>
              </w:rPr>
            </w:pPr>
            <w:r>
              <w:rPr>
                <w:b/>
                <w:bCs/>
                <w:sz w:val="20"/>
                <w:szCs w:val="20"/>
              </w:rPr>
              <w:t>2017 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divId w:val="1009874571"/>
          <w:trHeight w:val="150"/>
          <w:tblCellSpacing w:w="0" w:type="dxa"/>
        </w:trPr>
        <w:tc>
          <w:tcPr>
            <w:tcW w:w="0" w:type="auto"/>
            <w:vAlign w:val="center"/>
            <w:hideMark/>
          </w:tcPr>
          <w:p w:rsidR="00000000" w:rsidRDefault="008B4DBF">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8B4DBF">
            <w:pPr>
              <w:pStyle w:val="NormalWeb"/>
              <w:spacing w:before="0" w:beforeAutospacing="0" w:after="0" w:afterAutospacing="0"/>
              <w:jc w:val="center"/>
              <w:rPr>
                <w:sz w:val="20"/>
                <w:szCs w:val="20"/>
              </w:rPr>
            </w:pPr>
            <w:r>
              <w:rPr>
                <w:sz w:val="20"/>
                <w:szCs w:val="20"/>
              </w:rPr>
              <w:t> </w:t>
            </w:r>
            <w:r>
              <w:rPr>
                <w:b/>
                <w:bCs/>
                <w:sz w:val="20"/>
                <w:szCs w:val="20"/>
              </w:rPr>
              <w:t>(unaudited)</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2" w:type="pct"/>
            <w:gridSpan w:val="2"/>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CURRENT ASSETS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2" w:type="pct"/>
            <w:gridSpan w:val="2"/>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Cash</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52,598</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50,331</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Prepaid expenses</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6"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525</w:t>
            </w:r>
          </w:p>
        </w:tc>
        <w:tc>
          <w:tcPr>
            <w:tcW w:w="0" w:type="auto"/>
            <w:shd w:val="clear" w:color="auto" w:fill="CCEEFF"/>
            <w:tcMar>
              <w:top w:w="0" w:type="dxa"/>
              <w:left w:w="0" w:type="dxa"/>
              <w:bottom w:w="15" w:type="dxa"/>
              <w:right w:w="0" w:type="dxa"/>
            </w:tcMar>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6"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15" w:type="dxa"/>
              <w:right w:w="0" w:type="dxa"/>
            </w:tcMar>
            <w:vAlign w:val="bottom"/>
            <w:hideMark/>
          </w:tcPr>
          <w:p w:rsidR="00000000" w:rsidRDefault="008B4DBF">
            <w:pPr>
              <w:jc w:val="right"/>
              <w:rPr>
                <w:rFonts w:eastAsia="Times New Roman"/>
                <w:sz w:val="20"/>
                <w:szCs w:val="20"/>
              </w:rPr>
            </w:pP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Property tax receivable</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1,324</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1,221</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Total current assets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54,447</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51,552</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FIXED ASSETS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Land</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671,684</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619,592</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TOTAL ASSETS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b/>
                <w:bCs/>
                <w:sz w:val="20"/>
                <w:szCs w:val="20"/>
              </w:rPr>
              <w:t>$</w:t>
            </w:r>
          </w:p>
        </w:tc>
        <w:tc>
          <w:tcPr>
            <w:tcW w:w="456"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b/>
                <w:bCs/>
                <w:sz w:val="20"/>
                <w:szCs w:val="20"/>
              </w:rPr>
              <w:t>726,131</w:t>
            </w:r>
          </w:p>
        </w:tc>
        <w:tc>
          <w:tcPr>
            <w:tcW w:w="0" w:type="auto"/>
            <w:shd w:val="clear" w:color="auto" w:fill="CCEE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b/>
                <w:bCs/>
                <w:sz w:val="20"/>
                <w:szCs w:val="20"/>
              </w:rPr>
              <w:t>$</w:t>
            </w:r>
          </w:p>
        </w:tc>
        <w:tc>
          <w:tcPr>
            <w:tcW w:w="456"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b/>
                <w:bCs/>
                <w:sz w:val="20"/>
                <w:szCs w:val="20"/>
              </w:rPr>
              <w:t>671,144</w:t>
            </w:r>
          </w:p>
        </w:tc>
        <w:tc>
          <w:tcPr>
            <w:tcW w:w="0" w:type="auto"/>
            <w:shd w:val="clear" w:color="auto" w:fill="CCEE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bl>
    <w:p w:rsidR="00453C41" w:rsidRDefault="00453C41">
      <w:pPr>
        <w:divId w:val="1009874571"/>
      </w:pPr>
      <w:r>
        <w:br w:type="page"/>
      </w:r>
    </w:p>
    <w:tbl>
      <w:tblPr>
        <w:tblW w:w="5000" w:type="pct"/>
        <w:tblCellSpacing w:w="0" w:type="dxa"/>
        <w:tblCellMar>
          <w:left w:w="0" w:type="dxa"/>
          <w:right w:w="0" w:type="dxa"/>
        </w:tblCellMar>
        <w:tblLook w:val="04A0" w:firstRow="1" w:lastRow="0" w:firstColumn="1" w:lastColumn="0" w:noHBand="0" w:noVBand="1"/>
      </w:tblPr>
      <w:tblGrid>
        <w:gridCol w:w="8396"/>
        <w:gridCol w:w="50"/>
        <w:gridCol w:w="100"/>
        <w:gridCol w:w="985"/>
        <w:gridCol w:w="67"/>
        <w:gridCol w:w="50"/>
        <w:gridCol w:w="100"/>
        <w:gridCol w:w="985"/>
        <w:gridCol w:w="67"/>
      </w:tblGrid>
      <w:tr w:rsidR="00000000">
        <w:trPr>
          <w:divId w:val="1009874571"/>
          <w:trHeight w:val="150"/>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lastRenderedPageBreak/>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b/>
                <w:bCs/>
                <w:sz w:val="20"/>
                <w:szCs w:val="20"/>
              </w:rPr>
              <w:t xml:space="preserve">LIABILITIES AND STOCKHOLDERS' EQUITY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CURRENT LIABILITIES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Accounts payable</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224</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1,405</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Taxes payable</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38,277</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30,389</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Note payable, current portion</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146,866</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153,638</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Advances from a related party</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110,343</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96,725</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Total current liabilities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295,710</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282,157</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Notes Payable</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93,240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98,760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 xml:space="preserve">Total </w:t>
            </w:r>
            <w:proofErr w:type="gramStart"/>
            <w:r>
              <w:rPr>
                <w:sz w:val="20"/>
                <w:szCs w:val="20"/>
              </w:rPr>
              <w:t>Long Term</w:t>
            </w:r>
            <w:proofErr w:type="gramEnd"/>
            <w:r>
              <w:rPr>
                <w:sz w:val="20"/>
                <w:szCs w:val="20"/>
              </w:rPr>
              <w:t xml:space="preserve"> Liabilities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93,240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98,760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TOTAL LIABILITIES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388,950</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380,917</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STOCKHOLDERS' EQUITY-</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March 31, 2018 and June 30, 2017</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Convertible preferred stock, Series 3, par value $0.01; authorized 1,670,000 shares; 0 shares issued and outstanding</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Convertible preferred stock, Series 5; no par value, 1 share authorized, 0 shares issued and outstanding, respectively.</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Common stock, par value $0.01; At March 31, 2018 and June 30, 2017, authorized 60,000,000 shares; issued and outstanding 2,292,945 shares.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Additional paid-in capital</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20,953,991</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20,953,991</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 xml:space="preserve">Other Comprehensive Income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95,993</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53,065</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 xml:space="preserve">Accumulated deficit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(20,735,782</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(20,739,808</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r>
      <w:tr w:rsidR="00000000" w:rsidTr="00453C41">
        <w:trPr>
          <w:divId w:val="1009874571"/>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TOTAL STOCKHOLDERS EQUITY</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337,181</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6"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290,227</w:t>
            </w: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rsidTr="00453C41">
        <w:trPr>
          <w:divId w:val="1009874571"/>
          <w:tblCellSpacing w:w="0" w:type="dxa"/>
        </w:trPr>
        <w:tc>
          <w:tcPr>
            <w:tcW w:w="0" w:type="auto"/>
            <w:shd w:val="clear" w:color="auto" w:fill="CCEEFF"/>
            <w:hideMark/>
          </w:tcPr>
          <w:p w:rsidR="00000000" w:rsidRDefault="008B4DBF">
            <w:pPr>
              <w:pStyle w:val="NormalWeb"/>
              <w:jc w:val="both"/>
              <w:rPr>
                <w:sz w:val="20"/>
                <w:szCs w:val="20"/>
              </w:rPr>
            </w:pPr>
            <w:r>
              <w:rPr>
                <w:b/>
                <w:bCs/>
                <w:sz w:val="20"/>
                <w:szCs w:val="20"/>
              </w:rPr>
              <w:t>TOTAL LIABILITIES AND STOCKHOLDERS EQUITY</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b/>
                <w:bCs/>
                <w:sz w:val="20"/>
                <w:szCs w:val="20"/>
              </w:rPr>
              <w:t>$</w:t>
            </w:r>
          </w:p>
        </w:tc>
        <w:tc>
          <w:tcPr>
            <w:tcW w:w="456"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b/>
                <w:bCs/>
                <w:sz w:val="20"/>
                <w:szCs w:val="20"/>
              </w:rPr>
              <w:t>726,131</w:t>
            </w:r>
          </w:p>
        </w:tc>
        <w:tc>
          <w:tcPr>
            <w:tcW w:w="0" w:type="auto"/>
            <w:shd w:val="clear" w:color="auto" w:fill="CCEE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b/>
                <w:bCs/>
                <w:sz w:val="20"/>
                <w:szCs w:val="20"/>
              </w:rPr>
              <w:t>$</w:t>
            </w:r>
          </w:p>
        </w:tc>
        <w:tc>
          <w:tcPr>
            <w:tcW w:w="456"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b/>
                <w:bCs/>
                <w:sz w:val="20"/>
                <w:szCs w:val="20"/>
              </w:rPr>
              <w:t>671,144</w:t>
            </w:r>
          </w:p>
        </w:tc>
        <w:tc>
          <w:tcPr>
            <w:tcW w:w="0" w:type="auto"/>
            <w:shd w:val="clear" w:color="auto" w:fill="CCEE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r>
    </w:tbl>
    <w:p w:rsidR="00000000" w:rsidRDefault="008B4DBF">
      <w:pPr>
        <w:pStyle w:val="NormalWeb"/>
        <w:spacing w:before="0" w:beforeAutospacing="0" w:after="0" w:afterAutospacing="0"/>
        <w:divId w:val="1009874571"/>
      </w:pPr>
      <w:r>
        <w:t> </w:t>
      </w:r>
    </w:p>
    <w:p w:rsidR="00000000" w:rsidRDefault="008B4DBF">
      <w:pPr>
        <w:pStyle w:val="NormalWeb"/>
        <w:spacing w:before="0" w:beforeAutospacing="0" w:after="0" w:afterAutospacing="0"/>
        <w:jc w:val="center"/>
        <w:divId w:val="1009874571"/>
      </w:pPr>
      <w:r>
        <w:t> </w:t>
      </w:r>
    </w:p>
    <w:p w:rsidR="00000000" w:rsidRDefault="008B4DBF">
      <w:pPr>
        <w:jc w:val="center"/>
        <w:rPr>
          <w:rFonts w:eastAsia="Times New Roman"/>
        </w:rPr>
      </w:pPr>
      <w:r>
        <w:rPr>
          <w:rFonts w:eastAsia="Times New Roman"/>
          <w:b/>
          <w:bCs/>
          <w:sz w:val="20"/>
          <w:szCs w:val="20"/>
        </w:rPr>
        <w:t>See accompanying notes to condensed consolidated financial statements.</w:t>
      </w:r>
    </w:p>
    <w:p w:rsidR="00000000" w:rsidRDefault="008B4DBF">
      <w:pPr>
        <w:pStyle w:val="NormalWeb"/>
        <w:divId w:val="1864511509"/>
      </w:pPr>
      <w:hyperlink w:anchor="toc" w:history="1">
        <w:r>
          <w:rPr>
            <w:rStyle w:val="Hyperlink"/>
            <w:b/>
            <w:bCs/>
            <w:sz w:val="20"/>
            <w:szCs w:val="20"/>
          </w:rPr>
          <w:t>Return to Table of Contents</w:t>
        </w:r>
      </w:hyperlink>
    </w:p>
    <w:p w:rsidR="00453C41" w:rsidRDefault="008B4DBF">
      <w:pPr>
        <w:rPr>
          <w:rFonts w:eastAsia="Times New Roman"/>
        </w:rPr>
      </w:pPr>
      <w:r>
        <w:rPr>
          <w:rFonts w:eastAsia="Times New Roman"/>
        </w:rPr>
        <w:pict>
          <v:rect id="_x0000_i1030" style="width:0;height:2pt" o:hralign="center" o:hrstd="t" o:hrnoshade="t" o:hr="t" fillcolor="black" stroked="f"/>
        </w:pict>
      </w:r>
    </w:p>
    <w:p w:rsidR="00453C41" w:rsidRDefault="00453C41">
      <w:pPr>
        <w:rPr>
          <w:rFonts w:eastAsia="Times New Roman"/>
        </w:rPr>
      </w:pPr>
      <w:r>
        <w:rPr>
          <w:rFonts w:eastAsia="Times New Roman"/>
        </w:rPr>
        <w:br w:type="page"/>
      </w:r>
    </w:p>
    <w:p w:rsidR="00000000" w:rsidRDefault="008B4DBF">
      <w:pPr>
        <w:pStyle w:val="NormalWeb"/>
        <w:spacing w:before="0" w:beforeAutospacing="0" w:after="0" w:afterAutospacing="0"/>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5342"/>
        <w:gridCol w:w="6"/>
        <w:gridCol w:w="100"/>
        <w:gridCol w:w="909"/>
        <w:gridCol w:w="75"/>
        <w:gridCol w:w="75"/>
        <w:gridCol w:w="100"/>
        <w:gridCol w:w="939"/>
        <w:gridCol w:w="67"/>
        <w:gridCol w:w="918"/>
        <w:gridCol w:w="100"/>
        <w:gridCol w:w="939"/>
        <w:gridCol w:w="74"/>
        <w:gridCol w:w="50"/>
        <w:gridCol w:w="100"/>
        <w:gridCol w:w="939"/>
        <w:gridCol w:w="67"/>
      </w:tblGrid>
      <w:tr w:rsidR="00000000">
        <w:trPr>
          <w:tblCellSpacing w:w="0" w:type="dxa"/>
        </w:trPr>
        <w:tc>
          <w:tcPr>
            <w:tcW w:w="0" w:type="auto"/>
            <w:gridSpan w:val="17"/>
            <w:hideMark/>
          </w:tcPr>
          <w:p w:rsidR="00000000" w:rsidRDefault="008B4DBF">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t>CONDENSED CONSOLIDATED STAT</w:t>
            </w:r>
            <w:r>
              <w:rPr>
                <w:b/>
                <w:bCs/>
                <w:sz w:val="20"/>
                <w:szCs w:val="20"/>
              </w:rPr>
              <w:t>EMENT OF OPERATIONS AND OTHER COMPREHENSIVE INCOME (LOSS)</w:t>
            </w:r>
          </w:p>
          <w:p w:rsidR="00000000" w:rsidRDefault="008B4DBF">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trPr>
        <w:tc>
          <w:tcPr>
            <w:tcW w:w="0" w:type="auto"/>
            <w:gridSpan w:val="17"/>
            <w:vAlign w:val="center"/>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rPr>
                <w:sz w:val="20"/>
                <w:szCs w:val="20"/>
              </w:rPr>
            </w:pPr>
          </w:p>
        </w:tc>
        <w:tc>
          <w:tcPr>
            <w:tcW w:w="0" w:type="auto"/>
            <w:gridSpan w:val="6"/>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For the three months ended March 31,</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vAlign w:val="bottom"/>
            <w:hideMark/>
          </w:tcPr>
          <w:p w:rsidR="00000000" w:rsidRDefault="008B4DBF">
            <w:pPr>
              <w:rPr>
                <w:sz w:val="20"/>
                <w:szCs w:val="20"/>
              </w:rPr>
            </w:pPr>
          </w:p>
        </w:tc>
        <w:tc>
          <w:tcPr>
            <w:tcW w:w="0" w:type="auto"/>
            <w:gridSpan w:val="6"/>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For the nine months ended March 31,</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rPr>
                <w:sz w:val="20"/>
                <w:szCs w:val="20"/>
              </w:rPr>
            </w:pP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2018</w:t>
            </w:r>
          </w:p>
        </w:tc>
        <w:tc>
          <w:tcPr>
            <w:tcW w:w="50" w:type="pct"/>
            <w:vAlign w:val="bottom"/>
            <w:hideMark/>
          </w:tcPr>
          <w:p w:rsidR="00000000" w:rsidRDefault="008B4DBF">
            <w:pPr>
              <w:rPr>
                <w:sz w:val="20"/>
                <w:szCs w:val="20"/>
              </w:rPr>
            </w:pPr>
          </w:p>
        </w:tc>
        <w:tc>
          <w:tcPr>
            <w:tcW w:w="50" w:type="pct"/>
            <w:vAlign w:val="bottom"/>
            <w:hideMark/>
          </w:tcPr>
          <w:p w:rsidR="00000000" w:rsidRDefault="008B4DBF">
            <w:pPr>
              <w:jc w:val="both"/>
              <w:rPr>
                <w:rFonts w:eastAsia="Times New Roman"/>
                <w:sz w:val="20"/>
                <w:szCs w:val="20"/>
              </w:rPr>
            </w:pP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00000" w:rsidRDefault="008B4DBF">
            <w:pPr>
              <w:rPr>
                <w:sz w:val="20"/>
                <w:szCs w:val="20"/>
              </w:rPr>
            </w:pP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Revenues</w:t>
            </w:r>
          </w:p>
        </w:tc>
        <w:tc>
          <w:tcPr>
            <w:tcW w:w="0" w:type="auto"/>
            <w:shd w:val="clear" w:color="auto" w:fill="CCEEFF"/>
            <w:vAlign w:val="bottom"/>
            <w:hideMark/>
          </w:tcPr>
          <w:p w:rsidR="00000000" w:rsidRDefault="008B4DBF">
            <w:pPr>
              <w:rPr>
                <w:sz w:val="20"/>
                <w:szCs w:val="20"/>
              </w:rPr>
            </w:pPr>
          </w:p>
        </w:tc>
        <w:tc>
          <w:tcPr>
            <w:tcW w:w="450" w:type="pct"/>
            <w:gridSpan w:val="2"/>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gridSpan w:val="2"/>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rPr>
                <w:sz w:val="20"/>
                <w:szCs w:val="20"/>
              </w:rPr>
            </w:pPr>
          </w:p>
        </w:tc>
        <w:tc>
          <w:tcPr>
            <w:tcW w:w="450" w:type="pct"/>
            <w:gridSpan w:val="2"/>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450" w:type="pct"/>
            <w:gridSpan w:val="2"/>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gridSpan w:val="2"/>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rPr>
                <w:sz w:val="20"/>
                <w:szCs w:val="20"/>
              </w:rPr>
            </w:pPr>
          </w:p>
        </w:tc>
        <w:tc>
          <w:tcPr>
            <w:tcW w:w="450" w:type="pct"/>
            <w:gridSpan w:val="2"/>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Real Estate Rentals</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10,215</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8,806</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29,849</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26,792</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Total Revenues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10,215</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8,806</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29,849</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26,792</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Costs and Expenses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General &amp; Administrative</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1,183</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2,158</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4,393</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5,785</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Professional expenses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2,000</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2,000</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11,500</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14,023</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rPr>
                <w:sz w:val="20"/>
                <w:szCs w:val="20"/>
              </w:rPr>
            </w:pP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rPr>
                <w:sz w:val="20"/>
                <w:szCs w:val="20"/>
              </w:rPr>
            </w:pPr>
          </w:p>
        </w:tc>
        <w:tc>
          <w:tcPr>
            <w:tcW w:w="0" w:type="auto"/>
            <w:shd w:val="clear" w:color="auto" w:fill="FFFF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Total Operating Expenses</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3,183</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4,158</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15,893</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19,808</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Income (Loss) from operations before other income (expenses)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7,032</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4,648</w:t>
            </w:r>
          </w:p>
        </w:tc>
        <w:tc>
          <w:tcPr>
            <w:tcW w:w="0" w:type="auto"/>
            <w:shd w:val="clear" w:color="auto" w:fill="CCEEFF"/>
            <w:vAlign w:val="bottom"/>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13,956</w:t>
            </w:r>
          </w:p>
        </w:tc>
        <w:tc>
          <w:tcPr>
            <w:tcW w:w="0" w:type="auto"/>
            <w:shd w:val="clear" w:color="auto" w:fill="CCEEFF"/>
            <w:vAlign w:val="bottom"/>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6,984</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Other income (expenses)</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Interest Expense</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(1,454</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(1,551</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000000" w:rsidRDefault="008B4DBF">
            <w:pPr>
              <w:rPr>
                <w:sz w:val="20"/>
                <w:szCs w:val="20"/>
              </w:rPr>
            </w:pP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(4,550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(5,027</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Income before Income Taxes</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5,578</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3,097</w:t>
            </w:r>
          </w:p>
        </w:tc>
        <w:tc>
          <w:tcPr>
            <w:tcW w:w="0" w:type="auto"/>
            <w:shd w:val="clear" w:color="auto" w:fill="FFFFFF"/>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9,406</w:t>
            </w:r>
          </w:p>
        </w:tc>
        <w:tc>
          <w:tcPr>
            <w:tcW w:w="0" w:type="auto"/>
            <w:shd w:val="clear" w:color="auto" w:fill="FFFFFF"/>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1,957</w:t>
            </w:r>
          </w:p>
        </w:tc>
        <w:tc>
          <w:tcPr>
            <w:tcW w:w="0" w:type="auto"/>
            <w:shd w:val="clear" w:color="auto" w:fill="FFFFFF"/>
            <w:vAlign w:val="bottom"/>
            <w:hideMark/>
          </w:tcPr>
          <w:p w:rsidR="00000000" w:rsidRDefault="008B4DBF">
            <w:pPr>
              <w:rPr>
                <w:rFonts w:eastAsia="Times New Roman"/>
                <w:sz w:val="20"/>
                <w:szCs w:val="20"/>
              </w:rPr>
            </w:pP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Income Taxes Expense (Benefit)</w:t>
            </w:r>
          </w:p>
        </w:tc>
        <w:tc>
          <w:tcPr>
            <w:tcW w:w="0" w:type="auto"/>
            <w:shd w:val="clear" w:color="auto" w:fill="FFFFFF"/>
            <w:vAlign w:val="bottom"/>
            <w:hideMark/>
          </w:tcPr>
          <w:p w:rsidR="00000000" w:rsidRDefault="008B4DBF">
            <w:pPr>
              <w:rPr>
                <w:sz w:val="20"/>
                <w:szCs w:val="20"/>
              </w:rPr>
            </w:pPr>
          </w:p>
        </w:tc>
        <w:tc>
          <w:tcPr>
            <w:tcW w:w="0" w:type="auto"/>
            <w:tcBorders>
              <w:bottom w:val="single" w:sz="6" w:space="0" w:color="000000"/>
            </w:tcBorders>
            <w:shd w:val="clear" w:color="auto" w:fill="FFFF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1,892</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8B4DBF">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1,059</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5,380</w:t>
            </w:r>
          </w:p>
        </w:tc>
        <w:tc>
          <w:tcPr>
            <w:tcW w:w="0" w:type="auto"/>
            <w:shd w:val="clear" w:color="auto" w:fill="FFFFFF"/>
            <w:tcMar>
              <w:top w:w="0" w:type="dxa"/>
              <w:left w:w="0" w:type="dxa"/>
              <w:bottom w:w="15" w:type="dxa"/>
              <w:right w:w="0" w:type="dxa"/>
            </w:tcMar>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4,298</w:t>
            </w:r>
          </w:p>
        </w:tc>
        <w:tc>
          <w:tcPr>
            <w:tcW w:w="0" w:type="auto"/>
            <w:shd w:val="clear" w:color="auto" w:fill="FFFFFF"/>
            <w:tcMar>
              <w:top w:w="0" w:type="dxa"/>
              <w:left w:w="0" w:type="dxa"/>
              <w:bottom w:w="15" w:type="dxa"/>
              <w:right w:w="0" w:type="dxa"/>
            </w:tcMar>
            <w:vAlign w:val="bottom"/>
            <w:hideMark/>
          </w:tcPr>
          <w:p w:rsidR="00000000" w:rsidRDefault="008B4DBF">
            <w:pPr>
              <w:rPr>
                <w:rFonts w:eastAsia="Times New Roman"/>
                <w:sz w:val="20"/>
                <w:szCs w:val="20"/>
              </w:rPr>
            </w:pP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NET INCOME</w:t>
            </w:r>
          </w:p>
        </w:tc>
        <w:tc>
          <w:tcPr>
            <w:tcW w:w="0" w:type="auto"/>
            <w:shd w:val="clear" w:color="auto" w:fill="FFFFFF"/>
            <w:vAlign w:val="bottom"/>
            <w:hideMark/>
          </w:tcPr>
          <w:p w:rsidR="00000000" w:rsidRDefault="008B4DBF">
            <w:pPr>
              <w:rPr>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3,686</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2,038</w:t>
            </w:r>
          </w:p>
        </w:tc>
        <w:tc>
          <w:tcPr>
            <w:tcW w:w="0" w:type="auto"/>
            <w:shd w:val="clear" w:color="auto" w:fill="FFFFFF"/>
            <w:vAlign w:val="bottom"/>
            <w:hideMark/>
          </w:tcPr>
          <w:p w:rsidR="00000000" w:rsidRDefault="008B4DBF">
            <w:pPr>
              <w:rPr>
                <w:rFonts w:eastAsia="Times New Roman"/>
                <w:sz w:val="20"/>
                <w:szCs w:val="20"/>
              </w:rPr>
            </w:pPr>
          </w:p>
        </w:tc>
        <w:tc>
          <w:tcPr>
            <w:tcW w:w="50" w:type="pct"/>
            <w:shd w:val="clear" w:color="auto" w:fill="FFFF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4,026</w:t>
            </w:r>
          </w:p>
        </w:tc>
        <w:tc>
          <w:tcPr>
            <w:tcW w:w="0" w:type="auto"/>
            <w:shd w:val="clear" w:color="auto" w:fill="FFFFFF"/>
            <w:tcMar>
              <w:top w:w="0" w:type="dxa"/>
              <w:left w:w="0" w:type="dxa"/>
              <w:bottom w:w="45" w:type="dxa"/>
              <w:right w:w="0" w:type="dxa"/>
            </w:tcMar>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(2,341</w:t>
            </w:r>
          </w:p>
        </w:tc>
        <w:tc>
          <w:tcPr>
            <w:tcW w:w="0" w:type="auto"/>
            <w:shd w:val="clear" w:color="auto" w:fill="FFFF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Weighted average number of common shares outstanding</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Dilutive average weighted number of common shares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2,302,945</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2,302,945</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2,302,945</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2,292,945</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Basic Net Income per Share</w:t>
            </w:r>
          </w:p>
        </w:tc>
        <w:tc>
          <w:tcPr>
            <w:tcW w:w="0" w:type="auto"/>
            <w:shd w:val="clear" w:color="auto" w:fill="FFFFFF"/>
            <w:vAlign w:val="bottom"/>
            <w:hideMark/>
          </w:tcPr>
          <w:p w:rsidR="00000000" w:rsidRDefault="008B4DBF">
            <w:pPr>
              <w:rPr>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0.0016</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0.0009</w:t>
            </w:r>
          </w:p>
        </w:tc>
        <w:tc>
          <w:tcPr>
            <w:tcW w:w="0" w:type="auto"/>
            <w:shd w:val="clear" w:color="auto" w:fill="FFFFFF"/>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0.0018</w:t>
            </w:r>
          </w:p>
        </w:tc>
        <w:tc>
          <w:tcPr>
            <w:tcW w:w="0" w:type="auto"/>
            <w:shd w:val="clear" w:color="auto" w:fill="FFFFFF"/>
            <w:tcMar>
              <w:top w:w="0" w:type="dxa"/>
              <w:left w:w="0" w:type="dxa"/>
              <w:bottom w:w="45" w:type="dxa"/>
              <w:right w:w="0" w:type="dxa"/>
            </w:tcMar>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(0.0010</w:t>
            </w:r>
          </w:p>
        </w:tc>
        <w:tc>
          <w:tcPr>
            <w:tcW w:w="0" w:type="auto"/>
            <w:shd w:val="clear" w:color="auto" w:fill="FFFF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Dilutive Net Income per Share</w:t>
            </w:r>
          </w:p>
        </w:tc>
        <w:tc>
          <w:tcPr>
            <w:tcW w:w="0" w:type="auto"/>
            <w:shd w:val="clear" w:color="auto" w:fill="CCEEFF"/>
            <w:vAlign w:val="bottom"/>
            <w:hideMark/>
          </w:tcPr>
          <w:p w:rsidR="00000000" w:rsidRDefault="008B4DBF">
            <w:pPr>
              <w:rPr>
                <w:sz w:val="20"/>
                <w:szCs w:val="20"/>
              </w:rPr>
            </w:pP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0.0016</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0.0009</w:t>
            </w:r>
          </w:p>
        </w:tc>
        <w:tc>
          <w:tcPr>
            <w:tcW w:w="0" w:type="auto"/>
            <w:shd w:val="clear" w:color="auto" w:fill="CCEEFF"/>
            <w:vAlign w:val="bottom"/>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0.0018</w:t>
            </w:r>
          </w:p>
        </w:tc>
        <w:tc>
          <w:tcPr>
            <w:tcW w:w="0" w:type="auto"/>
            <w:shd w:val="clear" w:color="auto" w:fill="CCEEFF"/>
            <w:tcMar>
              <w:top w:w="0" w:type="dxa"/>
              <w:left w:w="0" w:type="dxa"/>
              <w:bottom w:w="45" w:type="dxa"/>
              <w:right w:w="0" w:type="dxa"/>
            </w:tcMar>
            <w:vAlign w:val="bottom"/>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(0.0010</w:t>
            </w:r>
          </w:p>
        </w:tc>
        <w:tc>
          <w:tcPr>
            <w:tcW w:w="0" w:type="auto"/>
            <w:shd w:val="clear" w:color="auto" w:fill="CCEE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COMPREHENSIVE INCOME</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Other Income (Loss)</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Translation Adjustments</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16,557</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jc w:val="right"/>
              <w:rPr>
                <w:rFonts w:eastAsia="Times New Roman"/>
                <w:sz w:val="20"/>
                <w:szCs w:val="20"/>
              </w:rPr>
            </w:pPr>
            <w:r>
              <w:rPr>
                <w:rFonts w:eastAsia="Times New Roman"/>
                <w:sz w:val="20"/>
                <w:szCs w:val="20"/>
              </w:rPr>
              <w:t>6,159</w:t>
            </w:r>
          </w:p>
        </w:tc>
        <w:tc>
          <w:tcPr>
            <w:tcW w:w="0" w:type="auto"/>
            <w:shd w:val="clear" w:color="auto" w:fill="CCEEFF"/>
            <w:vAlign w:val="bottom"/>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42,928</w:t>
            </w: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(5,480</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Total Comprehensive Income</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20,243</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sz w:val="20"/>
                <w:szCs w:val="20"/>
              </w:rPr>
              <w:t>8,197</w:t>
            </w:r>
          </w:p>
        </w:tc>
        <w:tc>
          <w:tcPr>
            <w:tcW w:w="0" w:type="auto"/>
            <w:shd w:val="clear" w:color="auto" w:fill="FFFFFF"/>
            <w:vAlign w:val="bottom"/>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46,954</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(7,821</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r>
    </w:tbl>
    <w:p w:rsidR="00000000" w:rsidRDefault="008B4DBF">
      <w:pPr>
        <w:pStyle w:val="NormalWeb"/>
        <w:spacing w:before="0" w:beforeAutospacing="0" w:after="0" w:afterAutospacing="0"/>
      </w:pPr>
      <w:r>
        <w:t> </w:t>
      </w:r>
    </w:p>
    <w:p w:rsidR="00000000" w:rsidRDefault="008B4DBF">
      <w:pPr>
        <w:pStyle w:val="NormalWeb"/>
        <w:spacing w:before="0" w:beforeAutospacing="0" w:after="0" w:afterAutospacing="0"/>
        <w:jc w:val="center"/>
      </w:pPr>
      <w:r>
        <w:rPr>
          <w:b/>
          <w:bCs/>
          <w:sz w:val="20"/>
          <w:szCs w:val="20"/>
        </w:rPr>
        <w:t>See accompanying notes to condensed consolidated financial statements.</w:t>
      </w:r>
    </w:p>
    <w:p w:rsidR="00000000" w:rsidRDefault="008B4DBF">
      <w:pPr>
        <w:divId w:val="1502427528"/>
        <w:rPr>
          <w:rFonts w:eastAsia="Times New Roman"/>
        </w:rPr>
      </w:pPr>
    </w:p>
    <w:p w:rsidR="00000000" w:rsidRDefault="008B4DBF">
      <w:pPr>
        <w:pStyle w:val="NormalWeb"/>
        <w:divId w:val="1502427528"/>
      </w:pPr>
      <w:hyperlink w:anchor="toc" w:history="1">
        <w:r>
          <w:rPr>
            <w:rStyle w:val="Hyperlink"/>
            <w:b/>
            <w:bCs/>
            <w:sz w:val="20"/>
            <w:szCs w:val="20"/>
          </w:rPr>
          <w:t>Return to Table of Contents</w:t>
        </w:r>
      </w:hyperlink>
    </w:p>
    <w:p w:rsidR="00453C41" w:rsidRDefault="008B4DBF">
      <w:pPr>
        <w:divId w:val="1502427528"/>
        <w:rPr>
          <w:rFonts w:eastAsia="Times New Roman"/>
        </w:rPr>
      </w:pPr>
      <w:r>
        <w:rPr>
          <w:rFonts w:eastAsia="Times New Roman"/>
        </w:rPr>
        <w:pict>
          <v:rect id="_x0000_i1031" style="width:0;height:2pt" o:hralign="center" o:hrstd="t" o:hrnoshade="t" o:hr="t" fillcolor="black" stroked="f"/>
        </w:pict>
      </w:r>
    </w:p>
    <w:p w:rsidR="00453C41" w:rsidRDefault="00453C41">
      <w:pPr>
        <w:rPr>
          <w:rFonts w:eastAsia="Times New Roman"/>
        </w:rPr>
      </w:pPr>
      <w:r>
        <w:rPr>
          <w:rFonts w:eastAsia="Times New Roman"/>
        </w:rPr>
        <w:br w:type="page"/>
      </w:r>
    </w:p>
    <w:p w:rsidR="00000000" w:rsidRDefault="008B4DBF">
      <w:pPr>
        <w:divId w:val="1502427528"/>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8220"/>
        <w:gridCol w:w="96"/>
        <w:gridCol w:w="108"/>
        <w:gridCol w:w="972"/>
        <w:gridCol w:w="108"/>
        <w:gridCol w:w="108"/>
        <w:gridCol w:w="108"/>
        <w:gridCol w:w="972"/>
        <w:gridCol w:w="108"/>
      </w:tblGrid>
      <w:tr w:rsidR="00000000">
        <w:trPr>
          <w:tblCellSpacing w:w="0" w:type="dxa"/>
        </w:trPr>
        <w:tc>
          <w:tcPr>
            <w:tcW w:w="0" w:type="auto"/>
            <w:gridSpan w:val="9"/>
            <w:hideMark/>
          </w:tcPr>
          <w:p w:rsidR="00000000" w:rsidRDefault="008B4DBF">
            <w:pPr>
              <w:pStyle w:val="NormalWeb"/>
              <w:spacing w:before="0" w:beforeAutospacing="0" w:after="0" w:afterAutospacing="0"/>
              <w:jc w:val="center"/>
              <w:rPr>
                <w:sz w:val="20"/>
                <w:szCs w:val="20"/>
              </w:rPr>
            </w:pPr>
            <w:r>
              <w:rPr>
                <w:b/>
                <w:bCs/>
                <w:sz w:val="20"/>
                <w:szCs w:val="20"/>
              </w:rPr>
              <w:t>ADVANCED OXYGEN TECHNOLOGIES, INC.</w:t>
            </w:r>
          </w:p>
          <w:p w:rsidR="00000000" w:rsidRDefault="008B4DBF">
            <w:pPr>
              <w:pStyle w:val="NormalWeb"/>
              <w:spacing w:before="0" w:beforeAutospacing="0" w:after="0" w:afterAutospacing="0"/>
              <w:jc w:val="center"/>
              <w:rPr>
                <w:sz w:val="20"/>
                <w:szCs w:val="20"/>
              </w:rPr>
            </w:pPr>
            <w:r>
              <w:rPr>
                <w:b/>
                <w:bCs/>
                <w:sz w:val="20"/>
                <w:szCs w:val="20"/>
              </w:rPr>
              <w:t>AND SUBSIDIARY</w:t>
            </w:r>
          </w:p>
          <w:p w:rsidR="00000000" w:rsidRDefault="008B4DBF">
            <w:pPr>
              <w:pStyle w:val="NormalWeb"/>
              <w:spacing w:before="0" w:beforeAutospacing="0" w:after="0" w:afterAutospacing="0"/>
              <w:jc w:val="center"/>
              <w:rPr>
                <w:sz w:val="20"/>
                <w:szCs w:val="20"/>
              </w:rPr>
            </w:pPr>
            <w:r>
              <w:rPr>
                <w:b/>
                <w:bCs/>
                <w:sz w:val="20"/>
                <w:szCs w:val="20"/>
              </w:rPr>
              <w:t>CONDENSED CONSOLIDATED STATEMENTS OF CASH FLOWS</w:t>
            </w:r>
          </w:p>
          <w:p w:rsidR="00000000" w:rsidRDefault="008B4DBF">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trPr>
        <w:tc>
          <w:tcPr>
            <w:tcW w:w="0" w:type="auto"/>
            <w:gridSpan w:val="9"/>
            <w:vAlign w:val="center"/>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 xml:space="preserve">For the Nine Months Ended March 31,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00000" w:rsidRDefault="008B4DBF">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hideMark/>
          </w:tcPr>
          <w:p w:rsidR="00000000" w:rsidRDefault="008B4DBF">
            <w:pPr>
              <w:pStyle w:val="NormalWeb"/>
              <w:spacing w:before="0" w:beforeAutospacing="0" w:after="0" w:afterAutospacing="0"/>
              <w:jc w:val="both"/>
              <w:rPr>
                <w:sz w:val="20"/>
                <w:szCs w:val="20"/>
              </w:rPr>
            </w:pPr>
            <w:r>
              <w:rPr>
                <w:sz w:val="20"/>
                <w:szCs w:val="20"/>
              </w:rPr>
              <w:t>Cash flows from operating activities</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8B4DBF">
            <w:pPr>
              <w:jc w:val="right"/>
              <w:rPr>
                <w:rFonts w:eastAsia="Times New Roman"/>
                <w:sz w:val="20"/>
                <w:szCs w:val="20"/>
              </w:rPr>
            </w:pPr>
            <w:r>
              <w:rPr>
                <w:rFonts w:eastAsia="Times New Roman"/>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8B4DBF">
            <w:pPr>
              <w:jc w:val="right"/>
              <w:rPr>
                <w:rFonts w:eastAsia="Times New Roman"/>
                <w:sz w:val="20"/>
                <w:szCs w:val="20"/>
              </w:rPr>
            </w:pPr>
            <w:r>
              <w:rPr>
                <w:rFonts w:eastAsia="Times New Roman"/>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Net income</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4,026</w:t>
            </w:r>
          </w:p>
        </w:tc>
        <w:tc>
          <w:tcPr>
            <w:tcW w:w="50" w:type="pct"/>
            <w:shd w:val="clear" w:color="auto" w:fill="CCEEFF"/>
            <w:vAlign w:val="bottom"/>
            <w:hideMark/>
          </w:tcPr>
          <w:p w:rsidR="00000000" w:rsidRDefault="008B4DBF">
            <w:pPr>
              <w:rPr>
                <w:rFonts w:eastAsia="Times New Roman"/>
                <w:sz w:val="20"/>
                <w:szCs w:val="20"/>
              </w:rPr>
            </w:pPr>
          </w:p>
        </w:tc>
        <w:tc>
          <w:tcPr>
            <w:tcW w:w="50" w:type="pct"/>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(2,341</w:t>
            </w:r>
          </w:p>
        </w:tc>
        <w:tc>
          <w:tcPr>
            <w:tcW w:w="50" w:type="pct"/>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450"/>
              <w:jc w:val="both"/>
              <w:rPr>
                <w:sz w:val="20"/>
                <w:szCs w:val="20"/>
              </w:rPr>
            </w:pPr>
            <w:r>
              <w:rPr>
                <w:sz w:val="20"/>
                <w:szCs w:val="20"/>
              </w:rPr>
              <w:t>Adjustments to reconcile net income to net cash</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ind w:left="450"/>
              <w:jc w:val="both"/>
              <w:rPr>
                <w:sz w:val="20"/>
                <w:szCs w:val="20"/>
              </w:rPr>
            </w:pPr>
            <w:r>
              <w:rPr>
                <w:sz w:val="20"/>
                <w:szCs w:val="20"/>
              </w:rPr>
              <w:t> Expenses paid for a related party</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16,755</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450"/>
              <w:jc w:val="both"/>
              <w:rPr>
                <w:sz w:val="20"/>
                <w:szCs w:val="20"/>
              </w:rPr>
            </w:pPr>
            <w:r>
              <w:rPr>
                <w:sz w:val="20"/>
                <w:szCs w:val="20"/>
              </w:rPr>
              <w:t>Changes in operating assets and liabilities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450"/>
              <w:jc w:val="both"/>
              <w:rPr>
                <w:sz w:val="20"/>
                <w:szCs w:val="20"/>
              </w:rPr>
            </w:pPr>
            <w:r>
              <w:rPr>
                <w:sz w:val="20"/>
                <w:szCs w:val="20"/>
              </w:rPr>
              <w:t>Prepaid Expenses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(525</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450"/>
              <w:jc w:val="both"/>
              <w:rPr>
                <w:sz w:val="20"/>
                <w:szCs w:val="20"/>
              </w:rPr>
            </w:pPr>
            <w:r>
              <w:rPr>
                <w:sz w:val="20"/>
                <w:szCs w:val="20"/>
              </w:rPr>
              <w:t>Accounts payable</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(1,181</w:t>
            </w:r>
          </w:p>
        </w:tc>
        <w:tc>
          <w:tcPr>
            <w:tcW w:w="0" w:type="auto"/>
            <w:tcBorders>
              <w:bottom w:val="single" w:sz="6" w:space="0" w:color="000000"/>
            </w:tcBorders>
            <w:shd w:val="clear" w:color="auto" w:fill="FFFFFF"/>
            <w:tcMar>
              <w:top w:w="0" w:type="dxa"/>
              <w:left w:w="0" w:type="dxa"/>
              <w:bottom w:w="15" w:type="dxa"/>
              <w:right w:w="0" w:type="dxa"/>
            </w:tcMar>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(300</w:t>
            </w:r>
          </w:p>
        </w:tc>
        <w:tc>
          <w:tcPr>
            <w:tcW w:w="0" w:type="auto"/>
            <w:tcBorders>
              <w:bottom w:val="single" w:sz="6" w:space="0" w:color="000000"/>
            </w:tcBorders>
            <w:shd w:val="clear" w:color="auto" w:fill="FFFFFF"/>
            <w:tcMar>
              <w:top w:w="0" w:type="dxa"/>
              <w:left w:w="0" w:type="dxa"/>
              <w:bottom w:w="15" w:type="dxa"/>
              <w:right w:w="0" w:type="dxa"/>
            </w:tcMar>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ind w:left="450"/>
              <w:jc w:val="both"/>
              <w:rPr>
                <w:sz w:val="20"/>
                <w:szCs w:val="20"/>
              </w:rPr>
            </w:pPr>
            <w:r>
              <w:rPr>
                <w:sz w:val="20"/>
                <w:szCs w:val="20"/>
              </w:rPr>
              <w:t>Taxes payable</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5,139</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4,757 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Net cash provided by (used in) operating activities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24,214</w:t>
            </w:r>
          </w:p>
        </w:tc>
        <w:tc>
          <w:tcPr>
            <w:tcW w:w="0" w:type="auto"/>
            <w:tcBorders>
              <w:bottom w:val="single" w:sz="6" w:space="0" w:color="000000"/>
            </w:tcBorders>
            <w:shd w:val="clear" w:color="auto" w:fill="FFFFFF"/>
            <w:tcMar>
              <w:top w:w="0" w:type="dxa"/>
              <w:left w:w="0" w:type="dxa"/>
              <w:bottom w:w="15" w:type="dxa"/>
              <w:right w:w="0" w:type="dxa"/>
            </w:tcMar>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2,116</w:t>
            </w:r>
          </w:p>
        </w:tc>
        <w:tc>
          <w:tcPr>
            <w:tcW w:w="0" w:type="auto"/>
            <w:tcBorders>
              <w:bottom w:val="single" w:sz="6" w:space="0" w:color="000000"/>
            </w:tcBorders>
            <w:shd w:val="clear" w:color="auto" w:fill="FFFFFF"/>
            <w:tcMar>
              <w:top w:w="0" w:type="dxa"/>
              <w:left w:w="0" w:type="dxa"/>
              <w:bottom w:w="15" w:type="dxa"/>
              <w:right w:w="0" w:type="dxa"/>
            </w:tcMar>
            <w:vAlign w:val="bottom"/>
            <w:hideMark/>
          </w:tcPr>
          <w:p w:rsidR="00000000" w:rsidRDefault="008B4DBF">
            <w:pPr>
              <w:rPr>
                <w:rFonts w:eastAsia="Times New Roman"/>
                <w:sz w:val="20"/>
                <w:szCs w:val="20"/>
              </w:rPr>
            </w:pPr>
          </w:p>
        </w:tc>
      </w:tr>
      <w:tr w:rsidR="00000000">
        <w:trPr>
          <w:tblCellSpacing w:w="0" w:type="dxa"/>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Cash flow from financing activities: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75"/>
              <w:jc w:val="both"/>
              <w:rPr>
                <w:sz w:val="20"/>
                <w:szCs w:val="20"/>
              </w:rPr>
            </w:pPr>
            <w:r>
              <w:rPr>
                <w:sz w:val="20"/>
                <w:szCs w:val="20"/>
              </w:rPr>
              <w:t xml:space="preserve">Proceeds used </w:t>
            </w:r>
            <w:proofErr w:type="gramStart"/>
            <w:r>
              <w:rPr>
                <w:sz w:val="20"/>
                <w:szCs w:val="20"/>
              </w:rPr>
              <w:t>for :</w:t>
            </w:r>
            <w:proofErr w:type="gramEnd"/>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 xml:space="preserve">Repayment of </w:t>
            </w:r>
            <w:r>
              <w:rPr>
                <w:sz w:val="20"/>
                <w:szCs w:val="20"/>
              </w:rPr>
              <w:t>related party advances</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(4,097</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17,442 </w:t>
            </w:r>
          </w:p>
        </w:tc>
        <w:tc>
          <w:tcPr>
            <w:tcW w:w="0" w:type="auto"/>
            <w:shd w:val="clear" w:color="auto" w:fill="FFFFFF"/>
            <w:vAlign w:val="bottom"/>
            <w:hideMark/>
          </w:tcPr>
          <w:p w:rsidR="00000000" w:rsidRDefault="008B4DBF">
            <w:pPr>
              <w:rPr>
                <w:sz w:val="20"/>
                <w:szCs w:val="20"/>
              </w:rPr>
            </w:pP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225"/>
              <w:jc w:val="both"/>
              <w:rPr>
                <w:sz w:val="20"/>
                <w:szCs w:val="20"/>
              </w:rPr>
            </w:pPr>
            <w:r>
              <w:rPr>
                <w:sz w:val="20"/>
                <w:szCs w:val="20"/>
              </w:rPr>
              <w:t>Repayment of Long Term Debt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(21,998</w:t>
            </w:r>
          </w:p>
        </w:tc>
        <w:tc>
          <w:tcPr>
            <w:tcW w:w="0" w:type="auto"/>
            <w:tcBorders>
              <w:bottom w:val="single" w:sz="6" w:space="0" w:color="000000"/>
            </w:tcBorders>
            <w:shd w:val="clear" w:color="auto" w:fill="CCEEFF"/>
            <w:tcMar>
              <w:top w:w="0" w:type="dxa"/>
              <w:left w:w="0" w:type="dxa"/>
              <w:bottom w:w="15" w:type="dxa"/>
              <w:right w:w="0" w:type="dxa"/>
            </w:tcMar>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(19,265</w:t>
            </w:r>
          </w:p>
        </w:tc>
        <w:tc>
          <w:tcPr>
            <w:tcW w:w="0" w:type="auto"/>
            <w:tcBorders>
              <w:bottom w:val="single" w:sz="6" w:space="0" w:color="000000"/>
            </w:tcBorders>
            <w:shd w:val="clear" w:color="auto" w:fill="CCEEFF"/>
            <w:tcMar>
              <w:top w:w="0" w:type="dxa"/>
              <w:left w:w="0" w:type="dxa"/>
              <w:bottom w:w="15" w:type="dxa"/>
              <w:right w:w="0" w:type="dxa"/>
            </w:tcMar>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Net cash provided by financing activities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(26,095</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(1,823</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CCEEFF"/>
            <w:hideMark/>
          </w:tcPr>
          <w:p w:rsidR="00000000" w:rsidRDefault="008B4DBF">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ind w:left="225"/>
              <w:jc w:val="both"/>
              <w:rPr>
                <w:sz w:val="20"/>
                <w:szCs w:val="20"/>
              </w:rPr>
            </w:pPr>
            <w:r>
              <w:rPr>
                <w:sz w:val="20"/>
                <w:szCs w:val="20"/>
              </w:rPr>
              <w:t>Change due to FX Translation</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4,148</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sz w:val="20"/>
                <w:szCs w:val="20"/>
              </w:rPr>
              <w:t>(1,005</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CCEEFF"/>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b/>
                <w:bCs/>
                <w:sz w:val="20"/>
                <w:szCs w:val="20"/>
              </w:rPr>
              <w:t> </w:t>
            </w:r>
            <w:r>
              <w:rPr>
                <w:b/>
                <w:bCs/>
                <w:sz w:val="20"/>
                <w:szCs w:val="20"/>
              </w:rPr>
              <w:t xml:space="preserve">Net Decrease in Cash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2,267</w:t>
            </w:r>
          </w:p>
        </w:tc>
        <w:tc>
          <w:tcPr>
            <w:tcW w:w="0" w:type="auto"/>
            <w:shd w:val="clear" w:color="auto" w:fill="FFFFFF"/>
            <w:vAlign w:val="bottom"/>
            <w:hideMark/>
          </w:tcPr>
          <w:p w:rsidR="00000000" w:rsidRDefault="008B4DBF">
            <w:pPr>
              <w:jc w:val="right"/>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0" w:type="auto"/>
            <w:shd w:val="clear" w:color="auto" w:fill="FFFFFF"/>
            <w:vAlign w:val="bottom"/>
            <w:hideMark/>
          </w:tcPr>
          <w:p w:rsidR="00000000" w:rsidRDefault="008B4DBF">
            <w:pPr>
              <w:jc w:val="both"/>
              <w:rPr>
                <w:rFonts w:eastAsia="Times New Roman"/>
                <w:sz w:val="20"/>
                <w:szCs w:val="20"/>
              </w:rPr>
            </w:pPr>
          </w:p>
        </w:tc>
        <w:tc>
          <w:tcPr>
            <w:tcW w:w="450" w:type="pct"/>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(712</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b/>
                <w:bCs/>
                <w:sz w:val="20"/>
                <w:szCs w:val="20"/>
              </w:rPr>
              <w:t>)</w:t>
            </w:r>
          </w:p>
        </w:tc>
      </w:tr>
      <w:tr w:rsidR="00000000">
        <w:trPr>
          <w:tblCellSpacing w:w="0" w:type="dxa"/>
        </w:trPr>
        <w:tc>
          <w:tcPr>
            <w:tcW w:w="0" w:type="auto"/>
            <w:shd w:val="clear" w:color="auto" w:fill="CCEEFF"/>
            <w:hideMark/>
          </w:tcPr>
          <w:p w:rsidR="00000000" w:rsidRDefault="008B4DBF">
            <w:pPr>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8B4DBF">
            <w:pPr>
              <w:rPr>
                <w:b/>
                <w:bCs/>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8B4DBF">
            <w:pPr>
              <w:rPr>
                <w:b/>
                <w:bCs/>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r>
      <w:tr w:rsidR="00000000">
        <w:trPr>
          <w:tblCellSpacing w:w="0" w:type="dxa"/>
        </w:trPr>
        <w:tc>
          <w:tcPr>
            <w:tcW w:w="0" w:type="auto"/>
            <w:shd w:val="clear" w:color="auto" w:fill="FFFF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 xml:space="preserve">Cash at beginning of the period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50,331</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8B4DBF">
            <w:pPr>
              <w:jc w:val="right"/>
              <w:rPr>
                <w:rFonts w:eastAsia="Times New Roman"/>
                <w:sz w:val="20"/>
                <w:szCs w:val="20"/>
              </w:rPr>
            </w:pPr>
            <w:r>
              <w:rPr>
                <w:rFonts w:eastAsia="Times New Roman"/>
                <w:sz w:val="20"/>
                <w:szCs w:val="20"/>
              </w:rPr>
              <w:t>46,170</w:t>
            </w:r>
          </w:p>
        </w:tc>
        <w:tc>
          <w:tcPr>
            <w:tcW w:w="0" w:type="auto"/>
            <w:shd w:val="clear" w:color="auto" w:fill="CCEEFF"/>
            <w:tcMar>
              <w:top w:w="0" w:type="dxa"/>
              <w:left w:w="0" w:type="dxa"/>
              <w:bottom w:w="1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r>
              <w:rPr>
                <w:sz w:val="20"/>
                <w:szCs w:val="20"/>
              </w:rPr>
              <w:t>Cash at end of period</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52,598</w:t>
            </w:r>
          </w:p>
        </w:tc>
        <w:tc>
          <w:tcPr>
            <w:tcW w:w="0" w:type="auto"/>
            <w:shd w:val="clear" w:color="auto" w:fill="FFFF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8B4DBF">
            <w:pPr>
              <w:jc w:val="right"/>
              <w:rPr>
                <w:rFonts w:eastAsia="Times New Roman"/>
                <w:sz w:val="20"/>
                <w:szCs w:val="20"/>
              </w:rPr>
            </w:pPr>
            <w:r>
              <w:rPr>
                <w:rFonts w:eastAsia="Times New Roman"/>
                <w:sz w:val="20"/>
                <w:szCs w:val="20"/>
              </w:rPr>
              <w:t>45,458</w:t>
            </w:r>
          </w:p>
        </w:tc>
        <w:tc>
          <w:tcPr>
            <w:tcW w:w="0" w:type="auto"/>
            <w:shd w:val="clear" w:color="auto" w:fill="FFFFFF"/>
            <w:tcMar>
              <w:top w:w="0" w:type="dxa"/>
              <w:left w:w="0" w:type="dxa"/>
              <w:bottom w:w="45" w:type="dxa"/>
              <w:right w:w="0" w:type="dxa"/>
            </w:tcMar>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rPr>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both"/>
              <w:rPr>
                <w:rFonts w:eastAsia="Times New Roman"/>
                <w:sz w:val="20"/>
                <w:szCs w:val="20"/>
              </w:rPr>
            </w:pPr>
          </w:p>
        </w:tc>
        <w:tc>
          <w:tcPr>
            <w:tcW w:w="450" w:type="pct"/>
            <w:shd w:val="clear" w:color="auto" w:fill="CCEEFF"/>
            <w:vAlign w:val="bottom"/>
            <w:hideMark/>
          </w:tcPr>
          <w:p w:rsidR="00000000" w:rsidRDefault="008B4DBF">
            <w:pPr>
              <w:jc w:val="both"/>
              <w:rPr>
                <w:rFonts w:eastAsia="Times New Roman"/>
                <w:sz w:val="20"/>
                <w:szCs w:val="20"/>
              </w:rPr>
            </w:pPr>
          </w:p>
        </w:tc>
        <w:tc>
          <w:tcPr>
            <w:tcW w:w="0" w:type="auto"/>
            <w:shd w:val="clear" w:color="auto" w:fill="CCEEFF"/>
            <w:vAlign w:val="bottom"/>
            <w:hideMark/>
          </w:tcPr>
          <w:p w:rsidR="00000000" w:rsidRDefault="008B4DBF">
            <w:pPr>
              <w:jc w:val="right"/>
              <w:rPr>
                <w:rFonts w:eastAsia="Times New Roman"/>
                <w:sz w:val="20"/>
                <w:szCs w:val="20"/>
              </w:rPr>
            </w:pPr>
          </w:p>
        </w:tc>
      </w:tr>
      <w:tr w:rsidR="00000000">
        <w:trPr>
          <w:tblCellSpacing w:w="0" w:type="dxa"/>
        </w:trPr>
        <w:tc>
          <w:tcPr>
            <w:tcW w:w="0" w:type="auto"/>
            <w:shd w:val="clear" w:color="auto" w:fill="FFFFFF"/>
            <w:hideMark/>
          </w:tcPr>
          <w:p w:rsidR="00000000" w:rsidRDefault="008B4DBF">
            <w:pPr>
              <w:pStyle w:val="NormalWeb"/>
              <w:spacing w:before="0" w:beforeAutospacing="0" w:after="0" w:afterAutospacing="0"/>
              <w:jc w:val="both"/>
              <w:rPr>
                <w:sz w:val="20"/>
                <w:szCs w:val="20"/>
              </w:rPr>
            </w:pPr>
            <w:proofErr w:type="gramStart"/>
            <w:r>
              <w:rPr>
                <w:sz w:val="20"/>
                <w:szCs w:val="20"/>
              </w:rPr>
              <w:t>Non Cash</w:t>
            </w:r>
            <w:proofErr w:type="gramEnd"/>
            <w:r>
              <w:rPr>
                <w:sz w:val="20"/>
                <w:szCs w:val="20"/>
              </w:rPr>
              <w:t xml:space="preserve"> Investing and Financing Activities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8B4DBF">
            <w:pPr>
              <w:pStyle w:val="NormalWeb"/>
              <w:spacing w:before="0" w:beforeAutospacing="0" w:after="0" w:afterAutospacing="0"/>
              <w:ind w:left="450"/>
              <w:jc w:val="both"/>
              <w:rPr>
                <w:sz w:val="20"/>
                <w:szCs w:val="20"/>
              </w:rPr>
            </w:pPr>
            <w:r>
              <w:rPr>
                <w:sz w:val="20"/>
                <w:szCs w:val="20"/>
              </w:rPr>
              <w:t>Cash paid for Interest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4,550</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5,027</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bl>
    <w:p w:rsidR="00000000" w:rsidRDefault="008B4DBF">
      <w:pPr>
        <w:pStyle w:val="NormalWeb"/>
        <w:jc w:val="center"/>
      </w:pPr>
      <w:r>
        <w:rPr>
          <w:b/>
          <w:bCs/>
          <w:sz w:val="20"/>
          <w:szCs w:val="20"/>
        </w:rPr>
        <w:t>See accompanying notes to condensed consolidated financial statements.</w:t>
      </w:r>
    </w:p>
    <w:p w:rsidR="00000000" w:rsidRDefault="008B4DBF">
      <w:pPr>
        <w:pStyle w:val="NormalWeb"/>
      </w:pPr>
      <w:r>
        <w:t> </w:t>
      </w:r>
    </w:p>
    <w:p w:rsidR="00000000" w:rsidRDefault="008B4DBF">
      <w:pPr>
        <w:pStyle w:val="NormalWeb"/>
      </w:pPr>
      <w:hyperlink w:anchor="toc" w:history="1">
        <w:r>
          <w:rPr>
            <w:rStyle w:val="Hyperlink"/>
            <w:b/>
            <w:bCs/>
            <w:sz w:val="20"/>
            <w:szCs w:val="20"/>
          </w:rPr>
          <w:t>Return to Table of Contents</w:t>
        </w:r>
      </w:hyperlink>
    </w:p>
    <w:p w:rsidR="00453C41" w:rsidRDefault="008B4DBF">
      <w:pPr>
        <w:rPr>
          <w:rFonts w:eastAsia="Times New Roman"/>
        </w:rPr>
      </w:pPr>
      <w:r>
        <w:rPr>
          <w:rFonts w:eastAsia="Times New Roman"/>
        </w:rPr>
        <w:pict>
          <v:rect id="_x0000_i1032" style="width:0;height:2pt" o:hralign="center" o:hrstd="t" o:hrnoshade="t" o:hr="t" fillcolor="black" stroked="f"/>
        </w:pict>
      </w:r>
    </w:p>
    <w:p w:rsidR="00453C41" w:rsidRDefault="00453C41">
      <w:pPr>
        <w:rPr>
          <w:rFonts w:eastAsia="Times New Roman"/>
        </w:rPr>
      </w:pPr>
      <w:r>
        <w:rPr>
          <w:rFonts w:eastAsia="Times New Roman"/>
        </w:rPr>
        <w:br w:type="page"/>
      </w:r>
    </w:p>
    <w:p w:rsidR="00000000" w:rsidRDefault="008B4DBF">
      <w:pPr>
        <w:pStyle w:val="NormalWeb"/>
      </w:pPr>
      <w:bookmarkStart w:id="1" w:name="notes"/>
      <w:bookmarkEnd w:id="1"/>
      <w:r>
        <w:rPr>
          <w:b/>
          <w:bCs/>
          <w:sz w:val="20"/>
          <w:szCs w:val="20"/>
        </w:rPr>
        <w:lastRenderedPageBreak/>
        <w:t>NOTES TO CONDENSED CONSOLIDATED FINANCIAL STATEMENTS</w:t>
      </w:r>
    </w:p>
    <w:p w:rsidR="00000000" w:rsidRDefault="008B4DBF">
      <w:pPr>
        <w:pStyle w:val="NormalWeb"/>
      </w:pPr>
      <w:r>
        <w:rPr>
          <w:b/>
          <w:bCs/>
          <w:sz w:val="20"/>
          <w:szCs w:val="20"/>
        </w:rPr>
        <w:t>NOTE 1- ORGANIZATION AND LINE OF BUSINESS</w:t>
      </w:r>
    </w:p>
    <w:p w:rsidR="00000000" w:rsidRDefault="008B4DBF">
      <w:pPr>
        <w:pStyle w:val="NormalWeb"/>
      </w:pPr>
      <w:r>
        <w:rPr>
          <w:rStyle w:val="Emphasis"/>
          <w:sz w:val="20"/>
          <w:szCs w:val="20"/>
        </w:rPr>
        <w:t>Organization and Basis of Presentation:</w:t>
      </w:r>
    </w:p>
    <w:p w:rsidR="00000000" w:rsidRDefault="008B4DBF">
      <w:pPr>
        <w:pStyle w:val="NormalWeb"/>
      </w:pPr>
      <w:r>
        <w:rPr>
          <w:sz w:val="20"/>
          <w:szCs w:val="20"/>
        </w:rPr>
        <w:t>The accompanying unaudited interim condensed consolid</w:t>
      </w:r>
      <w:r>
        <w:rPr>
          <w:sz w:val="20"/>
          <w:szCs w:val="20"/>
        </w:rPr>
        <w:t>ated financial statements of Advanced Oxygen Technologies, Inc. (“Group” or the “Company”) have been prepared by management in accordance with accounting principles generally accepted in the United States of America for interim financial information and pu</w:t>
      </w:r>
      <w:r>
        <w:rPr>
          <w:sz w:val="20"/>
          <w:szCs w:val="20"/>
        </w:rPr>
        <w:t>rsuant to rules and regulations of the Securities and Exchange Commission (“SEC”). Accordingly, they do not include all information and footnotes required by generally accepted accounting principles for annual audited financial statements. In the opinion o</w:t>
      </w:r>
      <w:r>
        <w:rPr>
          <w:sz w:val="20"/>
          <w:szCs w:val="20"/>
        </w:rPr>
        <w:t>f management, all adjustments considered necessary for a fair presentation have been included.</w:t>
      </w:r>
      <w:r>
        <w:rPr>
          <w:sz w:val="20"/>
          <w:szCs w:val="20"/>
        </w:rPr>
        <w:br/>
      </w:r>
      <w:r>
        <w:rPr>
          <w:sz w:val="20"/>
          <w:szCs w:val="20"/>
        </w:rPr>
        <w:br/>
        <w:t>The results of operations for the nine months ended March 31, 2018 are not necessarily indicative of the results to be expected for the year ending June 30, 201</w:t>
      </w:r>
      <w:r>
        <w:rPr>
          <w:sz w:val="20"/>
          <w:szCs w:val="20"/>
        </w:rPr>
        <w:t>8. The accompanying unaudited interim condensed consolidated financial statements should be read in conjunction with the Company’s audited consolidated financial statements and notes related thereto for the years ended June 30, 2017 and 2016 included in Fo</w:t>
      </w:r>
      <w:r>
        <w:rPr>
          <w:sz w:val="20"/>
          <w:szCs w:val="20"/>
        </w:rPr>
        <w:t>rm 10-K filed with the SEC.</w:t>
      </w:r>
    </w:p>
    <w:p w:rsidR="00000000" w:rsidRDefault="008B4DBF">
      <w:pPr>
        <w:pStyle w:val="NormalWeb"/>
      </w:pPr>
      <w:r>
        <w:rPr>
          <w:i/>
          <w:iCs/>
          <w:sz w:val="20"/>
          <w:szCs w:val="20"/>
        </w:rPr>
        <w:t>Lines of Business:</w:t>
      </w:r>
    </w:p>
    <w:p w:rsidR="00000000" w:rsidRDefault="008B4DBF">
      <w:pPr>
        <w:pStyle w:val="NormalWeb"/>
      </w:pPr>
      <w:r>
        <w:rPr>
          <w:sz w:val="20"/>
          <w:szCs w:val="20"/>
        </w:rPr>
        <w:t>The Company, through its wholly owned subsidiary Anton Nielsen Vojens ApS owns income producing commercial real estate leased until 2026. The real estate consists solely of the land with no buildings or impro</w:t>
      </w:r>
      <w:r>
        <w:rPr>
          <w:sz w:val="20"/>
          <w:szCs w:val="20"/>
        </w:rPr>
        <w:t>vements (“Land”). All improvements on the Land are those of the tenant.</w:t>
      </w:r>
    </w:p>
    <w:p w:rsidR="00000000" w:rsidRDefault="008B4DBF">
      <w:pPr>
        <w:pStyle w:val="NormalWeb"/>
      </w:pPr>
      <w:r>
        <w:rPr>
          <w:b/>
          <w:bCs/>
          <w:sz w:val="20"/>
          <w:szCs w:val="20"/>
        </w:rPr>
        <w:t>NOTE 2 - SUMMARY OF SIGNIFICANT ACCOUNTING POLICIES:</w:t>
      </w:r>
    </w:p>
    <w:p w:rsidR="00000000" w:rsidRDefault="008B4DBF">
      <w:pPr>
        <w:pStyle w:val="NormalWeb"/>
      </w:pPr>
      <w:r>
        <w:rPr>
          <w:i/>
          <w:iCs/>
          <w:sz w:val="20"/>
          <w:szCs w:val="20"/>
        </w:rPr>
        <w:t xml:space="preserve">Revenue recognition of rental income: </w:t>
      </w:r>
    </w:p>
    <w:p w:rsidR="00000000" w:rsidRDefault="008B4DBF">
      <w:pPr>
        <w:pStyle w:val="NormalWeb"/>
      </w:pPr>
      <w:r>
        <w:rPr>
          <w:sz w:val="20"/>
          <w:szCs w:val="20"/>
        </w:rPr>
        <w:t>Revenues are recognized during the period in which the rental payment is received. The Comp</w:t>
      </w:r>
      <w:r>
        <w:rPr>
          <w:sz w:val="20"/>
          <w:szCs w:val="20"/>
        </w:rPr>
        <w:t>any applies the provisions of FASB Accounting Standards Codification ('ASC') 605-10. Revenue Recognition in Financial Statements ASC 605-10, which provides guidance on recognition, presentation, and disclosure of revenues in financial statements filed with</w:t>
      </w:r>
      <w:r>
        <w:rPr>
          <w:sz w:val="20"/>
          <w:szCs w:val="20"/>
        </w:rPr>
        <w:t xml:space="preserve"> the SEC.  </w:t>
      </w:r>
    </w:p>
    <w:p w:rsidR="00000000" w:rsidRDefault="008B4DBF">
      <w:pPr>
        <w:pStyle w:val="NormalWeb"/>
      </w:pPr>
      <w:r>
        <w:rPr>
          <w:sz w:val="20"/>
          <w:szCs w:val="20"/>
        </w:rPr>
        <w:t>The Company's source of revenue is from a commercial property lease in which quarterly payments are received pursuant to the property lease which is in effect until 2026.</w:t>
      </w:r>
    </w:p>
    <w:p w:rsidR="00000000" w:rsidRDefault="008B4DBF">
      <w:pPr>
        <w:pStyle w:val="NormalWeb"/>
      </w:pPr>
      <w:hyperlink w:anchor="toc" w:history="1">
        <w:r>
          <w:rPr>
            <w:rStyle w:val="Hyperlink"/>
            <w:b/>
            <w:bCs/>
            <w:sz w:val="20"/>
            <w:szCs w:val="20"/>
          </w:rPr>
          <w:t>Return to Table of Contents</w:t>
        </w:r>
      </w:hyperlink>
    </w:p>
    <w:p w:rsidR="00453C41" w:rsidRDefault="008B4DBF">
      <w:pPr>
        <w:rPr>
          <w:rFonts w:eastAsia="Times New Roman"/>
        </w:rPr>
      </w:pPr>
      <w:r>
        <w:rPr>
          <w:rFonts w:eastAsia="Times New Roman"/>
        </w:rPr>
        <w:pict>
          <v:rect id="_x0000_i1033" style="width:0;height:2pt" o:hralign="center" o:hrstd="t" o:hrnoshade="t" o:hr="t" fillcolor="black" stroked="f"/>
        </w:pict>
      </w:r>
    </w:p>
    <w:p w:rsidR="00453C41" w:rsidRDefault="00453C41">
      <w:pPr>
        <w:rPr>
          <w:rFonts w:eastAsia="Times New Roman"/>
        </w:rPr>
      </w:pPr>
      <w:r>
        <w:rPr>
          <w:rFonts w:eastAsia="Times New Roman"/>
        </w:rPr>
        <w:br w:type="page"/>
      </w:r>
    </w:p>
    <w:p w:rsidR="00000000" w:rsidRDefault="008B4DBF">
      <w:pPr>
        <w:rPr>
          <w:rFonts w:eastAsia="Times New Roman"/>
        </w:rPr>
      </w:pPr>
      <w:r>
        <w:rPr>
          <w:rFonts w:eastAsia="Times New Roman"/>
          <w:i/>
          <w:iCs/>
          <w:sz w:val="20"/>
          <w:szCs w:val="20"/>
        </w:rPr>
        <w:lastRenderedPageBreak/>
        <w:t>Property Plant and Equipment:</w:t>
      </w:r>
      <w:r>
        <w:rPr>
          <w:rFonts w:eastAsia="Times New Roman"/>
        </w:rPr>
        <w:t xml:space="preserve"> </w:t>
      </w:r>
    </w:p>
    <w:p w:rsidR="00000000" w:rsidRDefault="008B4DBF">
      <w:pPr>
        <w:pStyle w:val="NormalWeb"/>
      </w:pPr>
      <w:r>
        <w:rPr>
          <w:sz w:val="20"/>
          <w:szCs w:val="20"/>
        </w:rPr>
        <w:t>Land and buildings are recognized at cost. Land is carried at cost less accumulated impairment losses.</w:t>
      </w:r>
    </w:p>
    <w:p w:rsidR="00000000" w:rsidRDefault="008B4DBF">
      <w:pPr>
        <w:pStyle w:val="NormalWeb"/>
      </w:pPr>
      <w:r>
        <w:t> </w:t>
      </w:r>
      <w:r>
        <w:rPr>
          <w:i/>
          <w:iCs/>
          <w:sz w:val="20"/>
          <w:szCs w:val="20"/>
        </w:rPr>
        <w:t>Foreign currency translation:</w:t>
      </w:r>
    </w:p>
    <w:p w:rsidR="00000000" w:rsidRDefault="008B4DBF">
      <w:pPr>
        <w:pStyle w:val="NormalWeb"/>
      </w:pPr>
      <w:r>
        <w:rPr>
          <w:sz w:val="20"/>
          <w:szCs w:val="20"/>
        </w:rPr>
        <w:t xml:space="preserve">Foreign currency transactions are translated applying the </w:t>
      </w:r>
      <w:r>
        <w:rPr>
          <w:sz w:val="20"/>
          <w:szCs w:val="20"/>
        </w:rPr>
        <w:t>current rate method. Assets and liabilities are translated at current rates. Stockholders' equity accounts are translated at the appropriate historical rates and revenue and expenses are translated at weighted average rates for the year. Exchange rate diff</w:t>
      </w:r>
      <w:r>
        <w:rPr>
          <w:sz w:val="20"/>
          <w:szCs w:val="20"/>
        </w:rPr>
        <w:t>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000000" w:rsidRDefault="008B4DBF">
      <w:pPr>
        <w:pStyle w:val="NormalWeb"/>
      </w:pPr>
      <w:r>
        <w:rPr>
          <w:sz w:val="20"/>
          <w:szCs w:val="20"/>
        </w:rPr>
        <w:t xml:space="preserve">The Company accounts for income taxes under the asset and liability </w:t>
      </w:r>
      <w:r>
        <w:rPr>
          <w:sz w:val="20"/>
          <w:szCs w:val="20"/>
        </w:rPr>
        <w:t>method of accounting. Under this method, deferred tax assets and liabilities are recognized for the future tax consequences attributable to differences between the financial statement carrying amounts of existing assets and liabilities and their respective</w:t>
      </w:r>
      <w:r>
        <w:rPr>
          <w:sz w:val="20"/>
          <w:szCs w:val="20"/>
        </w:rPr>
        <w:t xml:space="preserve"> tax bases. Deferred tax assets and liabilities are measured using enacted tax rates expected to apply to taxable income in the years in which those temporary differences are expected to be recovered or settled. The effect on deferred tax assets and liabil</w:t>
      </w:r>
      <w:r>
        <w:rPr>
          <w:sz w:val="20"/>
          <w:szCs w:val="20"/>
        </w:rPr>
        <w:t>ities of a change in tax rates is recognized in income in the period that includes the enactment date. A valuation allowance is required when it is less likely than not that the Company will be able to realize all or a portion of its deferred tax assets. B</w:t>
      </w:r>
      <w:r>
        <w:rPr>
          <w:sz w:val="20"/>
          <w:szCs w:val="20"/>
        </w:rPr>
        <w:t>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000000" w:rsidRDefault="008B4DBF">
      <w:pPr>
        <w:pStyle w:val="NormalWeb"/>
        <w:spacing w:before="0" w:beforeAutospacing="0" w:after="0" w:afterAutospacing="0"/>
      </w:pPr>
      <w:r>
        <w:rPr>
          <w:sz w:val="20"/>
          <w:szCs w:val="20"/>
        </w:rPr>
        <w:t>Basic earnings per share is computed by di</w:t>
      </w:r>
      <w:r>
        <w:rPr>
          <w:sz w:val="20"/>
          <w:szCs w:val="20"/>
        </w:rPr>
        <w:t>viding income available to common shareholders by the weighted-average number of common shares available. Diluted earnings per share is computed similar to basic earnings per share except that the denominator is increased to include the number of additiona</w:t>
      </w:r>
      <w:r>
        <w:rPr>
          <w:sz w:val="20"/>
          <w:szCs w:val="20"/>
        </w:rPr>
        <w:t xml:space="preserve">l common shares that would have been outstanding if the potential common shares had been issued and if the additional common shares were dilutive. As of </w:t>
      </w:r>
      <w:proofErr w:type="gramStart"/>
      <w:r>
        <w:rPr>
          <w:sz w:val="20"/>
          <w:szCs w:val="20"/>
        </w:rPr>
        <w:t>March 31, 2018</w:t>
      </w:r>
      <w:proofErr w:type="gramEnd"/>
      <w:r>
        <w:rPr>
          <w:sz w:val="20"/>
          <w:szCs w:val="20"/>
        </w:rPr>
        <w:t xml:space="preserve"> and March 31, 2017 there were 10,000 and 10,000 potential dilutive shares that need to b</w:t>
      </w:r>
      <w:r>
        <w:rPr>
          <w:sz w:val="20"/>
          <w:szCs w:val="20"/>
        </w:rPr>
        <w:t xml:space="preserve">e considered as common share equivalents. Because of the net loss at March 31, 2017, the effect of these potential common shares is anti-dilutive for the </w:t>
      </w:r>
      <w:proofErr w:type="gramStart"/>
      <w:r>
        <w:rPr>
          <w:sz w:val="20"/>
          <w:szCs w:val="20"/>
        </w:rPr>
        <w:t>nine month</w:t>
      </w:r>
      <w:proofErr w:type="gramEnd"/>
      <w:r>
        <w:rPr>
          <w:sz w:val="20"/>
          <w:szCs w:val="20"/>
        </w:rPr>
        <w:t xml:space="preserve"> period ending March 31, 2017.</w:t>
      </w:r>
    </w:p>
    <w:p w:rsidR="00000000" w:rsidRDefault="008B4DBF">
      <w:pPr>
        <w:pStyle w:val="NormalWeb"/>
        <w:spacing w:before="0" w:beforeAutospacing="0" w:after="0" w:afterAutospacing="0"/>
      </w:pPr>
      <w:r>
        <w:rPr>
          <w:sz w:val="20"/>
          <w:szCs w:val="20"/>
        </w:rPr>
        <w:br/>
      </w:r>
      <w:r>
        <w:rPr>
          <w:i/>
          <w:iCs/>
          <w:sz w:val="20"/>
          <w:szCs w:val="20"/>
        </w:rPr>
        <w:t>Cash and Cash Equivalents:</w:t>
      </w:r>
    </w:p>
    <w:p w:rsidR="00000000" w:rsidRDefault="008B4DBF">
      <w:pPr>
        <w:pStyle w:val="NormalWeb"/>
      </w:pPr>
      <w:r>
        <w:rPr>
          <w:sz w:val="20"/>
          <w:szCs w:val="20"/>
        </w:rPr>
        <w:t xml:space="preserve">For purposes of the statement of </w:t>
      </w:r>
      <w:r>
        <w:rPr>
          <w:sz w:val="20"/>
          <w:szCs w:val="20"/>
        </w:rPr>
        <w:t xml:space="preserve">cash flows, the Company considers all highly-liquid investments purchased with original maturities of three months or less to be cash equivalents.  </w:t>
      </w:r>
    </w:p>
    <w:p w:rsidR="00000000" w:rsidRDefault="008B4DBF">
      <w:pPr>
        <w:pStyle w:val="NormalWeb"/>
      </w:pPr>
      <w:r>
        <w:rPr>
          <w:sz w:val="20"/>
          <w:szCs w:val="20"/>
        </w:rPr>
        <w:t>The Company maintains its cash in bank deposit accounts which, at March 31, 2018 did not exceed federally i</w:t>
      </w:r>
      <w:r>
        <w:rPr>
          <w:sz w:val="20"/>
          <w:szCs w:val="20"/>
        </w:rPr>
        <w:t>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8B4DBF">
      <w:pPr>
        <w:pStyle w:val="NormalWeb"/>
      </w:pPr>
      <w:r>
        <w:rPr>
          <w:sz w:val="20"/>
          <w:szCs w:val="20"/>
        </w:rPr>
        <w:t>The preparation of financial statements in conformity with generally accepted account</w:t>
      </w:r>
      <w:r>
        <w:rPr>
          <w:sz w:val="20"/>
          <w:szCs w:val="20"/>
        </w:rPr>
        <w:t>ing principles requires management to make estimates and assumptions that affect the reported amounts of assets and liabilities and disclosures of contingent assets and liabilities at the date of the financial statements, as well as the reported amounts of</w:t>
      </w:r>
      <w:r>
        <w:rPr>
          <w:sz w:val="20"/>
          <w:szCs w:val="20"/>
        </w:rPr>
        <w:t xml:space="preserve">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000000" w:rsidRDefault="008B4DBF">
      <w:pPr>
        <w:pStyle w:val="NormalWeb"/>
      </w:pPr>
      <w:r>
        <w:rPr>
          <w:sz w:val="20"/>
          <w:szCs w:val="20"/>
        </w:rPr>
        <w:t>Financial instruments that potentially subject the Company to major credit risk consist principally of a single subsidiary o</w:t>
      </w:r>
      <w:r>
        <w:rPr>
          <w:sz w:val="20"/>
          <w:szCs w:val="20"/>
        </w:rPr>
        <w:t>f Anton Nielsen Vojens ApS.</w:t>
      </w:r>
    </w:p>
    <w:p w:rsidR="00000000" w:rsidRDefault="008B4DBF">
      <w:pPr>
        <w:pStyle w:val="NormalWeb"/>
      </w:pPr>
      <w:r>
        <w:rPr>
          <w:i/>
          <w:iCs/>
          <w:sz w:val="20"/>
          <w:szCs w:val="20"/>
        </w:rPr>
        <w:t xml:space="preserve">Reclassification: </w:t>
      </w:r>
    </w:p>
    <w:p w:rsidR="00000000" w:rsidRDefault="008B4DBF">
      <w:pPr>
        <w:pStyle w:val="NormalWeb"/>
      </w:pPr>
      <w:r>
        <w:rPr>
          <w:sz w:val="20"/>
          <w:szCs w:val="20"/>
        </w:rPr>
        <w:t>Certain balances in previously issued financial statements have been reclassified to be consistent with the current period presentation.</w:t>
      </w:r>
    </w:p>
    <w:p w:rsidR="00000000" w:rsidRDefault="008B4DBF">
      <w:pPr>
        <w:pStyle w:val="NormalWeb"/>
        <w:rPr>
          <w:sz w:val="20"/>
          <w:szCs w:val="20"/>
        </w:rPr>
      </w:pPr>
      <w:hyperlink w:anchor="toc" w:history="1">
        <w:r>
          <w:rPr>
            <w:rStyle w:val="Hyperlink"/>
            <w:b/>
            <w:bCs/>
            <w:sz w:val="20"/>
            <w:szCs w:val="20"/>
          </w:rPr>
          <w:t>Return to Table of Contents</w:t>
        </w:r>
      </w:hyperlink>
      <w:r>
        <w:rPr>
          <w:sz w:val="20"/>
          <w:szCs w:val="20"/>
        </w:rPr>
        <w:t xml:space="preserve"> </w:t>
      </w:r>
    </w:p>
    <w:p w:rsidR="00000000" w:rsidRDefault="008B4DBF">
      <w:pPr>
        <w:rPr>
          <w:rFonts w:eastAsia="Times New Roman"/>
          <w:sz w:val="20"/>
          <w:szCs w:val="20"/>
        </w:rPr>
      </w:pPr>
      <w:r>
        <w:rPr>
          <w:rFonts w:eastAsia="Times New Roman"/>
          <w:sz w:val="20"/>
          <w:szCs w:val="20"/>
        </w:rPr>
        <w:pict>
          <v:rect id="_x0000_i1034" style="width:0;height:2pt" o:hralign="center" o:hrstd="t" o:hrnoshade="t" o:hr="t" fillcolor="black" stroked="f"/>
        </w:pict>
      </w:r>
    </w:p>
    <w:p w:rsidR="00000000" w:rsidRDefault="008B4DBF">
      <w:pPr>
        <w:pStyle w:val="NormalWeb"/>
      </w:pPr>
      <w:r>
        <w:rPr>
          <w:i/>
          <w:iCs/>
          <w:sz w:val="20"/>
          <w:szCs w:val="20"/>
        </w:rPr>
        <w:lastRenderedPageBreak/>
        <w:t>Recently Issued Accounting Standards:</w:t>
      </w:r>
    </w:p>
    <w:p w:rsidR="00000000" w:rsidRDefault="008B4DBF">
      <w:pPr>
        <w:pStyle w:val="NormalWeb"/>
      </w:pPr>
      <w:r>
        <w:rPr>
          <w:sz w:val="20"/>
          <w:szCs w:val="20"/>
        </w:rPr>
        <w:t>In May 2014, the Financial Accounting Standards Board (FASB) issued a new standard to achieve a consistent applica</w:t>
      </w:r>
      <w:r>
        <w:rPr>
          <w:sz w:val="20"/>
          <w:szCs w:val="20"/>
        </w:rPr>
        <w:t>tion of revenue recognition within the U.S., resulting in a single revenue model to be applied by reporting companies under U.S. generally accepted accounting principles. Under the new model, recognition of revenue occurs when a customer obtains control of</w:t>
      </w:r>
      <w:r>
        <w:rPr>
          <w:sz w:val="20"/>
          <w:szCs w:val="20"/>
        </w:rPr>
        <w:t xml:space="preserve"> promised goods or services in an amount that reflects the consideration to which the entity expects to be entitled in exchange for those goods or services. In addition, the new standard requires that reporting companies disclose the nature, amount, timing</w:t>
      </w:r>
      <w:r>
        <w:rPr>
          <w:sz w:val="20"/>
          <w:szCs w:val="20"/>
        </w:rPr>
        <w:t>, and uncertainty of revenue and cash flows arising from contracts with customers. On July 9, 2015, the FASB agreed to delay the effective date by one year; accordingly, the new standard is effective for us beginning in the first quarter of 2018 and we exp</w:t>
      </w:r>
      <w:r>
        <w:rPr>
          <w:sz w:val="20"/>
          <w:szCs w:val="20"/>
        </w:rPr>
        <w:t xml:space="preserve">ect to adopt it at that time. The new standard is required to be applied retrospectively to each prior reporting period presented or retrospectively with the cumulative effect of initially applying it recognized at the date of initial application. We have </w:t>
      </w:r>
      <w:r>
        <w:rPr>
          <w:sz w:val="20"/>
          <w:szCs w:val="20"/>
        </w:rPr>
        <w:t>not yet selected a transition method, nor have we determined the impact of the new standard on our consolidated financial statements. </w:t>
      </w:r>
    </w:p>
    <w:p w:rsidR="00000000" w:rsidRDefault="008B4DBF">
      <w:pPr>
        <w:pStyle w:val="NormalWeb"/>
        <w:spacing w:before="0" w:beforeAutospacing="0" w:after="0" w:afterAutospacing="0"/>
        <w:jc w:val="both"/>
        <w:rPr>
          <w:sz w:val="20"/>
          <w:szCs w:val="20"/>
        </w:rPr>
      </w:pPr>
      <w:r>
        <w:rPr>
          <w:sz w:val="20"/>
          <w:szCs w:val="20"/>
        </w:rPr>
        <w:t>Other recent accounting pronouncements issued by the FASB did not or are not believed by management to have a material im</w:t>
      </w:r>
      <w:r>
        <w:rPr>
          <w:sz w:val="20"/>
          <w:szCs w:val="20"/>
        </w:rPr>
        <w:t>pact on the Company's present or future financial statements.</w:t>
      </w:r>
    </w:p>
    <w:p w:rsidR="00000000" w:rsidRDefault="008B4DBF">
      <w:pPr>
        <w:pStyle w:val="NormalWeb"/>
      </w:pPr>
      <w:r>
        <w:t> </w:t>
      </w:r>
      <w:r>
        <w:rPr>
          <w:b/>
          <w:bCs/>
          <w:sz w:val="20"/>
          <w:szCs w:val="20"/>
        </w:rPr>
        <w:t>NOTE 3 - MAJOR CUSTOMER:</w:t>
      </w:r>
    </w:p>
    <w:p w:rsidR="00000000" w:rsidRDefault="008B4DBF">
      <w:pPr>
        <w:pStyle w:val="NormalWeb"/>
      </w:pPr>
      <w:r>
        <w:rPr>
          <w:sz w:val="20"/>
          <w:szCs w:val="20"/>
        </w:rPr>
        <w:t xml:space="preserve">The Company's subsidiary, Anton Nielsen Vojens, ApS has sales to major customers who were </w:t>
      </w:r>
      <w:proofErr w:type="gramStart"/>
      <w:r>
        <w:rPr>
          <w:sz w:val="20"/>
          <w:szCs w:val="20"/>
        </w:rPr>
        <w:t>non related</w:t>
      </w:r>
      <w:proofErr w:type="gramEnd"/>
      <w:r>
        <w:rPr>
          <w:sz w:val="20"/>
          <w:szCs w:val="20"/>
        </w:rPr>
        <w:t xml:space="preserve"> parties. For the period ending March 31, 2018, and March 31, 2018 </w:t>
      </w:r>
      <w:r>
        <w:rPr>
          <w:sz w:val="20"/>
          <w:szCs w:val="20"/>
        </w:rPr>
        <w:t xml:space="preserve">the major customer concentrations were as follows: </w:t>
      </w:r>
    </w:p>
    <w:tbl>
      <w:tblPr>
        <w:tblW w:w="4250" w:type="pct"/>
        <w:jc w:val="center"/>
        <w:tblCellSpacing w:w="0" w:type="dxa"/>
        <w:tblCellMar>
          <w:left w:w="0" w:type="dxa"/>
          <w:right w:w="0" w:type="dxa"/>
        </w:tblCellMar>
        <w:tblLook w:val="04A0" w:firstRow="1" w:lastRow="0" w:firstColumn="1" w:lastColumn="0" w:noHBand="0" w:noVBand="1"/>
      </w:tblPr>
      <w:tblGrid>
        <w:gridCol w:w="6726"/>
        <w:gridCol w:w="50"/>
        <w:gridCol w:w="50"/>
        <w:gridCol w:w="145"/>
        <w:gridCol w:w="807"/>
        <w:gridCol w:w="200"/>
        <w:gridCol w:w="50"/>
        <w:gridCol w:w="144"/>
        <w:gridCol w:w="808"/>
        <w:gridCol w:w="200"/>
      </w:tblGrid>
      <w:tr w:rsidR="00000000">
        <w:trPr>
          <w:tblCellSpacing w:w="0" w:type="dxa"/>
          <w:jc w:val="center"/>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Percent of Sales</w:t>
            </w:r>
            <w:r>
              <w:rPr>
                <w:b/>
                <w:bCs/>
                <w:sz w:val="20"/>
                <w:szCs w:val="20"/>
              </w:rPr>
              <w:br/>
              <w:t xml:space="preserve">for the Period ending March 31,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3750" w:type="pct"/>
            <w:shd w:val="clear" w:color="auto" w:fill="CCEEFF"/>
            <w:hideMark/>
          </w:tcPr>
          <w:p w:rsidR="00000000" w:rsidRDefault="008B4DBF">
            <w:pPr>
              <w:pStyle w:val="NormalWeb"/>
              <w:spacing w:before="0" w:beforeAutospacing="0" w:after="0" w:afterAutospacing="0"/>
              <w:jc w:val="center"/>
              <w:rPr>
                <w:sz w:val="20"/>
                <w:szCs w:val="20"/>
              </w:rPr>
            </w:pPr>
            <w:r>
              <w:rPr>
                <w:sz w:val="20"/>
                <w:szCs w:val="20"/>
              </w:rPr>
              <w:t xml:space="preserve">Circle K Denmark A/S, Formerly Statoil A/S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100</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100</w:t>
            </w:r>
          </w:p>
        </w:tc>
        <w:tc>
          <w:tcPr>
            <w:tcW w:w="0" w:type="auto"/>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r>
      <w:tr w:rsidR="00000000">
        <w:trPr>
          <w:tblCellSpacing w:w="0" w:type="dxa"/>
          <w:jc w:val="center"/>
        </w:trPr>
        <w:tc>
          <w:tcPr>
            <w:tcW w:w="0" w:type="auto"/>
            <w:shd w:val="clear" w:color="auto" w:fill="FFFFFF"/>
            <w:vAlign w:val="center"/>
            <w:hideMark/>
          </w:tcPr>
          <w:p w:rsidR="00000000" w:rsidRDefault="008B4DBF">
            <w:pPr>
              <w:rPr>
                <w:rFonts w:eastAsia="Times New Roman"/>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rPr>
                <w:sz w:val="20"/>
                <w:szCs w:val="20"/>
              </w:rPr>
            </w:pP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FFFFFF"/>
            <w:hideMark/>
          </w:tcPr>
          <w:p w:rsidR="00000000" w:rsidRDefault="008B4DBF">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8B4DBF">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8B4DBF">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8B4DBF">
            <w:pPr>
              <w:jc w:val="both"/>
              <w:rPr>
                <w:rFonts w:eastAsia="Times New Roman"/>
                <w:sz w:val="20"/>
                <w:szCs w:val="20"/>
              </w:rPr>
            </w:pPr>
            <w:r>
              <w:rPr>
                <w:rFonts w:eastAsia="Times New Roman"/>
                <w:b/>
                <w:bCs/>
                <w:sz w:val="20"/>
                <w:szCs w:val="20"/>
              </w:rPr>
              <w:t>%</w:t>
            </w:r>
          </w:p>
        </w:tc>
      </w:tr>
    </w:tbl>
    <w:p w:rsidR="00000000" w:rsidRDefault="008B4DBF">
      <w:pPr>
        <w:pStyle w:val="NormalWeb"/>
      </w:pPr>
      <w:r>
        <w:rPr>
          <w:b/>
          <w:bCs/>
          <w:sz w:val="20"/>
          <w:szCs w:val="20"/>
        </w:rPr>
        <w:t xml:space="preserve">NOTE 4 - LAND AND </w:t>
      </w:r>
      <w:proofErr w:type="gramStart"/>
      <w:r>
        <w:rPr>
          <w:b/>
          <w:bCs/>
          <w:sz w:val="20"/>
          <w:szCs w:val="20"/>
        </w:rPr>
        <w:t>BUILDINGS :</w:t>
      </w:r>
      <w:proofErr w:type="gramEnd"/>
    </w:p>
    <w:p w:rsidR="00000000" w:rsidRDefault="008B4DBF">
      <w:pPr>
        <w:pStyle w:val="NormalWeb"/>
      </w:pPr>
      <w:r>
        <w:rPr>
          <w:sz w:val="20"/>
          <w:szCs w:val="20"/>
        </w:rPr>
        <w:t xml:space="preserve">The Land owned by the Company's wholly owned subsidiary constitutes the largest asset of the Company. During the </w:t>
      </w:r>
      <w:proofErr w:type="gramStart"/>
      <w:r>
        <w:rPr>
          <w:sz w:val="20"/>
          <w:szCs w:val="20"/>
        </w:rPr>
        <w:t>nine month</w:t>
      </w:r>
      <w:proofErr w:type="gramEnd"/>
      <w:r>
        <w:rPr>
          <w:sz w:val="20"/>
          <w:szCs w:val="20"/>
        </w:rPr>
        <w:t xml:space="preserve"> period ending March 31, 2018 the Company recorded an increase in the carrying value of the Land of</w:t>
      </w:r>
      <w:r>
        <w:rPr>
          <w:color w:val="000000"/>
          <w:sz w:val="20"/>
          <w:szCs w:val="20"/>
        </w:rPr>
        <w:t xml:space="preserve"> $52,092 </w:t>
      </w:r>
      <w:r>
        <w:rPr>
          <w:sz w:val="20"/>
          <w:szCs w:val="20"/>
        </w:rPr>
        <w:t>due to the currency trans</w:t>
      </w:r>
      <w:r>
        <w:rPr>
          <w:sz w:val="20"/>
          <w:szCs w:val="20"/>
        </w:rPr>
        <w:t>lation difference. The carrying value of the Land of the Company was as follows:</w:t>
      </w:r>
    </w:p>
    <w:p w:rsidR="00000000" w:rsidRDefault="008B4DBF">
      <w:pPr>
        <w:pStyle w:val="NormalWeb"/>
        <w:spacing w:before="0" w:beforeAutospacing="0" w:after="0" w:afterAutospacing="0"/>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764"/>
        <w:gridCol w:w="299"/>
        <w:gridCol w:w="100"/>
        <w:gridCol w:w="823"/>
        <w:gridCol w:w="90"/>
        <w:gridCol w:w="90"/>
        <w:gridCol w:w="100"/>
        <w:gridCol w:w="824"/>
        <w:gridCol w:w="90"/>
      </w:tblGrid>
      <w:tr w:rsidR="00000000">
        <w:trPr>
          <w:tblCellSpacing w:w="0" w:type="dxa"/>
          <w:jc w:val="center"/>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 xml:space="preserve">Carrying Value of Land at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March 31, 2018</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8B4DBF">
            <w:pPr>
              <w:pStyle w:val="NormalWeb"/>
              <w:spacing w:before="0" w:beforeAutospacing="0" w:after="0" w:afterAutospacing="0"/>
              <w:jc w:val="center"/>
              <w:rPr>
                <w:sz w:val="20"/>
                <w:szCs w:val="20"/>
              </w:rPr>
            </w:pPr>
            <w:r>
              <w:rPr>
                <w:b/>
                <w:bCs/>
                <w:sz w:val="20"/>
                <w:szCs w:val="20"/>
              </w:rPr>
              <w:t>June 30, 2017</w:t>
            </w:r>
          </w:p>
        </w:tc>
        <w:tc>
          <w:tcPr>
            <w:tcW w:w="0" w:type="auto"/>
            <w:vAlign w:val="bottom"/>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rHeight w:val="150"/>
          <w:tblCellSpacing w:w="0" w:type="dxa"/>
          <w:jc w:val="center"/>
        </w:trPr>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8B4DBF">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hideMark/>
          </w:tcPr>
          <w:p w:rsidR="00000000" w:rsidRDefault="008B4DBF">
            <w:pPr>
              <w:pStyle w:val="NormalWeb"/>
              <w:spacing w:before="0" w:beforeAutospacing="0" w:after="0" w:afterAutospacing="0"/>
              <w:ind w:left="225"/>
              <w:rPr>
                <w:sz w:val="20"/>
                <w:szCs w:val="20"/>
              </w:rPr>
            </w:pPr>
            <w:r>
              <w:rPr>
                <w:sz w:val="20"/>
                <w:szCs w:val="20"/>
              </w:rPr>
              <w:t>US Dollars</w:t>
            </w:r>
          </w:p>
        </w:tc>
        <w:tc>
          <w:tcPr>
            <w:tcW w:w="0" w:type="auto"/>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color w:val="000000"/>
                <w:sz w:val="20"/>
                <w:szCs w:val="20"/>
              </w:rPr>
              <w:t>671,684</w:t>
            </w:r>
          </w:p>
        </w:tc>
        <w:tc>
          <w:tcPr>
            <w:tcW w:w="50" w:type="pct"/>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8B4DBF">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8B4DBF">
            <w:pPr>
              <w:jc w:val="right"/>
              <w:rPr>
                <w:rFonts w:eastAsia="Times New Roman"/>
                <w:sz w:val="20"/>
                <w:szCs w:val="20"/>
              </w:rPr>
            </w:pPr>
            <w:r>
              <w:rPr>
                <w:rFonts w:eastAsia="Times New Roman"/>
                <w:sz w:val="20"/>
                <w:szCs w:val="20"/>
              </w:rPr>
              <w:t>619,592</w:t>
            </w:r>
          </w:p>
        </w:tc>
        <w:tc>
          <w:tcPr>
            <w:tcW w:w="50" w:type="pct"/>
            <w:shd w:val="clear" w:color="auto" w:fill="CCEEFF"/>
            <w:vAlign w:val="bottom"/>
            <w:hideMark/>
          </w:tcPr>
          <w:p w:rsidR="00000000" w:rsidRDefault="008B4DBF">
            <w:pPr>
              <w:pStyle w:val="NormalWeb"/>
              <w:spacing w:before="0" w:beforeAutospacing="0" w:after="0" w:afterAutospacing="0"/>
              <w:jc w:val="both"/>
              <w:rPr>
                <w:sz w:val="20"/>
                <w:szCs w:val="20"/>
              </w:rPr>
            </w:pPr>
            <w:r>
              <w:rPr>
                <w:sz w:val="20"/>
                <w:szCs w:val="20"/>
              </w:rPr>
              <w:t> </w:t>
            </w:r>
          </w:p>
        </w:tc>
      </w:tr>
    </w:tbl>
    <w:p w:rsidR="00000000" w:rsidRDefault="008B4DBF">
      <w:pPr>
        <w:pStyle w:val="NormalWeb"/>
      </w:pPr>
      <w:hyperlink w:anchor="toc" w:history="1">
        <w:r>
          <w:rPr>
            <w:rStyle w:val="Hyperlink"/>
            <w:b/>
            <w:bCs/>
            <w:sz w:val="20"/>
            <w:szCs w:val="20"/>
          </w:rPr>
          <w:t>Return to Table of Contents</w:t>
        </w:r>
      </w:hyperlink>
    </w:p>
    <w:p w:rsidR="00453C41" w:rsidRDefault="008B4DBF">
      <w:pPr>
        <w:rPr>
          <w:rFonts w:eastAsia="Times New Roman"/>
        </w:rPr>
      </w:pPr>
      <w:r>
        <w:rPr>
          <w:rFonts w:eastAsia="Times New Roman"/>
        </w:rPr>
        <w:pict>
          <v:rect id="_x0000_i1035" style="width:0;height:2pt" o:hralign="center" o:hrstd="t" o:hrnoshade="t" o:hr="t" fillcolor="black" stroked="f"/>
        </w:pict>
      </w:r>
    </w:p>
    <w:p w:rsidR="00453C41" w:rsidRDefault="00453C41">
      <w:pPr>
        <w:rPr>
          <w:rFonts w:eastAsia="Times New Roman"/>
        </w:rPr>
      </w:pPr>
      <w:r>
        <w:rPr>
          <w:rFonts w:eastAsia="Times New Roman"/>
        </w:rPr>
        <w:br w:type="page"/>
      </w:r>
    </w:p>
    <w:p w:rsidR="00000000" w:rsidRDefault="008B4DBF">
      <w:pPr>
        <w:pStyle w:val="NormalWeb"/>
        <w:spacing w:before="0" w:beforeAutospacing="0" w:after="0" w:afterAutospacing="0"/>
      </w:pPr>
      <w:r>
        <w:rPr>
          <w:b/>
          <w:bCs/>
          <w:sz w:val="20"/>
          <w:szCs w:val="20"/>
        </w:rPr>
        <w:lastRenderedPageBreak/>
        <w:t>NOTE 5 - RELATED PARTY TRANSACTIONS:</w:t>
      </w:r>
      <w:r>
        <w:rPr>
          <w:b/>
          <w:bCs/>
          <w:sz w:val="20"/>
          <w:szCs w:val="20"/>
        </w:rPr>
        <w:br/>
      </w:r>
      <w:r>
        <w:rPr>
          <w:sz w:val="20"/>
          <w:szCs w:val="20"/>
        </w:rPr>
        <w:br/>
        <w:t>Advances payable to Crossfields, Inc., a company that the CEO, Robert Wolfe is an officer and director, which are not collateralized, non-interest b</w:t>
      </w:r>
      <w:r>
        <w:rPr>
          <w:sz w:val="20"/>
          <w:szCs w:val="20"/>
        </w:rPr>
        <w:t xml:space="preserve">earing, and payable upon demand, however, the Company did not expect to make payment within one year. During the </w:t>
      </w:r>
      <w:proofErr w:type="gramStart"/>
      <w:r>
        <w:rPr>
          <w:sz w:val="20"/>
          <w:szCs w:val="20"/>
        </w:rPr>
        <w:t>nine month</w:t>
      </w:r>
      <w:proofErr w:type="gramEnd"/>
      <w:r>
        <w:rPr>
          <w:sz w:val="20"/>
          <w:szCs w:val="20"/>
        </w:rPr>
        <w:t xml:space="preserve"> period ended March 31, 2018 and March 31, 2017 the Company had a balance of </w:t>
      </w:r>
      <w:r>
        <w:rPr>
          <w:color w:val="000000"/>
          <w:sz w:val="20"/>
          <w:szCs w:val="20"/>
        </w:rPr>
        <w:t xml:space="preserve">$110,343 </w:t>
      </w:r>
      <w:r>
        <w:rPr>
          <w:sz w:val="20"/>
          <w:szCs w:val="20"/>
        </w:rPr>
        <w:t>and was advanced $16,755 and had a balance of $</w:t>
      </w:r>
      <w:r>
        <w:rPr>
          <w:sz w:val="20"/>
          <w:szCs w:val="20"/>
        </w:rPr>
        <w:t xml:space="preserve">95,391 and was advanced $17,443 respectively, to meet expenses. </w:t>
      </w:r>
    </w:p>
    <w:p w:rsidR="00000000" w:rsidRDefault="008B4DBF">
      <w:pPr>
        <w:pStyle w:val="NormalWeb"/>
        <w:rPr>
          <w:rFonts w:ascii="were non-interest bearing and w" w:hAnsi="were non-interest bearing and w"/>
        </w:rPr>
      </w:pPr>
      <w:r>
        <w:rPr>
          <w:b/>
          <w:bCs/>
          <w:sz w:val="20"/>
          <w:szCs w:val="20"/>
        </w:rPr>
        <w:t>NOTE 6 - NOTES PAYABLE:</w:t>
      </w:r>
    </w:p>
    <w:p w:rsidR="00000000" w:rsidRDefault="008B4DBF">
      <w:pPr>
        <w:pStyle w:val="NormalWeb"/>
        <w:rPr>
          <w:rFonts w:ascii="were non-interest bearing and w" w:hAnsi="were non-interest bearing and w"/>
        </w:rPr>
      </w:pPr>
      <w:r>
        <w:rPr>
          <w:sz w:val="20"/>
          <w:szCs w:val="20"/>
        </w:rPr>
        <w:t>The Company issued a promissory note ("Note") for $650,000, payable to the Borkwood Development Ltd, a previous shareholder of the Company ("Seller"), payable and amo</w:t>
      </w:r>
      <w:r>
        <w:rPr>
          <w:sz w:val="20"/>
          <w:szCs w:val="20"/>
        </w:rPr>
        <w:t xml:space="preserve">rtized monthly and carrying an interest at 5% per year. The Company has the right to prepay the note at any time with a notice of 14 days. To secure the payment of principal and interest the Sellers will receive a perfect lien and security interest in the </w:t>
      </w:r>
      <w:r>
        <w:rPr>
          <w:sz w:val="20"/>
          <w:szCs w:val="20"/>
        </w:rPr>
        <w:t>Shares in the company ANV until the note with accrued interest is paid in full., and, 2) In the case that the Note has not been repaid within 12 months from the day of closing the Sellers have the right to convert the debt to common stock of Advanced Oxyge</w:t>
      </w:r>
      <w:r>
        <w:rPr>
          <w:sz w:val="20"/>
          <w:szCs w:val="20"/>
        </w:rPr>
        <w:t>n Technologies, Inc. in an amount of non diluted shares calculated on the conversion Date, equal to the lesser of : a) Six hundred and Fifty thousand (650,000) or the Purchase Price minus the principal payments made by the buyer, whichever is greater, divi</w:t>
      </w:r>
      <w:r>
        <w:rPr>
          <w:sz w:val="20"/>
          <w:szCs w:val="20"/>
        </w:rPr>
        <w:t>ded by the previous ten day closing price of AOXY as quoted on the national exchange, or b) Fifteen million shares, whichever is lesser. The Note has been extended until July 1, 2018 and interest waived through the period ending July 1, 2018. The balance o</w:t>
      </w:r>
      <w:r>
        <w:rPr>
          <w:sz w:val="20"/>
          <w:szCs w:val="20"/>
        </w:rPr>
        <w:t>n the note as of March 31, 2018 and June 30, 2017 was $127,029.</w:t>
      </w:r>
    </w:p>
    <w:p w:rsidR="00000000" w:rsidRDefault="008B4DBF">
      <w:pPr>
        <w:pStyle w:val="NormalWeb"/>
        <w:divId w:val="1246572405"/>
        <w:rPr>
          <w:rFonts w:ascii="were non-interest bearing and w" w:hAnsi="were non-interest bearing and w"/>
        </w:rPr>
      </w:pPr>
      <w:r>
        <w:rPr>
          <w:rFonts w:ascii="were non-interest bearing and w" w:hAnsi="were non-interest bearing and w"/>
          <w:sz w:val="20"/>
          <w:szCs w:val="20"/>
        </w:rPr>
        <w:t xml:space="preserve">The Company has a note payable with a bank. The original amount of the note was kr 800,000 Danish Krone (kr) ("Note A"). The note is secured by the revenues of the lease with Circle K Denmark </w:t>
      </w:r>
      <w:r>
        <w:rPr>
          <w:rFonts w:ascii="were non-interest bearing and w" w:hAnsi="were non-interest bearing and w"/>
          <w:sz w:val="20"/>
          <w:szCs w:val="20"/>
        </w:rPr>
        <w:t xml:space="preserve">A/S, formerly Statoil, with a 7.00% interest rate and 0.25 years left on the term. The balance on the note as of March 31, 2018 was $2,338. The Company made principal payments of $9,104 and interest payments of $1,027. The value of the note </w:t>
      </w:r>
      <w:proofErr w:type="gramStart"/>
      <w:r>
        <w:rPr>
          <w:rFonts w:ascii="were non-interest bearing and w" w:hAnsi="were non-interest bearing and w"/>
          <w:sz w:val="20"/>
          <w:szCs w:val="20"/>
        </w:rPr>
        <w:t>reflect</w:t>
      </w:r>
      <w:proofErr w:type="gramEnd"/>
      <w:r>
        <w:rPr>
          <w:rFonts w:ascii="were non-interest bearing and w" w:hAnsi="were non-interest bearing and w"/>
          <w:sz w:val="20"/>
          <w:szCs w:val="20"/>
        </w:rPr>
        <w:t xml:space="preserve"> the cur</w:t>
      </w:r>
      <w:r>
        <w:rPr>
          <w:rFonts w:ascii="were non-interest bearing and w" w:hAnsi="were non-interest bearing and w"/>
          <w:sz w:val="20"/>
          <w:szCs w:val="20"/>
        </w:rPr>
        <w:t>rency adjustments.</w:t>
      </w:r>
      <w:r>
        <w:rPr>
          <w:rFonts w:ascii="were non-interest bearing and w" w:hAnsi="were non-interest bearing and w"/>
          <w:sz w:val="20"/>
          <w:szCs w:val="20"/>
        </w:rPr>
        <w:t xml:space="preserve"> </w:t>
      </w:r>
    </w:p>
    <w:p w:rsidR="00000000" w:rsidRDefault="008B4DBF">
      <w:pPr>
        <w:pStyle w:val="NormalWeb"/>
        <w:divId w:val="1246572405"/>
        <w:rPr>
          <w:rFonts w:ascii="were non-interest bearing and w" w:hAnsi="were non-interest bearing and w"/>
        </w:rPr>
      </w:pPr>
      <w:r>
        <w:rPr>
          <w:sz w:val="20"/>
          <w:szCs w:val="20"/>
        </w:rPr>
        <w:t>The Company has a note payable with a bank ("Note B"). The original amount of Note B was kr 1,132,000 Danish Krone (kr). Note B is secured by the subsidiary's real estate, with a 2.00% interest rate and 5.75 years left on the term. The</w:t>
      </w:r>
      <w:r>
        <w:rPr>
          <w:sz w:val="20"/>
          <w:szCs w:val="20"/>
        </w:rPr>
        <w:t xml:space="preserve"> balance on the note as of March 31, 2018 was $110,644. During the period ended March 31, 2018, the Company paid $13,823 in principal payments and $4,115 in interest. </w:t>
      </w:r>
    </w:p>
    <w:p w:rsidR="00000000" w:rsidRDefault="008B4DBF">
      <w:pPr>
        <w:pStyle w:val="NormalWeb"/>
        <w:divId w:val="1246572405"/>
        <w:rPr>
          <w:rFonts w:ascii="were non-interest bearing and w" w:hAnsi="were non-interest bearing and w"/>
        </w:rPr>
      </w:pPr>
      <w:r>
        <w:rPr>
          <w:sz w:val="20"/>
          <w:szCs w:val="20"/>
        </w:rPr>
        <w:t>The Company's commitments and contingencies are $146,866 for 2018 and $93,240 for the ye</w:t>
      </w:r>
      <w:r>
        <w:rPr>
          <w:sz w:val="20"/>
          <w:szCs w:val="20"/>
        </w:rPr>
        <w:t>ars 2019 through 2025 with a total of $240,106. The amounts stated reflect the Company's commitments in the currencies that those commitments were made and the amounts are an estimate of what the US dollar amount would be if the currency rates did not chan</w:t>
      </w:r>
      <w:r>
        <w:rPr>
          <w:sz w:val="20"/>
          <w:szCs w:val="20"/>
        </w:rPr>
        <w:t>ge going forward.</w:t>
      </w:r>
    </w:p>
    <w:p w:rsidR="00000000" w:rsidRDefault="008B4DBF">
      <w:pPr>
        <w:divId w:val="1246572405"/>
        <w:rPr>
          <w:rFonts w:ascii="were non-interest bearing and w" w:eastAsia="Times New Roman" w:hAnsi="were non-interest bearing and w"/>
        </w:rPr>
      </w:pPr>
      <w:r>
        <w:rPr>
          <w:rFonts w:eastAsia="Times New Roman"/>
          <w:sz w:val="20"/>
          <w:szCs w:val="20"/>
        </w:rPr>
        <w:t xml:space="preserve">The Company has minimum yearly bank payments of $7,642 for the next quarter year, and $17,404 thereafter for another 5 years. </w:t>
      </w:r>
    </w:p>
    <w:p w:rsidR="00000000" w:rsidRDefault="008B4DBF">
      <w:pPr>
        <w:pStyle w:val="NormalWeb"/>
        <w:rPr>
          <w:rFonts w:ascii="were non-interest bearing and w" w:hAnsi="were non-interest bearing and w"/>
        </w:rPr>
      </w:pPr>
      <w:r>
        <w:rPr>
          <w:sz w:val="20"/>
          <w:szCs w:val="20"/>
        </w:rPr>
        <w:t>The amounts stated in this note reflect the Company's commitments in the currencies that those commitments were</w:t>
      </w:r>
      <w:r>
        <w:rPr>
          <w:sz w:val="20"/>
          <w:szCs w:val="20"/>
        </w:rPr>
        <w:t xml:space="preserve"> made and the amounts are an estimate of what the US dollar amount would be if the currency rates did not change going forward.  </w:t>
      </w:r>
    </w:p>
    <w:p w:rsidR="00000000" w:rsidRDefault="008B4DBF">
      <w:pPr>
        <w:pStyle w:val="NormalWeb"/>
        <w:rPr>
          <w:rFonts w:ascii="were non-interest bearing and w" w:hAnsi="were non-interest bearing and w"/>
        </w:rPr>
      </w:pPr>
      <w:r>
        <w:rPr>
          <w:b/>
          <w:bCs/>
          <w:sz w:val="20"/>
          <w:szCs w:val="20"/>
        </w:rPr>
        <w:t>NOTE 7 - SHAREHOLDERS' EQUITY:</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Common Stock:</w:t>
      </w:r>
      <w:r>
        <w:rPr>
          <w:rFonts w:ascii="were non-interest bearing and w" w:hAnsi="were non-interest bearing and w"/>
          <w:sz w:val="20"/>
          <w:szCs w:val="20"/>
        </w:rPr>
        <w:t xml:space="preserve"> </w:t>
      </w:r>
    </w:p>
    <w:p w:rsidR="00000000" w:rsidRDefault="008B4DBF">
      <w:pPr>
        <w:pStyle w:val="NormalWeb"/>
        <w:divId w:val="907570072"/>
        <w:rPr>
          <w:rFonts w:ascii="were non-interest bearing and w" w:hAnsi="were non-interest bearing and w"/>
        </w:rPr>
      </w:pPr>
      <w:r>
        <w:rPr>
          <w:rFonts w:ascii="were non-interest bearing and w" w:hAnsi="were non-interest bearing and w"/>
          <w:sz w:val="20"/>
          <w:szCs w:val="20"/>
        </w:rPr>
        <w:t>Pursuant to a Certificate of Amendment to our Certificate of Incorporation filed</w:t>
      </w:r>
      <w:r>
        <w:rPr>
          <w:rFonts w:ascii="were non-interest bearing and w" w:hAnsi="were non-interest bearing and w"/>
          <w:sz w:val="20"/>
          <w:szCs w:val="20"/>
        </w:rPr>
        <w:t xml:space="preserve"> with the State of Delaware and effective as of December 8, 2014, the Company (effected a reverse stock split of all the outstanding shares of our common stock at an exchange ratio of one for twenty (1:20) and changed the number our authorized shares of co</w:t>
      </w:r>
      <w:r>
        <w:rPr>
          <w:rFonts w:ascii="were non-interest bearing and w" w:hAnsi="were non-interest bearing and w"/>
          <w:sz w:val="20"/>
          <w:szCs w:val="20"/>
        </w:rPr>
        <w:t xml:space="preserve">mmon stock, par value $0.01 per share, from 90,000,000 to 60,000,000 while maintaining the number of authorized shares of preferred stock, par value $0.01 per share, at 10,000,000. As a result, the 45,853,585 shares of common stock outstanding at December </w:t>
      </w:r>
      <w:r>
        <w:rPr>
          <w:rFonts w:ascii="were non-interest bearing and w" w:hAnsi="were non-interest bearing and w"/>
          <w:sz w:val="20"/>
          <w:szCs w:val="20"/>
        </w:rPr>
        <w:t>7, 2014 had been reduced to 2,292,945 shares of common stock (taking into account the rounding up of fractional share interests).</w:t>
      </w:r>
    </w:p>
    <w:p w:rsidR="00000000" w:rsidRDefault="008B4DB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453C41" w:rsidRDefault="008B4DBF">
      <w:pPr>
        <w:rPr>
          <w:rFonts w:ascii="were non-interest bearing and w" w:eastAsia="Times New Roman" w:hAnsi="were non-interest bearing and w"/>
        </w:rPr>
      </w:pPr>
      <w:r>
        <w:rPr>
          <w:rFonts w:ascii="were non-interest bearing and w" w:eastAsia="Times New Roman" w:hAnsi="were non-interest bearing and w"/>
        </w:rPr>
        <w:pict>
          <v:rect id="_x0000_i1036" style="width:0;height:2pt" o:hralign="center" o:hrstd="t" o:hrnoshade="t" o:hr="t" fillcolor="black" stroked="f"/>
        </w:pict>
      </w:r>
    </w:p>
    <w:p w:rsidR="00453C41" w:rsidRDefault="00453C41">
      <w:pPr>
        <w:rPr>
          <w:rFonts w:ascii="were non-interest bearing and w" w:eastAsia="Times New Roman" w:hAnsi="were non-interest bearing and w"/>
        </w:rPr>
      </w:pPr>
      <w:r>
        <w:rPr>
          <w:rFonts w:ascii="were non-interest bearing and w" w:eastAsia="Times New Roman" w:hAnsi="were non-interest bearing and w"/>
        </w:rPr>
        <w:br w:type="page"/>
      </w:r>
    </w:p>
    <w:p w:rsidR="00000000" w:rsidRDefault="008B4DBF">
      <w:pPr>
        <w:pStyle w:val="NormalWeb"/>
        <w:rPr>
          <w:rFonts w:ascii="were non-interest bearing and w" w:hAnsi="were non-interest bearing and w"/>
        </w:rPr>
      </w:pPr>
      <w:r>
        <w:rPr>
          <w:rFonts w:ascii="were non-interest bearing and w" w:hAnsi="were non-interest bearing and w"/>
        </w:rPr>
        <w:lastRenderedPageBreak/>
        <w:t> </w:t>
      </w:r>
      <w:r>
        <w:rPr>
          <w:sz w:val="20"/>
          <w:szCs w:val="20"/>
        </w:rPr>
        <w:t>Preferred Stock:</w:t>
      </w:r>
    </w:p>
    <w:p w:rsidR="00000000" w:rsidRDefault="008B4DBF">
      <w:pPr>
        <w:pStyle w:val="NormalWeb"/>
        <w:rPr>
          <w:rFonts w:ascii="were non-interest bearing and w" w:hAnsi="were non-interest bearing and w"/>
        </w:rPr>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w:t>
      </w:r>
      <w:r>
        <w:rPr>
          <w:sz w:val="20"/>
          <w:szCs w:val="20"/>
        </w:rPr>
        <w:t>es included in each such series.</w:t>
      </w:r>
    </w:p>
    <w:p w:rsidR="00000000" w:rsidRDefault="008B4DBF">
      <w:pPr>
        <w:pStyle w:val="NormalWeb"/>
        <w:rPr>
          <w:rFonts w:ascii="were non-interest bearing and w" w:hAnsi="were non-interest bearing and w"/>
        </w:rPr>
      </w:pPr>
      <w:r>
        <w:rPr>
          <w:sz w:val="20"/>
          <w:szCs w:val="20"/>
        </w:rPr>
        <w:t>Series 2 Convertible Preferred Stock:</w:t>
      </w:r>
    </w:p>
    <w:p w:rsidR="00000000" w:rsidRDefault="008B4DBF">
      <w:pPr>
        <w:pStyle w:val="NormalWeb"/>
        <w:rPr>
          <w:rFonts w:ascii="were non-interest bearing and w" w:hAnsi="were non-interest bearing and w"/>
        </w:rPr>
      </w:pPr>
      <w:r>
        <w:rPr>
          <w:sz w:val="20"/>
          <w:szCs w:val="20"/>
        </w:rPr>
        <w:t xml:space="preserve">Each Series 2 preferred share is convertible into two shares of common stock at the option of the holder. Each Series 2 preferred share also includes one warrant to purchase two common </w:t>
      </w:r>
      <w:r>
        <w:rPr>
          <w:sz w:val="20"/>
          <w:szCs w:val="20"/>
        </w:rPr>
        <w:t>shares for $5.00. The warrants are exercisable over a three-year period. In the event of the liquidation of the Company, holders of Series 2 preferred stock would be entitled to receive $5.00 per share, plus any unpaid dividends declared on the Series 2 pr</w:t>
      </w:r>
      <w:r>
        <w:rPr>
          <w:sz w:val="20"/>
          <w:szCs w:val="20"/>
        </w:rPr>
        <w:t>eferred stock from the funds remaining after the Company's creditors, including directors, have been paid. There have been no dividends declared.  During November 1997, 172,000 shares of Series 2 preferred stock were converted into 344,000 shares of the Co</w:t>
      </w:r>
      <w:r>
        <w:rPr>
          <w:sz w:val="20"/>
          <w:szCs w:val="20"/>
        </w:rPr>
        <w:t>mpany's common stock. As of March 31, 2018, there were 5,000 shares issued, which are convertible into 2 common shares. There are no warrants outstanding that have been issued in connection with the preferred shares.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Series 3 Convertible Preferred Stock:</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Each share automatically converts on March 2, 2000 into either (a) one (1) share of the Company's common stock if the average closing price of the common stock during the ten trading days immediately prior to March 1, 2000 is equal to or greater than sixty</w:t>
      </w:r>
      <w:r>
        <w:rPr>
          <w:rFonts w:ascii="were non-interest bearing and w" w:hAnsi="were non-interest bearing and w"/>
          <w:sz w:val="20"/>
          <w:szCs w:val="20"/>
        </w:rPr>
        <w:t>-six cents ($0.66) per share, or (b) one and one-half (1 1/2) shares of common stock if the average closing price of the common stock during the ten trading days immediately prior March 1, 2000 is less than sixty-six cents ($0.66) per share.</w:t>
      </w:r>
    </w:p>
    <w:p w:rsidR="00000000" w:rsidRDefault="008B4DBF">
      <w:pPr>
        <w:pStyle w:val="NormalWeb"/>
        <w:rPr>
          <w:rFonts w:ascii="were non-interest bearing and w" w:hAnsi="were non-interest bearing and w"/>
        </w:rPr>
      </w:pPr>
      <w:r>
        <w:rPr>
          <w:sz w:val="20"/>
          <w:szCs w:val="20"/>
        </w:rPr>
        <w:t>Series 5 Conve</w:t>
      </w:r>
      <w:r>
        <w:rPr>
          <w:sz w:val="20"/>
          <w:szCs w:val="20"/>
        </w:rPr>
        <w:t>rtible Preferred Stock:</w:t>
      </w:r>
    </w:p>
    <w:p w:rsidR="00000000" w:rsidRDefault="008B4DBF">
      <w:pPr>
        <w:pStyle w:val="NormalWeb"/>
        <w:rPr>
          <w:rFonts w:ascii="were non-interest bearing and w" w:hAnsi="were non-interest bearing and w"/>
        </w:rPr>
      </w:pPr>
      <w:r>
        <w:rPr>
          <w:sz w:val="20"/>
          <w:szCs w:val="20"/>
        </w:rPr>
        <w:t xml:space="preserve">The shares are collectively convertible to common stock of the Company on March 5, 2004, in an amount equal to the greater of a) 290,000 shares divided by the </w:t>
      </w:r>
      <w:proofErr w:type="gramStart"/>
      <w:r>
        <w:rPr>
          <w:sz w:val="20"/>
          <w:szCs w:val="20"/>
        </w:rPr>
        <w:t>ten day</w:t>
      </w:r>
      <w:proofErr w:type="gramEnd"/>
      <w:r>
        <w:rPr>
          <w:sz w:val="20"/>
          <w:szCs w:val="20"/>
        </w:rPr>
        <w:t xml:space="preserve"> closing price, prior to the date of acquisition of IPS, of the Co</w:t>
      </w:r>
      <w:r>
        <w:rPr>
          <w:sz w:val="20"/>
          <w:szCs w:val="20"/>
        </w:rPr>
        <w:t>mpany's common stock as quoted on the national exchange and not to exceed twenty million shares, or b) six million shares.</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b/>
          <w:bCs/>
          <w:sz w:val="20"/>
          <w:szCs w:val="20"/>
        </w:rPr>
        <w:t>NOTE 8 - SUBSEQUENT EVENTS:</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 </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In accordance with ASC 855-10, Company management reviewed all material events through the date of this report. There are no material subsequent events to report.</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 </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2: MANAGEMENT'S DISCUSSION AND ANALYSIS OR PLAN OF OPERATION.</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 xml:space="preserve">The following should be </w:t>
      </w:r>
      <w:r>
        <w:rPr>
          <w:rFonts w:ascii="were non-interest bearing and w" w:hAnsi="were non-interest bearing and w"/>
          <w:sz w:val="20"/>
          <w:szCs w:val="20"/>
        </w:rPr>
        <w:t>read in conjunction with our Consolidated Financial Statements and the notes thereto included in the Financial Statements.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FORWARD LOOKING STATEMENTS:</w:t>
      </w:r>
      <w:r>
        <w:rPr>
          <w:rFonts w:ascii="were non-interest bearing and w" w:hAnsi="were non-interest bearing and w"/>
          <w:sz w:val="20"/>
          <w:szCs w:val="20"/>
        </w:rPr>
        <w:t xml:space="preserve"> </w:t>
      </w:r>
    </w:p>
    <w:p w:rsidR="00453C41" w:rsidRDefault="008B4DBF" w:rsidP="00453C41">
      <w:pPr>
        <w:pStyle w:val="NormalWeb"/>
        <w:rPr>
          <w:rFonts w:ascii="were non-interest bearing and w" w:hAnsi="were non-interest bearing and w"/>
          <w:sz w:val="20"/>
          <w:szCs w:val="20"/>
        </w:rPr>
      </w:pPr>
      <w:r>
        <w:rPr>
          <w:rFonts w:ascii="were non-interest bearing and w" w:hAnsi="were non-interest bearing and w"/>
          <w:sz w:val="20"/>
          <w:szCs w:val="20"/>
        </w:rPr>
        <w:t>Certain statements contained in this report, including statements concerning the Company's future and fi</w:t>
      </w:r>
      <w:r>
        <w:rPr>
          <w:rFonts w:ascii="were non-interest bearing and w" w:hAnsi="were non-interest bearing and w"/>
          <w:sz w:val="20"/>
          <w:szCs w:val="20"/>
        </w:rPr>
        <w:t>nancing requirements, the Company's ability to obtain market acceptance of its products and the competitive market for sales of small production business' and other statements contained herein regarding matters that are not historical facts, are forward lo</w:t>
      </w:r>
      <w:r>
        <w:rPr>
          <w:rFonts w:ascii="were non-interest bearing and w" w:hAnsi="were non-interest bearing and w"/>
          <w:sz w:val="20"/>
          <w:szCs w:val="20"/>
        </w:rPr>
        <w:t>oking statements; actual results may differ materially from those set forth in the forward looking statements, which statements involve risks and uncertainties, including without limitation to those risks and uncertainties set forth in any of the Company's</w:t>
      </w:r>
      <w:r>
        <w:rPr>
          <w:rFonts w:ascii="were non-interest bearing and w" w:hAnsi="were non-interest bearing and w"/>
          <w:sz w:val="20"/>
          <w:szCs w:val="20"/>
        </w:rPr>
        <w:t xml:space="preserve"> Registration Statements under the heading</w:t>
      </w:r>
      <w:r>
        <w:rPr>
          <w:rFonts w:ascii="were non-interest bearing and w" w:hAnsi="were non-interest bearing and w"/>
          <w:sz w:val="20"/>
          <w:szCs w:val="20"/>
        </w:rPr>
        <w:t xml:space="preserve"> </w:t>
      </w:r>
      <w:r>
        <w:rPr>
          <w:rFonts w:ascii="were non-interest bearing and w" w:hAnsi="were non-interest bearing and w"/>
          <w:sz w:val="20"/>
          <w:szCs w:val="20"/>
        </w:rPr>
        <w:t>"Risk Factors"</w:t>
      </w:r>
      <w:r>
        <w:rPr>
          <w:rFonts w:ascii="were non-interest bearing and w" w:hAnsi="were non-interest bearing and w"/>
          <w:sz w:val="20"/>
          <w:szCs w:val="20"/>
        </w:rPr>
        <w:t xml:space="preserve"> </w:t>
      </w:r>
      <w:r>
        <w:rPr>
          <w:rFonts w:ascii="were non-interest bearing and w" w:hAnsi="were non-interest bearing and w"/>
          <w:sz w:val="20"/>
          <w:szCs w:val="20"/>
        </w:rPr>
        <w:t xml:space="preserve">or any other such heading. In addition, historical performance of the Company should not be considered as an indicator for future performance, and as such, the future performance of the Company may </w:t>
      </w:r>
      <w:r>
        <w:rPr>
          <w:rFonts w:ascii="were non-interest bearing and w" w:hAnsi="were non-interest bearing and w"/>
          <w:sz w:val="20"/>
          <w:szCs w:val="20"/>
        </w:rPr>
        <w:t>differ significantly from historical performance.</w:t>
      </w:r>
      <w:r>
        <w:rPr>
          <w:rFonts w:ascii="were non-interest bearing and w" w:hAnsi="were non-interest bearing and w"/>
          <w:sz w:val="20"/>
          <w:szCs w:val="20"/>
        </w:rPr>
        <w:t xml:space="preserve"> </w:t>
      </w:r>
    </w:p>
    <w:p w:rsidR="00453C41" w:rsidRDefault="00453C41" w:rsidP="00453C41">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453C41" w:rsidRDefault="00453C41" w:rsidP="00453C41">
      <w:pPr>
        <w:rPr>
          <w:rFonts w:ascii="were non-interest bearing and w" w:eastAsia="Times New Roman" w:hAnsi="were non-interest bearing and w"/>
        </w:rPr>
      </w:pPr>
      <w:r>
        <w:rPr>
          <w:rFonts w:ascii="were non-interest bearing and w" w:eastAsia="Times New Roman" w:hAnsi="were non-interest bearing and w"/>
        </w:rPr>
        <w:pict>
          <v:rect id="_x0000_i1039" style="width:0;height:2pt" o:hralign="center" o:hrstd="t" o:hrnoshade="t" o:hr="t" fillcolor="black" stroked="f"/>
        </w:pict>
      </w:r>
    </w:p>
    <w:p w:rsidR="00000000" w:rsidRDefault="008B4DBF">
      <w:pPr>
        <w:pStyle w:val="NormalWeb"/>
        <w:rPr>
          <w:rFonts w:ascii="were non-interest bearing and w" w:hAnsi="were non-interest bearing and w"/>
        </w:rPr>
      </w:pP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lastRenderedPageBreak/>
        <w:t>RESULTS OF OPERATIONS FOR THE THREE AND NINE MONTH PERIODS ENDING MARCH 31, 2018 COMPARED TO 2017:</w:t>
      </w:r>
    </w:p>
    <w:p w:rsidR="00000000" w:rsidRDefault="008B4DBF">
      <w:pPr>
        <w:pStyle w:val="NormalWeb"/>
        <w:rPr>
          <w:rFonts w:ascii="were non-interest bearing and w" w:hAnsi="were non-interest bearing and w"/>
        </w:rPr>
      </w:pPr>
      <w:r>
        <w:rPr>
          <w:rFonts w:ascii="were non-interest bearing and w" w:hAnsi="were non-interest bearing and w"/>
          <w:i/>
          <w:iCs/>
          <w:sz w:val="20"/>
          <w:szCs w:val="20"/>
        </w:rPr>
        <w:t>Revenues:</w:t>
      </w:r>
      <w:r>
        <w:rPr>
          <w:rFonts w:ascii="were non-interest bearing and w" w:hAnsi="were non-interest bearing and w"/>
          <w:sz w:val="20"/>
          <w:szCs w:val="20"/>
        </w:rPr>
        <w:t xml:space="preserve"> </w:t>
      </w:r>
      <w:r>
        <w:rPr>
          <w:rFonts w:ascii="were non-interest bearing and w" w:hAnsi="were non-interest bearing and w"/>
          <w:sz w:val="20"/>
          <w:szCs w:val="20"/>
        </w:rPr>
        <w:t xml:space="preserve">Revenues from operations for the </w:t>
      </w:r>
      <w:proofErr w:type="gramStart"/>
      <w:r>
        <w:rPr>
          <w:rFonts w:ascii="were non-interest bearing and w" w:hAnsi="were non-interest bearing and w"/>
          <w:sz w:val="20"/>
          <w:szCs w:val="20"/>
        </w:rPr>
        <w:t>three month</w:t>
      </w:r>
      <w:proofErr w:type="gramEnd"/>
      <w:r>
        <w:rPr>
          <w:rFonts w:ascii="were non-interest bearing and w" w:hAnsi="were non-interest bearing and w"/>
          <w:sz w:val="20"/>
          <w:szCs w:val="20"/>
        </w:rPr>
        <w:t xml:space="preserve"> period ending March 31, 2018 and March 31, 2017 wer</w:t>
      </w:r>
      <w:r>
        <w:rPr>
          <w:rFonts w:ascii="were non-interest bearing and w" w:hAnsi="were non-interest bearing and w"/>
          <w:sz w:val="20"/>
          <w:szCs w:val="20"/>
        </w:rPr>
        <w:t>e $10,215 and $8,806 respectively, and the revenues from operations for the nine month period ending March 31, 2018 and March 31, 2017 were $29,849 and $26,792 respectively. They were attributable to operations of the Company's wholly owned subsidiary Anto</w:t>
      </w:r>
      <w:r>
        <w:rPr>
          <w:rFonts w:ascii="were non-interest bearing and w" w:hAnsi="were non-interest bearing and w"/>
          <w:sz w:val="20"/>
          <w:szCs w:val="20"/>
        </w:rPr>
        <w:t>n Nielsen Vojens. The fluctuation was due to currency fluctuations.</w:t>
      </w:r>
    </w:p>
    <w:p w:rsidR="00000000" w:rsidRDefault="008B4DBF">
      <w:pPr>
        <w:pStyle w:val="NormalWeb"/>
        <w:rPr>
          <w:rFonts w:ascii="were non-interest bearing and w" w:hAnsi="were non-interest bearing and w"/>
        </w:rPr>
      </w:pPr>
      <w:r>
        <w:rPr>
          <w:rFonts w:ascii="were non-interest bearing and w" w:hAnsi="were non-interest bearing and w"/>
          <w:i/>
          <w:iCs/>
          <w:sz w:val="20"/>
          <w:szCs w:val="20"/>
        </w:rPr>
        <w:t>Selling, general and administrative expenses: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 xml:space="preserve">G&amp;A expenses for the </w:t>
      </w:r>
      <w:proofErr w:type="gramStart"/>
      <w:r>
        <w:rPr>
          <w:rFonts w:ascii="were non-interest bearing and w" w:hAnsi="were non-interest bearing and w"/>
          <w:sz w:val="20"/>
          <w:szCs w:val="20"/>
        </w:rPr>
        <w:t>three month</w:t>
      </w:r>
      <w:proofErr w:type="gramEnd"/>
      <w:r>
        <w:rPr>
          <w:rFonts w:ascii="were non-interest bearing and w" w:hAnsi="were non-interest bearing and w"/>
          <w:sz w:val="20"/>
          <w:szCs w:val="20"/>
        </w:rPr>
        <w:t xml:space="preserve"> period ending March 31, 2018 and March 31, 2017 were $1,183 and $2,158 respectively and the G&amp;A expenses for </w:t>
      </w:r>
      <w:r>
        <w:rPr>
          <w:rFonts w:ascii="were non-interest bearing and w" w:hAnsi="were non-interest bearing and w"/>
          <w:sz w:val="20"/>
          <w:szCs w:val="20"/>
        </w:rPr>
        <w:t xml:space="preserve">the nine month period ending March 31, 2018 and March 31, 2017 were $4,393 and $5,785 respectively. Professional fees for the </w:t>
      </w:r>
      <w:proofErr w:type="gramStart"/>
      <w:r>
        <w:rPr>
          <w:rFonts w:ascii="were non-interest bearing and w" w:hAnsi="were non-interest bearing and w"/>
          <w:sz w:val="20"/>
          <w:szCs w:val="20"/>
        </w:rPr>
        <w:t>three month</w:t>
      </w:r>
      <w:proofErr w:type="gramEnd"/>
      <w:r>
        <w:rPr>
          <w:rFonts w:ascii="were non-interest bearing and w" w:hAnsi="were non-interest bearing and w"/>
          <w:sz w:val="20"/>
          <w:szCs w:val="20"/>
        </w:rPr>
        <w:t xml:space="preserve"> period ending March 31, 2018 and March 31, 2017 were $2,000 and $2,000 and the expenses for the nine month period endi</w:t>
      </w:r>
      <w:r>
        <w:rPr>
          <w:rFonts w:ascii="were non-interest bearing and w" w:hAnsi="were non-interest bearing and w"/>
          <w:sz w:val="20"/>
          <w:szCs w:val="20"/>
        </w:rPr>
        <w:t>ng March 31, 2018 and March 31, 2017 were $11,500 and $14,023. The 2017 expenses are mainly attributable to the engagement of new auditors.</w:t>
      </w:r>
    </w:p>
    <w:p w:rsidR="00000000" w:rsidRDefault="008B4DBF">
      <w:pPr>
        <w:pStyle w:val="NormalWeb"/>
        <w:rPr>
          <w:rFonts w:ascii="were non-interest bearing and w" w:hAnsi="were non-interest bearing and w"/>
        </w:rPr>
      </w:pPr>
      <w:r>
        <w:rPr>
          <w:rFonts w:ascii="were non-interest bearing and w" w:hAnsi="were non-interest bearing and w"/>
          <w:i/>
          <w:iCs/>
          <w:sz w:val="20"/>
          <w:szCs w:val="20"/>
        </w:rPr>
        <w:t>Interest expense:</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 xml:space="preserve">Interest expense for the </w:t>
      </w:r>
      <w:proofErr w:type="gramStart"/>
      <w:r>
        <w:rPr>
          <w:rFonts w:ascii="were non-interest bearing and w" w:hAnsi="were non-interest bearing and w"/>
          <w:sz w:val="20"/>
          <w:szCs w:val="20"/>
        </w:rPr>
        <w:t>three month</w:t>
      </w:r>
      <w:proofErr w:type="gramEnd"/>
      <w:r>
        <w:rPr>
          <w:rFonts w:ascii="were non-interest bearing and w" w:hAnsi="were non-interest bearing and w"/>
          <w:sz w:val="20"/>
          <w:szCs w:val="20"/>
        </w:rPr>
        <w:t xml:space="preserve"> period ending March 31, 2018 and March 31, 20167 was $1,454 a</w:t>
      </w:r>
      <w:r>
        <w:rPr>
          <w:rFonts w:ascii="were non-interest bearing and w" w:hAnsi="were non-interest bearing and w"/>
          <w:sz w:val="20"/>
          <w:szCs w:val="20"/>
        </w:rPr>
        <w:t xml:space="preserve">nd $1,551 respectively. Interest expense for the </w:t>
      </w:r>
      <w:proofErr w:type="gramStart"/>
      <w:r>
        <w:rPr>
          <w:rFonts w:ascii="were non-interest bearing and w" w:hAnsi="were non-interest bearing and w"/>
          <w:sz w:val="20"/>
          <w:szCs w:val="20"/>
        </w:rPr>
        <w:t>nine month</w:t>
      </w:r>
      <w:proofErr w:type="gramEnd"/>
      <w:r>
        <w:rPr>
          <w:rFonts w:ascii="were non-interest bearing and w" w:hAnsi="were non-interest bearing and w"/>
          <w:sz w:val="20"/>
          <w:szCs w:val="20"/>
        </w:rPr>
        <w:t xml:space="preserve"> period ending March 31, 2018 and March 31, 2017 was $4,550 and $5,027 respectively. Interest expenses for 2017 are lower primarily due to the currency fluctuations and the reduction of debt.</w:t>
      </w:r>
    </w:p>
    <w:p w:rsidR="00000000" w:rsidRDefault="008B4DBF">
      <w:pPr>
        <w:pStyle w:val="NormalWeb"/>
        <w:rPr>
          <w:rFonts w:ascii="were non-interest bearing and w" w:hAnsi="were non-interest bearing and w"/>
        </w:rPr>
      </w:pPr>
      <w:r>
        <w:rPr>
          <w:rFonts w:ascii="were non-interest bearing and w" w:hAnsi="were non-interest bearing and w"/>
          <w:i/>
          <w:iCs/>
          <w:sz w:val="20"/>
          <w:szCs w:val="20"/>
        </w:rPr>
        <w:t>Net i</w:t>
      </w:r>
      <w:r>
        <w:rPr>
          <w:rFonts w:ascii="were non-interest bearing and w" w:hAnsi="were non-interest bearing and w"/>
          <w:i/>
          <w:iCs/>
          <w:sz w:val="20"/>
          <w:szCs w:val="20"/>
        </w:rPr>
        <w:t>ncome (loss) attributed to common stockholders: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 xml:space="preserve">Net income (loss) attributed to common stockholders was $3,686 or $0.0016 per share for the </w:t>
      </w:r>
      <w:proofErr w:type="gramStart"/>
      <w:r>
        <w:rPr>
          <w:rFonts w:ascii="were non-interest bearing and w" w:hAnsi="were non-interest bearing and w"/>
          <w:sz w:val="20"/>
          <w:szCs w:val="20"/>
        </w:rPr>
        <w:t>three month</w:t>
      </w:r>
      <w:proofErr w:type="gramEnd"/>
      <w:r>
        <w:rPr>
          <w:rFonts w:ascii="were non-interest bearing and w" w:hAnsi="were non-interest bearing and w"/>
          <w:sz w:val="20"/>
          <w:szCs w:val="20"/>
        </w:rPr>
        <w:t xml:space="preserve"> period ending March 31, 2018 as compared to $2,038 or $0.0009 per share for March 31, 2017. Net income (</w:t>
      </w:r>
      <w:r>
        <w:rPr>
          <w:rFonts w:ascii="were non-interest bearing and w" w:hAnsi="were non-interest bearing and w"/>
          <w:sz w:val="20"/>
          <w:szCs w:val="20"/>
        </w:rPr>
        <w:t xml:space="preserve">loss) attributed to common stockholders was $4,026 or $0.0018 per share for the </w:t>
      </w:r>
      <w:proofErr w:type="gramStart"/>
      <w:r>
        <w:rPr>
          <w:rFonts w:ascii="were non-interest bearing and w" w:hAnsi="were non-interest bearing and w"/>
          <w:sz w:val="20"/>
          <w:szCs w:val="20"/>
        </w:rPr>
        <w:t>nine month</w:t>
      </w:r>
      <w:proofErr w:type="gramEnd"/>
      <w:r>
        <w:rPr>
          <w:rFonts w:ascii="were non-interest bearing and w" w:hAnsi="were non-interest bearing and w"/>
          <w:sz w:val="20"/>
          <w:szCs w:val="20"/>
        </w:rPr>
        <w:t xml:space="preserve"> period ending March 31, 2018 as compared to $(2,341) or $(0.0010) per share for March 31, 2017. The fluctuations are mainly attributable to professional fees and cur</w:t>
      </w:r>
      <w:r>
        <w:rPr>
          <w:rFonts w:ascii="were non-interest bearing and w" w:hAnsi="were non-interest bearing and w"/>
          <w:sz w:val="20"/>
          <w:szCs w:val="20"/>
        </w:rPr>
        <w:t>rency fluctuations.</w:t>
      </w:r>
    </w:p>
    <w:p w:rsidR="00000000" w:rsidRDefault="008B4DBF">
      <w:pPr>
        <w:pStyle w:val="NormalWeb"/>
        <w:rPr>
          <w:rFonts w:ascii="were non-interest bearing and w" w:hAnsi="were non-interest bearing and w"/>
        </w:rPr>
      </w:pPr>
      <w:r>
        <w:rPr>
          <w:rFonts w:ascii="were non-interest bearing and w" w:hAnsi="were non-interest bearing and w"/>
          <w:i/>
          <w:iCs/>
          <w:sz w:val="20"/>
          <w:szCs w:val="20"/>
        </w:rPr>
        <w:t>Liquidity and capital resources: </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At March 31, 2018 and June 30, 2017, the Company had cash and cash equivalents of $52,598 and $50,331 respectively. At March 31, 2018 and June 30, 2017, the Company had a working capital deficit of $241</w:t>
      </w:r>
      <w:r>
        <w:rPr>
          <w:rFonts w:ascii="were non-interest bearing and w" w:hAnsi="were non-interest bearing and w"/>
          <w:sz w:val="20"/>
          <w:szCs w:val="20"/>
        </w:rPr>
        <w:t>,263 and $230,605 respectively. The change in cash is primarily associated with currency fluctuations, and the decrease in the working capital deficit is primarily due to payment of debt and normal operations.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Net cash provided from (used for) operating ac</w:t>
      </w:r>
      <w:r>
        <w:rPr>
          <w:rFonts w:ascii="were non-interest bearing and w" w:hAnsi="were non-interest bearing and w"/>
          <w:sz w:val="20"/>
          <w:szCs w:val="20"/>
        </w:rPr>
        <w:t xml:space="preserve">tivities for </w:t>
      </w:r>
      <w:proofErr w:type="gramStart"/>
      <w:r>
        <w:rPr>
          <w:rFonts w:ascii="were non-interest bearing and w" w:hAnsi="were non-interest bearing and w"/>
          <w:sz w:val="20"/>
          <w:szCs w:val="20"/>
        </w:rPr>
        <w:t>nine month</w:t>
      </w:r>
      <w:proofErr w:type="gramEnd"/>
      <w:r>
        <w:rPr>
          <w:rFonts w:ascii="were non-interest bearing and w" w:hAnsi="were non-interest bearing and w"/>
          <w:sz w:val="20"/>
          <w:szCs w:val="20"/>
        </w:rPr>
        <w:t xml:space="preserve"> period ending March 31, 2018 and March 31, 2017 was $24,214 and $2,116, respectively. The net cash used by operating activities was primarily due to the operations of ANV and the payment of ANV taxes.</w:t>
      </w:r>
    </w:p>
    <w:p w:rsidR="00000000" w:rsidRDefault="008B4DBF">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Net cash provided from (used f</w:t>
      </w:r>
      <w:r>
        <w:rPr>
          <w:rFonts w:ascii="were non-interest bearing and w" w:hAnsi="were non-interest bearing and w"/>
          <w:sz w:val="20"/>
          <w:szCs w:val="20"/>
        </w:rPr>
        <w:t>or) financing activities for nine months period ending March 31, 2018 and March 31, 2017 was $(26,095) and $(1,823) respectively. Net cash provided from or used for financing activities for both periods is related to the company's borrowings from banks, of</w:t>
      </w:r>
      <w:r>
        <w:rPr>
          <w:rFonts w:ascii="were non-interest bearing and w" w:hAnsi="were non-interest bearing and w"/>
          <w:sz w:val="20"/>
          <w:szCs w:val="20"/>
        </w:rPr>
        <w:t>ficers and directors, and the repayment of debt.</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OFF BALANCE SHEET ARRANGEMENTS: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 xml:space="preserve">We do not currently have any </w:t>
      </w:r>
      <w:proofErr w:type="gramStart"/>
      <w:r>
        <w:rPr>
          <w:rFonts w:ascii="were non-interest bearing and w" w:hAnsi="were non-interest bearing and w"/>
          <w:sz w:val="20"/>
          <w:szCs w:val="20"/>
        </w:rPr>
        <w:t>off balance</w:t>
      </w:r>
      <w:proofErr w:type="gramEnd"/>
      <w:r>
        <w:rPr>
          <w:rFonts w:ascii="were non-interest bearing and w" w:hAnsi="were non-interest bearing and w"/>
          <w:sz w:val="20"/>
          <w:szCs w:val="20"/>
        </w:rPr>
        <w:t xml:space="preserve"> sheet arrangements.</w:t>
      </w:r>
    </w:p>
    <w:p w:rsidR="00000000" w:rsidRDefault="008B4DB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453C41" w:rsidRDefault="008B4DBF">
      <w:pPr>
        <w:rPr>
          <w:rFonts w:ascii="were non-interest bearing and w" w:eastAsia="Times New Roman" w:hAnsi="were non-interest bearing and w"/>
        </w:rPr>
      </w:pPr>
      <w:r>
        <w:rPr>
          <w:rFonts w:ascii="were non-interest bearing and w" w:eastAsia="Times New Roman" w:hAnsi="were non-interest bearing and w"/>
        </w:rPr>
        <w:pict>
          <v:rect id="_x0000_i1037" style="width:0;height:2pt" o:hralign="center" o:hrstd="t" o:hrnoshade="t" o:hr="t" fillcolor="black" stroked="f"/>
        </w:pict>
      </w:r>
    </w:p>
    <w:p w:rsidR="00453C41" w:rsidRDefault="00453C41">
      <w:pPr>
        <w:rPr>
          <w:rFonts w:ascii="were non-interest bearing and w" w:eastAsia="Times New Roman" w:hAnsi="were non-interest bearing and w"/>
        </w:rPr>
      </w:pPr>
      <w:r>
        <w:rPr>
          <w:rFonts w:ascii="were non-interest bearing and w" w:eastAsia="Times New Roman" w:hAnsi="were non-interest bearing and w"/>
        </w:rPr>
        <w:br w:type="page"/>
      </w:r>
    </w:p>
    <w:p w:rsidR="00000000" w:rsidRDefault="008B4DBF">
      <w:pPr>
        <w:pStyle w:val="NormalWeb"/>
        <w:rPr>
          <w:rFonts w:ascii="were non-interest bearing and w" w:hAnsi="were non-interest bearing and w"/>
        </w:rPr>
      </w:pPr>
      <w:r>
        <w:rPr>
          <w:rFonts w:ascii="were non-interest bearing and w" w:hAnsi="were non-interest bearing and w"/>
        </w:rPr>
        <w:lastRenderedPageBreak/>
        <w:t> </w:t>
      </w:r>
      <w:r>
        <w:rPr>
          <w:rFonts w:ascii="were non-interest bearing and w" w:hAnsi="were non-interest bearing and w"/>
          <w:b/>
          <w:bCs/>
          <w:sz w:val="20"/>
          <w:szCs w:val="20"/>
        </w:rPr>
        <w:t>ACQUISITION EFFORTS: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 xml:space="preserve">The Company continues its efforts to raise capital to support operations and </w:t>
      </w:r>
      <w:proofErr w:type="gramStart"/>
      <w:r>
        <w:rPr>
          <w:rFonts w:ascii="were non-interest bearing and w" w:hAnsi="were non-interest bearing and w"/>
          <w:sz w:val="20"/>
          <w:szCs w:val="20"/>
        </w:rPr>
        <w:t>growth, and</w:t>
      </w:r>
      <w:proofErr w:type="gramEnd"/>
      <w:r>
        <w:rPr>
          <w:rFonts w:ascii="were non-interest bearing and w" w:hAnsi="were non-interest bearing and w"/>
          <w:sz w:val="20"/>
          <w:szCs w:val="20"/>
        </w:rPr>
        <w:t xml:space="preserve"> is actively searching acquisition or merger with another company that would complement AOXY or increase its earnings potential. During this period, the Company has bee</w:t>
      </w:r>
      <w:r>
        <w:rPr>
          <w:rFonts w:ascii="were non-interest bearing and w" w:hAnsi="were non-interest bearing and w"/>
          <w:sz w:val="20"/>
          <w:szCs w:val="20"/>
        </w:rPr>
        <w:t>n in discussion with Companies looking to be acquired. AOXY has not negotiated any terms nor proposed any acquisitions of any of these companies that have been accepted. In addition, the Company is in discussion with potential lending institutions to assis</w:t>
      </w:r>
      <w:r>
        <w:rPr>
          <w:rFonts w:ascii="were non-interest bearing and w" w:hAnsi="were non-interest bearing and w"/>
          <w:sz w:val="20"/>
          <w:szCs w:val="20"/>
        </w:rPr>
        <w:t>t in financing any proposed acquisition. The Company expects difficulty in financing the growth of the increased business or acquisition and has been concentrating on raising capital and/or obtaining a line of credit.</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3. Quantitative and Qualitative D</w:t>
      </w:r>
      <w:r>
        <w:rPr>
          <w:rFonts w:ascii="were non-interest bearing and w" w:hAnsi="were non-interest bearing and w"/>
          <w:b/>
          <w:bCs/>
          <w:sz w:val="20"/>
          <w:szCs w:val="20"/>
        </w:rPr>
        <w:t>isclosures About Market Risk:</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Smaller reporting companies are not required to provide the information required by this Item.</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4. CONTROLS AND PROCEDURES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EVALUATION OF DISCLOSURE CONTROLS AND PROCEDURES</w:t>
      </w:r>
    </w:p>
    <w:p w:rsidR="00000000" w:rsidRDefault="008B4DBF">
      <w:pPr>
        <w:pStyle w:val="NormalWeb"/>
        <w:rPr>
          <w:rFonts w:ascii="were non-interest bearing and w" w:hAnsi="were non-interest bearing and w"/>
        </w:rPr>
      </w:pPr>
      <w:r>
        <w:rPr>
          <w:sz w:val="20"/>
          <w:szCs w:val="20"/>
        </w:rPr>
        <w:t>We conducted an evaluation under the supervision a</w:t>
      </w:r>
      <w:r>
        <w:rPr>
          <w:sz w:val="20"/>
          <w:szCs w:val="20"/>
        </w:rPr>
        <w:t>nd with the participation of our management, including our Chief Executive Officer who is also our Chief Financial Officer, of the effectiveness of the design and operation of our disclosure controls and procedures. The term “disclosure controls and proced</w:t>
      </w:r>
      <w:r>
        <w:rPr>
          <w:sz w:val="20"/>
          <w:szCs w:val="20"/>
        </w:rPr>
        <w:t>ures,” as defined in Rules 13a-15(e) and 15d-15(e) under the Securities and Exchange Act of 1934, as amended (“Exchange Act”), means controls and other procedures of a company that are designed to ensure that information required to be disclosed by the com</w:t>
      </w:r>
      <w:r>
        <w:rPr>
          <w:sz w:val="20"/>
          <w:szCs w:val="20"/>
        </w:rPr>
        <w:t xml:space="preserve">pany in the reports it files or submits under the Exchange Act is recorded, processed, summarized and reported, within the time periods specified in the Securities and Exchange Commission’s rules and forms. Disclosure controls and procedures also include, </w:t>
      </w:r>
      <w:r>
        <w:rPr>
          <w:sz w:val="20"/>
          <w:szCs w:val="20"/>
        </w:rPr>
        <w:t xml:space="preserve">without limitation, controls and procedures designed to ensure that information required to be disclosed by a company in the reports that it files or submits under the Exchange Act is accumulated and communicated to the company’s management, including its </w:t>
      </w:r>
      <w:r>
        <w:rPr>
          <w:sz w:val="20"/>
          <w:szCs w:val="20"/>
        </w:rPr>
        <w:t>principal executive and principal financial officers, or persons performing similar functions, as appropriate, to allow timely decisions regarding required disclosure. Based on this evaluation, our Chief Executive Officer and Acting Chief Financial Officer</w:t>
      </w:r>
      <w:r>
        <w:rPr>
          <w:sz w:val="20"/>
          <w:szCs w:val="20"/>
        </w:rPr>
        <w:t xml:space="preserve"> concluded as of March 31, 2018 that our disclosure controls and procedures were not effective at ensuring that the material information required to be disclosed in the Exchange Act reports is recorded, processed, summarized and reported as required in app</w:t>
      </w:r>
      <w:r>
        <w:rPr>
          <w:sz w:val="20"/>
          <w:szCs w:val="20"/>
        </w:rPr>
        <w:t>licable SEC rules and forms.</w:t>
      </w:r>
    </w:p>
    <w:p w:rsidR="00000000" w:rsidRDefault="008B4DBF">
      <w:pPr>
        <w:pStyle w:val="NormalWeb"/>
        <w:rPr>
          <w:rFonts w:ascii="were non-interest bearing and w" w:hAnsi="were non-interest bearing and w"/>
        </w:rPr>
      </w:pPr>
      <w:r>
        <w:rPr>
          <w:sz w:val="20"/>
          <w:szCs w:val="20"/>
        </w:rPr>
        <w:t xml:space="preserve">During the </w:t>
      </w:r>
      <w:proofErr w:type="gramStart"/>
      <w:r>
        <w:rPr>
          <w:sz w:val="20"/>
          <w:szCs w:val="20"/>
        </w:rPr>
        <w:t>nine month</w:t>
      </w:r>
      <w:proofErr w:type="gramEnd"/>
      <w:r>
        <w:rPr>
          <w:sz w:val="20"/>
          <w:szCs w:val="20"/>
        </w:rPr>
        <w:t xml:space="preserve"> period ended March 31, 2018, there were no changes in our internal control over financial reporting identified in connection with management’s evaluation of the effectiveness of our internal control over t</w:t>
      </w:r>
      <w:r>
        <w:rPr>
          <w:sz w:val="20"/>
          <w:szCs w:val="20"/>
        </w:rPr>
        <w:t>he financial reporting that have materially affected, or are reasonably likely to materially affect, our internal control over financial reporting as defined in Rules 13a-15(f) and 15d-15(f) under the Exchange Act.</w:t>
      </w:r>
    </w:p>
    <w:p w:rsidR="00000000" w:rsidRDefault="008B4DBF">
      <w:pPr>
        <w:rPr>
          <w:rFonts w:ascii="were non-interest bearing and w" w:eastAsia="Times New Roman" w:hAnsi="were non-interest bearing and w"/>
        </w:rPr>
      </w:pPr>
      <w:r>
        <w:rPr>
          <w:rFonts w:eastAsia="Times New Roman"/>
          <w:b/>
          <w:bCs/>
          <w:sz w:val="20"/>
          <w:szCs w:val="20"/>
        </w:rPr>
        <w:t xml:space="preserve">PART II </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1: LEGAL PROCEEDINGS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Durin</w:t>
      </w:r>
      <w:r>
        <w:rPr>
          <w:rFonts w:ascii="were non-interest bearing and w" w:hAnsi="were non-interest bearing and w"/>
          <w:sz w:val="20"/>
          <w:szCs w:val="20"/>
        </w:rPr>
        <w:t>g the period ending March 31, 2018, there were pending or threatened legal actions as follows: None</w:t>
      </w:r>
    </w:p>
    <w:p w:rsidR="00000000" w:rsidRDefault="008B4DBF">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453C41" w:rsidRDefault="008B4DBF">
      <w:pPr>
        <w:rPr>
          <w:rFonts w:ascii="were non-interest bearing and w" w:eastAsia="Times New Roman" w:hAnsi="were non-interest bearing and w"/>
        </w:rPr>
      </w:pPr>
      <w:r>
        <w:rPr>
          <w:rFonts w:ascii="were non-interest bearing and w" w:eastAsia="Times New Roman" w:hAnsi="were non-interest bearing and w"/>
        </w:rPr>
        <w:pict>
          <v:rect id="_x0000_i1038" style="width:0;height:2pt" o:hralign="center" o:hrstd="t" o:hrnoshade="t" o:hr="t" fillcolor="black" stroked="f"/>
        </w:pict>
      </w:r>
    </w:p>
    <w:p w:rsidR="00453C41" w:rsidRDefault="00453C41">
      <w:pPr>
        <w:rPr>
          <w:rFonts w:ascii="were non-interest bearing and w" w:eastAsia="Times New Roman" w:hAnsi="were non-interest bearing and w"/>
        </w:rPr>
      </w:pPr>
      <w:r>
        <w:rPr>
          <w:rFonts w:ascii="were non-interest bearing and w" w:eastAsia="Times New Roman" w:hAnsi="were non-interest bearing and w"/>
        </w:rPr>
        <w:br w:type="page"/>
      </w:r>
    </w:p>
    <w:p w:rsidR="00000000" w:rsidRDefault="008B4DBF">
      <w:pPr>
        <w:pStyle w:val="NormalWeb"/>
        <w:rPr>
          <w:rFonts w:ascii="were non-interest bearing and w" w:hAnsi="were non-interest bearing and w"/>
        </w:rPr>
      </w:pPr>
      <w:r>
        <w:rPr>
          <w:rFonts w:ascii="were non-interest bearing and w" w:hAnsi="were non-interest bearing and w"/>
        </w:rPr>
        <w:lastRenderedPageBreak/>
        <w:t> </w:t>
      </w:r>
      <w:r>
        <w:rPr>
          <w:rFonts w:ascii="were non-interest bearing and w" w:hAnsi="were non-interest bearing and w"/>
          <w:b/>
          <w:bCs/>
          <w:sz w:val="20"/>
          <w:szCs w:val="20"/>
        </w:rPr>
        <w:t>ITEM 2. UNREGISTERED SALES OF EQUITY SECURITIES AND USE OF PROCEEDS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None</w:t>
      </w:r>
      <w:r>
        <w:rPr>
          <w:rFonts w:ascii="were non-interest bearing and w" w:hAnsi="were non-interest bearing and w"/>
          <w:sz w:val="20"/>
          <w:szCs w:val="20"/>
        </w:rPr>
        <w:br/>
      </w:r>
      <w:r>
        <w:rPr>
          <w:rFonts w:ascii="were non-interest bearing and w" w:hAnsi="were non-interest bearing and w"/>
          <w:sz w:val="20"/>
          <w:szCs w:val="20"/>
        </w:rPr>
        <w:br/>
      </w:r>
      <w:r>
        <w:rPr>
          <w:rFonts w:ascii="were non-interest bearing and w" w:hAnsi="were non-interest bearing and w"/>
          <w:b/>
          <w:bCs/>
          <w:sz w:val="20"/>
          <w:szCs w:val="20"/>
        </w:rPr>
        <w:t>ITEM 3. DEFAULTS UPON SENIOR SECURITIES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4. MINE SAFETY DISCLOSURES</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5. OTHER INFORMATION</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8B4DBF">
      <w:pPr>
        <w:pStyle w:val="NormalWeb"/>
        <w:rPr>
          <w:rFonts w:ascii="were non-interest bearing and w" w:hAnsi="were non-interest bearing and w"/>
        </w:rPr>
      </w:pPr>
      <w:r>
        <w:rPr>
          <w:rFonts w:ascii="were non-interest bearing and w" w:hAnsi="were non-interest bearing and w"/>
          <w:b/>
          <w:bCs/>
          <w:sz w:val="20"/>
          <w:szCs w:val="20"/>
        </w:rPr>
        <w:t>ITEM 6: EXHIBITS AND REPORTS ON FORM 8-K</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 xml:space="preserve">During the </w:t>
      </w:r>
      <w:proofErr w:type="gramStart"/>
      <w:r>
        <w:rPr>
          <w:rFonts w:ascii="were non-interest bearing and w" w:hAnsi="were non-interest bearing and w"/>
          <w:sz w:val="20"/>
          <w:szCs w:val="20"/>
        </w:rPr>
        <w:t>9 month</w:t>
      </w:r>
      <w:proofErr w:type="gramEnd"/>
      <w:r>
        <w:rPr>
          <w:rFonts w:ascii="were non-interest bearing and w" w:hAnsi="were non-interest bearing and w"/>
          <w:sz w:val="20"/>
          <w:szCs w:val="20"/>
        </w:rPr>
        <w:t xml:space="preserve"> period ending March 31, 2018, the Company filed no reports on Form 8-K</w:t>
      </w:r>
      <w:r>
        <w:rPr>
          <w:sz w:val="20"/>
          <w:szCs w:val="20"/>
        </w:rPr>
        <w:t>.</w:t>
      </w:r>
    </w:p>
    <w:tbl>
      <w:tblPr>
        <w:tblW w:w="5000" w:type="pct"/>
        <w:tblCellMar>
          <w:left w:w="0" w:type="dxa"/>
          <w:right w:w="0" w:type="dxa"/>
        </w:tblCellMar>
        <w:tblLook w:val="04A0" w:firstRow="1" w:lastRow="0" w:firstColumn="1" w:lastColumn="0" w:noHBand="0" w:noVBand="1"/>
      </w:tblPr>
      <w:tblGrid>
        <w:gridCol w:w="1091"/>
        <w:gridCol w:w="218"/>
        <w:gridCol w:w="9491"/>
      </w:tblGrid>
      <w:tr w:rsidR="00000000">
        <w:tc>
          <w:tcPr>
            <w:tcW w:w="500" w:type="pct"/>
            <w:tcBorders>
              <w:top w:val="nil"/>
              <w:left w:val="nil"/>
              <w:bottom w:val="single" w:sz="8" w:space="0" w:color="auto"/>
              <w:right w:val="nil"/>
            </w:tcBorders>
            <w:shd w:val="clear" w:color="auto" w:fill="CCEEFF"/>
            <w:vAlign w:val="bottom"/>
            <w:hideMark/>
          </w:tcPr>
          <w:p w:rsidR="00000000" w:rsidRDefault="008B4DBF">
            <w:pPr>
              <w:pStyle w:val="NormalWeb"/>
              <w:spacing w:before="0" w:beforeAutospacing="0" w:after="0" w:afterAutospacing="0"/>
            </w:pPr>
            <w:r>
              <w:rPr>
                <w:b/>
                <w:bCs/>
                <w:sz w:val="16"/>
                <w:szCs w:val="16"/>
              </w:rPr>
              <w:t>Exhibit</w:t>
            </w:r>
            <w:r>
              <w:rPr>
                <w:b/>
                <w:bCs/>
                <w:sz w:val="16"/>
                <w:szCs w:val="16"/>
              </w:rPr>
              <w:br/>
              <w:t>Number</w:t>
            </w:r>
          </w:p>
        </w:tc>
        <w:tc>
          <w:tcPr>
            <w:tcW w:w="100" w:type="pct"/>
            <w:shd w:val="clear" w:color="auto" w:fill="CCEEFF"/>
            <w:vAlign w:val="bottom"/>
            <w:hideMark/>
          </w:tcPr>
          <w:p w:rsidR="00000000" w:rsidRDefault="008B4DBF">
            <w:pPr>
              <w:pStyle w:val="NormalWeb"/>
              <w:spacing w:before="0" w:beforeAutospacing="0" w:after="0" w:afterAutospacing="0"/>
              <w:jc w:val="center"/>
            </w:pPr>
            <w:r>
              <w:rPr>
                <w:b/>
                <w:bCs/>
                <w:sz w:val="2"/>
                <w:szCs w:val="2"/>
              </w:rPr>
              <w:t> </w:t>
            </w:r>
          </w:p>
        </w:tc>
        <w:tc>
          <w:tcPr>
            <w:tcW w:w="4350" w:type="pct"/>
            <w:tcBorders>
              <w:top w:val="nil"/>
              <w:left w:val="nil"/>
              <w:bottom w:val="single" w:sz="8" w:space="0" w:color="auto"/>
              <w:right w:val="nil"/>
            </w:tcBorders>
            <w:shd w:val="clear" w:color="auto" w:fill="CCEEFF"/>
            <w:vAlign w:val="bottom"/>
            <w:hideMark/>
          </w:tcPr>
          <w:p w:rsidR="00000000" w:rsidRDefault="008B4DBF">
            <w:pPr>
              <w:pStyle w:val="NormalWeb"/>
              <w:spacing w:before="0" w:beforeAutospacing="0" w:after="0" w:afterAutospacing="0"/>
              <w:jc w:val="center"/>
            </w:pPr>
            <w:r>
              <w:rPr>
                <w:b/>
                <w:bCs/>
                <w:sz w:val="16"/>
                <w:szCs w:val="16"/>
              </w:rPr>
              <w:t>Description of the Document</w:t>
            </w:r>
          </w:p>
        </w:tc>
      </w:tr>
      <w:tr w:rsidR="00000000">
        <w:tc>
          <w:tcPr>
            <w:tcW w:w="500" w:type="pct"/>
            <w:shd w:val="clear" w:color="auto" w:fill="FFFFFF"/>
            <w:hideMark/>
          </w:tcPr>
          <w:p w:rsidR="00000000" w:rsidRDefault="008B4DBF">
            <w:pPr>
              <w:rPr>
                <w:rFonts w:eastAsia="Times New Roman"/>
              </w:rPr>
            </w:pPr>
            <w:r>
              <w:rPr>
                <w:rFonts w:eastAsia="Times New Roman"/>
                <w:sz w:val="20"/>
                <w:szCs w:val="20"/>
              </w:rPr>
              <w:t>3.1</w:t>
            </w:r>
          </w:p>
        </w:tc>
        <w:tc>
          <w:tcPr>
            <w:tcW w:w="100" w:type="pct"/>
            <w:shd w:val="clear" w:color="auto" w:fill="FFFFFF"/>
            <w:vAlign w:val="bottom"/>
            <w:hideMark/>
          </w:tcPr>
          <w:p w:rsidR="00000000" w:rsidRDefault="008B4DBF">
            <w:pPr>
              <w:rPr>
                <w:rFonts w:eastAsia="Times New Roman"/>
              </w:rPr>
            </w:pPr>
            <w:r>
              <w:rPr>
                <w:rFonts w:eastAsia="Times New Roman"/>
              </w:rPr>
              <w:t> </w:t>
            </w:r>
          </w:p>
        </w:tc>
        <w:tc>
          <w:tcPr>
            <w:tcW w:w="4350" w:type="pct"/>
            <w:shd w:val="clear" w:color="auto" w:fill="FFFFFF"/>
            <w:hideMark/>
          </w:tcPr>
          <w:p w:rsidR="00000000" w:rsidRDefault="008B4DBF">
            <w:pPr>
              <w:rPr>
                <w:rFonts w:eastAsia="Times New Roman"/>
              </w:rPr>
            </w:pPr>
            <w:r>
              <w:rPr>
                <w:rFonts w:eastAsia="Times New Roman"/>
                <w:sz w:val="20"/>
                <w:szCs w:val="20"/>
              </w:rPr>
              <w:t xml:space="preserve">Certificate of </w:t>
            </w:r>
            <w:r>
              <w:rPr>
                <w:rFonts w:eastAsia="Times New Roman"/>
                <w:sz w:val="20"/>
                <w:szCs w:val="20"/>
              </w:rPr>
              <w:t>Incorporation as Amended and filed with the Secretary of State of Delaware effective on December 5, 2014(1)</w:t>
            </w:r>
          </w:p>
        </w:tc>
      </w:tr>
      <w:tr w:rsidR="00000000">
        <w:tc>
          <w:tcPr>
            <w:tcW w:w="500" w:type="pct"/>
            <w:shd w:val="clear" w:color="auto" w:fill="CCEEFF"/>
            <w:hideMark/>
          </w:tcPr>
          <w:p w:rsidR="00000000" w:rsidRDefault="008B4DBF">
            <w:pPr>
              <w:rPr>
                <w:rFonts w:eastAsia="Times New Roman"/>
              </w:rPr>
            </w:pPr>
            <w:r>
              <w:rPr>
                <w:rFonts w:eastAsia="Times New Roman"/>
                <w:sz w:val="20"/>
                <w:szCs w:val="20"/>
              </w:rPr>
              <w:t>3.2</w:t>
            </w:r>
          </w:p>
        </w:tc>
        <w:tc>
          <w:tcPr>
            <w:tcW w:w="100" w:type="pct"/>
            <w:shd w:val="clear" w:color="auto" w:fill="CCEEFF"/>
            <w:vAlign w:val="bottom"/>
            <w:hideMark/>
          </w:tcPr>
          <w:p w:rsidR="00000000" w:rsidRDefault="008B4DBF">
            <w:pPr>
              <w:rPr>
                <w:rFonts w:eastAsia="Times New Roman"/>
              </w:rPr>
            </w:pPr>
            <w:r>
              <w:rPr>
                <w:rFonts w:eastAsia="Times New Roman"/>
              </w:rPr>
              <w:t> </w:t>
            </w:r>
          </w:p>
        </w:tc>
        <w:tc>
          <w:tcPr>
            <w:tcW w:w="4350" w:type="pct"/>
            <w:shd w:val="clear" w:color="auto" w:fill="CCEEFF"/>
            <w:hideMark/>
          </w:tcPr>
          <w:p w:rsidR="00000000" w:rsidRDefault="008B4DBF">
            <w:pPr>
              <w:rPr>
                <w:rFonts w:eastAsia="Times New Roman"/>
              </w:rPr>
            </w:pPr>
            <w:proofErr w:type="gramStart"/>
            <w:r>
              <w:rPr>
                <w:rFonts w:eastAsia="Times New Roman"/>
                <w:sz w:val="20"/>
                <w:szCs w:val="20"/>
              </w:rPr>
              <w:t>Bylaws.(</w:t>
            </w:r>
            <w:proofErr w:type="gramEnd"/>
            <w:r>
              <w:rPr>
                <w:rFonts w:eastAsia="Times New Roman"/>
                <w:sz w:val="20"/>
                <w:szCs w:val="20"/>
              </w:rPr>
              <w:t>1)</w:t>
            </w:r>
          </w:p>
        </w:tc>
      </w:tr>
      <w:tr w:rsidR="00000000">
        <w:tc>
          <w:tcPr>
            <w:tcW w:w="500" w:type="pct"/>
            <w:shd w:val="clear" w:color="auto" w:fill="FFFFFF"/>
            <w:hideMark/>
          </w:tcPr>
          <w:p w:rsidR="00000000" w:rsidRDefault="008B4DBF">
            <w:pPr>
              <w:pStyle w:val="NormalWeb"/>
              <w:spacing w:before="0" w:beforeAutospacing="0" w:after="0" w:afterAutospacing="0"/>
            </w:pPr>
            <w:r>
              <w:rPr>
                <w:sz w:val="20"/>
                <w:szCs w:val="20"/>
              </w:rPr>
              <w:t>31.1</w:t>
            </w:r>
          </w:p>
        </w:tc>
        <w:tc>
          <w:tcPr>
            <w:tcW w:w="100" w:type="pct"/>
            <w:shd w:val="clear" w:color="auto" w:fill="FFFF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FFFFFF"/>
            <w:hideMark/>
          </w:tcPr>
          <w:p w:rsidR="00000000" w:rsidRDefault="008B4DBF">
            <w:pPr>
              <w:pStyle w:val="NormalWeb"/>
              <w:spacing w:before="0" w:beforeAutospacing="0" w:after="0" w:afterAutospacing="0"/>
              <w:ind w:left="200" w:hanging="200"/>
            </w:pPr>
            <w:r>
              <w:rPr>
                <w:sz w:val="20"/>
                <w:szCs w:val="20"/>
              </w:rPr>
              <w:t>Certification of Chief Executive Officer pursuant to Exchange Act Rule 13a-14(a)/15d-14(a), as adopted pursuant to Section</w:t>
            </w:r>
            <w:r>
              <w:rPr>
                <w:sz w:val="20"/>
                <w:szCs w:val="20"/>
              </w:rPr>
              <w:t> 302 of the Sarbanes-Oxley Act of 2002.</w:t>
            </w:r>
          </w:p>
        </w:tc>
      </w:tr>
      <w:tr w:rsidR="00000000">
        <w:tc>
          <w:tcPr>
            <w:tcW w:w="500" w:type="pct"/>
            <w:shd w:val="clear" w:color="auto" w:fill="CCEEFF"/>
            <w:hideMark/>
          </w:tcPr>
          <w:p w:rsidR="00000000" w:rsidRDefault="008B4DBF">
            <w:pPr>
              <w:pStyle w:val="NormalWeb"/>
              <w:spacing w:before="0" w:beforeAutospacing="0" w:after="0" w:afterAutospacing="0"/>
            </w:pPr>
            <w:r>
              <w:rPr>
                <w:sz w:val="20"/>
                <w:szCs w:val="20"/>
              </w:rPr>
              <w:t>31.2</w:t>
            </w:r>
          </w:p>
        </w:tc>
        <w:tc>
          <w:tcPr>
            <w:tcW w:w="100" w:type="pct"/>
            <w:shd w:val="clear" w:color="auto" w:fill="CCEE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CCEEFF"/>
            <w:hideMark/>
          </w:tcPr>
          <w:p w:rsidR="00000000" w:rsidRDefault="008B4DBF">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000000">
        <w:tc>
          <w:tcPr>
            <w:tcW w:w="500" w:type="pct"/>
            <w:shd w:val="clear" w:color="auto" w:fill="FFFFFF"/>
            <w:hideMark/>
          </w:tcPr>
          <w:p w:rsidR="00000000" w:rsidRDefault="008B4DBF">
            <w:pPr>
              <w:pStyle w:val="NormalWeb"/>
              <w:spacing w:before="0" w:beforeAutospacing="0" w:after="0" w:afterAutospacing="0"/>
            </w:pPr>
            <w:r>
              <w:rPr>
                <w:sz w:val="20"/>
                <w:szCs w:val="20"/>
              </w:rPr>
              <w:t>32.1</w:t>
            </w:r>
          </w:p>
        </w:tc>
        <w:tc>
          <w:tcPr>
            <w:tcW w:w="100" w:type="pct"/>
            <w:shd w:val="clear" w:color="auto" w:fill="FFFF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FFFFFF"/>
            <w:hideMark/>
          </w:tcPr>
          <w:p w:rsidR="00000000" w:rsidRDefault="008B4DBF">
            <w:pPr>
              <w:pStyle w:val="NormalWeb"/>
              <w:spacing w:before="0" w:beforeAutospacing="0" w:after="0" w:afterAutospacing="0"/>
              <w:ind w:left="200" w:hanging="200"/>
            </w:pPr>
            <w:r>
              <w:rPr>
                <w:sz w:val="20"/>
                <w:szCs w:val="20"/>
              </w:rPr>
              <w:t xml:space="preserve">Certification of </w:t>
            </w:r>
            <w:r>
              <w:rPr>
                <w:sz w:val="20"/>
                <w:szCs w:val="20"/>
              </w:rPr>
              <w:t>Chief Executive Officer in accordance with 18 U.S.C. Section 1350, as adopted pursuant to Section 906 of the Sarbanes-Oxley Act of 2002.</w:t>
            </w:r>
          </w:p>
        </w:tc>
      </w:tr>
      <w:tr w:rsidR="00000000">
        <w:tc>
          <w:tcPr>
            <w:tcW w:w="500" w:type="pct"/>
            <w:shd w:val="clear" w:color="auto" w:fill="CCEEFF"/>
            <w:hideMark/>
          </w:tcPr>
          <w:p w:rsidR="00000000" w:rsidRDefault="008B4DBF">
            <w:pPr>
              <w:pStyle w:val="NormalWeb"/>
              <w:spacing w:before="0" w:beforeAutospacing="0" w:after="0" w:afterAutospacing="0"/>
            </w:pPr>
            <w:r>
              <w:rPr>
                <w:sz w:val="20"/>
                <w:szCs w:val="20"/>
              </w:rPr>
              <w:t>32.2</w:t>
            </w:r>
          </w:p>
        </w:tc>
        <w:tc>
          <w:tcPr>
            <w:tcW w:w="100" w:type="pct"/>
            <w:shd w:val="clear" w:color="auto" w:fill="CCEE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CCEEFF"/>
            <w:hideMark/>
          </w:tcPr>
          <w:p w:rsidR="00000000" w:rsidRDefault="008B4DBF">
            <w:pPr>
              <w:pStyle w:val="NormalWeb"/>
              <w:spacing w:before="0" w:beforeAutospacing="0" w:after="0" w:afterAutospacing="0"/>
              <w:ind w:left="200" w:hanging="200"/>
            </w:pPr>
            <w:r>
              <w:rPr>
                <w:sz w:val="20"/>
                <w:szCs w:val="20"/>
              </w:rPr>
              <w:t>Certification of Chief Financial Officer in accordance with 18 U.S.C. Section 1350, as adopted pursuant to Sect</w:t>
            </w:r>
            <w:r>
              <w:rPr>
                <w:sz w:val="20"/>
                <w:szCs w:val="20"/>
              </w:rPr>
              <w:t>ion 906 of the Sarbanes-Oxley Act of 2002.</w:t>
            </w:r>
          </w:p>
        </w:tc>
      </w:tr>
      <w:tr w:rsidR="00000000">
        <w:tc>
          <w:tcPr>
            <w:tcW w:w="500" w:type="pct"/>
            <w:shd w:val="clear" w:color="auto" w:fill="FFFFFF"/>
            <w:hideMark/>
          </w:tcPr>
          <w:p w:rsidR="00000000" w:rsidRDefault="008B4DBF">
            <w:pPr>
              <w:pStyle w:val="NormalWeb"/>
              <w:spacing w:before="0" w:beforeAutospacing="0" w:after="0" w:afterAutospacing="0"/>
            </w:pPr>
            <w:r>
              <w:rPr>
                <w:sz w:val="20"/>
                <w:szCs w:val="20"/>
              </w:rPr>
              <w:t>101.INS</w:t>
            </w:r>
          </w:p>
        </w:tc>
        <w:tc>
          <w:tcPr>
            <w:tcW w:w="100" w:type="pct"/>
            <w:shd w:val="clear" w:color="auto" w:fill="FFFF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FFFFFF"/>
            <w:hideMark/>
          </w:tcPr>
          <w:p w:rsidR="00000000" w:rsidRDefault="008B4DBF">
            <w:pPr>
              <w:pStyle w:val="NormalWeb"/>
              <w:spacing w:before="0" w:beforeAutospacing="0" w:after="0" w:afterAutospacing="0"/>
              <w:ind w:left="200" w:hanging="200"/>
            </w:pPr>
            <w:r>
              <w:rPr>
                <w:sz w:val="20"/>
                <w:szCs w:val="20"/>
              </w:rPr>
              <w:t>XBRL Instance</w:t>
            </w:r>
          </w:p>
        </w:tc>
      </w:tr>
      <w:tr w:rsidR="00000000">
        <w:tc>
          <w:tcPr>
            <w:tcW w:w="500" w:type="pct"/>
            <w:shd w:val="clear" w:color="auto" w:fill="CCEEFF"/>
            <w:hideMark/>
          </w:tcPr>
          <w:p w:rsidR="00000000" w:rsidRDefault="008B4DBF">
            <w:pPr>
              <w:pStyle w:val="NormalWeb"/>
              <w:spacing w:before="0" w:beforeAutospacing="0" w:after="0" w:afterAutospacing="0"/>
            </w:pPr>
            <w:r>
              <w:rPr>
                <w:sz w:val="20"/>
                <w:szCs w:val="20"/>
              </w:rPr>
              <w:t>101.SCH</w:t>
            </w:r>
          </w:p>
        </w:tc>
        <w:tc>
          <w:tcPr>
            <w:tcW w:w="100" w:type="pct"/>
            <w:shd w:val="clear" w:color="auto" w:fill="CCEE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CCEEFF"/>
            <w:hideMark/>
          </w:tcPr>
          <w:p w:rsidR="00000000" w:rsidRDefault="008B4DBF">
            <w:pPr>
              <w:pStyle w:val="NormalWeb"/>
              <w:spacing w:before="0" w:beforeAutospacing="0" w:after="0" w:afterAutospacing="0"/>
              <w:ind w:left="200" w:hanging="200"/>
            </w:pPr>
            <w:r>
              <w:rPr>
                <w:sz w:val="20"/>
                <w:szCs w:val="20"/>
              </w:rPr>
              <w:t>XBRL Taxonomy Extension Schema Document</w:t>
            </w:r>
          </w:p>
        </w:tc>
      </w:tr>
      <w:tr w:rsidR="00000000">
        <w:tc>
          <w:tcPr>
            <w:tcW w:w="500" w:type="pct"/>
            <w:shd w:val="clear" w:color="auto" w:fill="FFFFFF"/>
            <w:hideMark/>
          </w:tcPr>
          <w:p w:rsidR="00000000" w:rsidRDefault="008B4DBF">
            <w:pPr>
              <w:pStyle w:val="NormalWeb"/>
              <w:spacing w:before="0" w:beforeAutospacing="0" w:after="0" w:afterAutospacing="0"/>
            </w:pPr>
            <w:r>
              <w:rPr>
                <w:sz w:val="20"/>
                <w:szCs w:val="20"/>
              </w:rPr>
              <w:t>101.CAL</w:t>
            </w:r>
          </w:p>
        </w:tc>
        <w:tc>
          <w:tcPr>
            <w:tcW w:w="100" w:type="pct"/>
            <w:shd w:val="clear" w:color="auto" w:fill="FFFF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FFFFFF"/>
            <w:hideMark/>
          </w:tcPr>
          <w:p w:rsidR="00000000" w:rsidRDefault="008B4DBF">
            <w:pPr>
              <w:pStyle w:val="NormalWeb"/>
              <w:spacing w:before="0" w:beforeAutospacing="0" w:after="0" w:afterAutospacing="0"/>
              <w:ind w:left="200" w:hanging="200"/>
            </w:pPr>
            <w:r>
              <w:rPr>
                <w:sz w:val="20"/>
                <w:szCs w:val="20"/>
              </w:rPr>
              <w:t>XBRL Taxonomy Extension Calculation Linkbase Document</w:t>
            </w:r>
          </w:p>
        </w:tc>
      </w:tr>
      <w:tr w:rsidR="00000000">
        <w:tc>
          <w:tcPr>
            <w:tcW w:w="500" w:type="pct"/>
            <w:shd w:val="clear" w:color="auto" w:fill="CCEEFF"/>
            <w:hideMark/>
          </w:tcPr>
          <w:p w:rsidR="00000000" w:rsidRDefault="008B4DBF">
            <w:pPr>
              <w:pStyle w:val="NormalWeb"/>
              <w:spacing w:before="0" w:beforeAutospacing="0" w:after="0" w:afterAutospacing="0"/>
            </w:pPr>
            <w:r>
              <w:rPr>
                <w:sz w:val="20"/>
                <w:szCs w:val="20"/>
              </w:rPr>
              <w:t>101.DEF</w:t>
            </w:r>
          </w:p>
        </w:tc>
        <w:tc>
          <w:tcPr>
            <w:tcW w:w="100" w:type="pct"/>
            <w:shd w:val="clear" w:color="auto" w:fill="CCEE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CCEEFF"/>
            <w:hideMark/>
          </w:tcPr>
          <w:p w:rsidR="00000000" w:rsidRDefault="008B4DBF">
            <w:pPr>
              <w:pStyle w:val="NormalWeb"/>
              <w:spacing w:before="0" w:beforeAutospacing="0" w:after="0" w:afterAutospacing="0"/>
              <w:ind w:left="200" w:hanging="200"/>
            </w:pPr>
            <w:r>
              <w:rPr>
                <w:sz w:val="20"/>
                <w:szCs w:val="20"/>
              </w:rPr>
              <w:t>XBRL Taxonomy Extension Definition Linkbase Document</w:t>
            </w:r>
          </w:p>
        </w:tc>
      </w:tr>
      <w:tr w:rsidR="00000000">
        <w:tc>
          <w:tcPr>
            <w:tcW w:w="500" w:type="pct"/>
            <w:shd w:val="clear" w:color="auto" w:fill="FFFFFF"/>
            <w:hideMark/>
          </w:tcPr>
          <w:p w:rsidR="00000000" w:rsidRDefault="008B4DBF">
            <w:pPr>
              <w:pStyle w:val="NormalWeb"/>
              <w:spacing w:before="0" w:beforeAutospacing="0" w:after="0" w:afterAutospacing="0"/>
            </w:pPr>
            <w:r>
              <w:rPr>
                <w:sz w:val="20"/>
                <w:szCs w:val="20"/>
              </w:rPr>
              <w:t>101.LAB</w:t>
            </w:r>
          </w:p>
        </w:tc>
        <w:tc>
          <w:tcPr>
            <w:tcW w:w="100" w:type="pct"/>
            <w:shd w:val="clear" w:color="auto" w:fill="FFFF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FFFFFF"/>
            <w:hideMark/>
          </w:tcPr>
          <w:p w:rsidR="00000000" w:rsidRDefault="008B4DBF">
            <w:pPr>
              <w:pStyle w:val="NormalWeb"/>
              <w:spacing w:before="0" w:beforeAutospacing="0" w:after="0" w:afterAutospacing="0"/>
              <w:ind w:left="200" w:hanging="200"/>
            </w:pPr>
            <w:r>
              <w:rPr>
                <w:sz w:val="20"/>
                <w:szCs w:val="20"/>
              </w:rPr>
              <w:t>XBRL Taxonomy Extension Labels Linkbase Document</w:t>
            </w:r>
          </w:p>
        </w:tc>
      </w:tr>
      <w:tr w:rsidR="00000000">
        <w:tc>
          <w:tcPr>
            <w:tcW w:w="500" w:type="pct"/>
            <w:shd w:val="clear" w:color="auto" w:fill="CCEEFF"/>
            <w:hideMark/>
          </w:tcPr>
          <w:p w:rsidR="00000000" w:rsidRDefault="008B4DBF">
            <w:pPr>
              <w:pStyle w:val="NormalWeb"/>
              <w:spacing w:before="0" w:beforeAutospacing="0" w:after="0" w:afterAutospacing="0"/>
            </w:pPr>
            <w:r>
              <w:rPr>
                <w:sz w:val="20"/>
                <w:szCs w:val="20"/>
              </w:rPr>
              <w:t>101.PRE</w:t>
            </w:r>
          </w:p>
        </w:tc>
        <w:tc>
          <w:tcPr>
            <w:tcW w:w="100" w:type="pct"/>
            <w:shd w:val="clear" w:color="auto" w:fill="CCEEFF"/>
            <w:vAlign w:val="bottom"/>
            <w:hideMark/>
          </w:tcPr>
          <w:p w:rsidR="00000000" w:rsidRDefault="008B4DBF">
            <w:pPr>
              <w:pStyle w:val="NormalWeb"/>
              <w:spacing w:before="0" w:beforeAutospacing="0" w:after="0" w:afterAutospacing="0"/>
            </w:pPr>
            <w:r>
              <w:rPr>
                <w:sz w:val="2"/>
                <w:szCs w:val="2"/>
              </w:rPr>
              <w:t> </w:t>
            </w:r>
          </w:p>
        </w:tc>
        <w:tc>
          <w:tcPr>
            <w:tcW w:w="4350" w:type="pct"/>
            <w:shd w:val="clear" w:color="auto" w:fill="CCEEFF"/>
            <w:hideMark/>
          </w:tcPr>
          <w:p w:rsidR="00000000" w:rsidRDefault="008B4DBF">
            <w:pPr>
              <w:pStyle w:val="NormalWeb"/>
              <w:spacing w:before="0" w:beforeAutospacing="0" w:after="0" w:afterAutospacing="0"/>
              <w:ind w:left="200" w:hanging="200"/>
            </w:pPr>
            <w:r>
              <w:rPr>
                <w:sz w:val="20"/>
                <w:szCs w:val="20"/>
              </w:rPr>
              <w:t>XBRL Taxonomy Extension Presentation Linkbase Document</w:t>
            </w:r>
          </w:p>
        </w:tc>
      </w:tr>
    </w:tbl>
    <w:p w:rsidR="00000000" w:rsidRDefault="008B4DBF">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000000">
        <w:trPr>
          <w:tblCellSpacing w:w="0" w:type="dxa"/>
        </w:trPr>
        <w:tc>
          <w:tcPr>
            <w:tcW w:w="0" w:type="auto"/>
            <w:shd w:val="clear" w:color="auto" w:fill="auto"/>
            <w:hideMark/>
          </w:tcPr>
          <w:p w:rsidR="00000000" w:rsidRDefault="008B4DBF">
            <w:pPr>
              <w:rPr>
                <w:rFonts w:eastAsia="Times New Roman"/>
                <w:sz w:val="20"/>
                <w:szCs w:val="20"/>
              </w:rPr>
            </w:pPr>
            <w:r>
              <w:rPr>
                <w:rFonts w:eastAsia="Times New Roman"/>
                <w:sz w:val="20"/>
                <w:szCs w:val="20"/>
              </w:rPr>
              <w:t>(1)</w:t>
            </w:r>
          </w:p>
        </w:tc>
        <w:tc>
          <w:tcPr>
            <w:tcW w:w="0" w:type="auto"/>
            <w:shd w:val="clear" w:color="auto" w:fill="auto"/>
            <w:hideMark/>
          </w:tcPr>
          <w:p w:rsidR="00000000" w:rsidRDefault="008B4DBF">
            <w:pPr>
              <w:rPr>
                <w:rFonts w:eastAsia="Times New Roman"/>
                <w:sz w:val="20"/>
                <w:szCs w:val="20"/>
              </w:rPr>
            </w:pPr>
            <w:r>
              <w:rPr>
                <w:rFonts w:eastAsia="Times New Roman"/>
                <w:sz w:val="20"/>
                <w:szCs w:val="20"/>
              </w:rPr>
              <w:t> </w:t>
            </w:r>
          </w:p>
        </w:tc>
        <w:tc>
          <w:tcPr>
            <w:tcW w:w="0" w:type="auto"/>
            <w:shd w:val="clear" w:color="auto" w:fill="auto"/>
            <w:hideMark/>
          </w:tcPr>
          <w:p w:rsidR="00000000" w:rsidRDefault="008B4DBF">
            <w:pPr>
              <w:spacing w:line="276" w:lineRule="auto"/>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rsidR="00000000" w:rsidRDefault="008B4DBF">
      <w:pPr>
        <w:pStyle w:val="NormalWeb"/>
        <w:spacing w:before="0" w:beforeAutospacing="0" w:after="0" w:afterAutospacing="0"/>
        <w:rPr>
          <w:color w:val="000000"/>
          <w:sz w:val="27"/>
          <w:szCs w:val="27"/>
        </w:rPr>
      </w:pPr>
      <w:r>
        <w:rPr>
          <w:color w:val="000000"/>
          <w:sz w:val="20"/>
          <w:szCs w:val="20"/>
        </w:rPr>
        <w:t> </w:t>
      </w:r>
      <w:r>
        <w:rPr>
          <w:color w:val="000000"/>
          <w:sz w:val="27"/>
          <w:szCs w:val="27"/>
        </w:rPr>
        <w:t xml:space="preserve"> </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SIGNATURE</w:t>
      </w:r>
      <w:r>
        <w:rPr>
          <w:rFonts w:ascii="were non-interest bearing and w" w:hAnsi="were non-interest bearing and w"/>
          <w:sz w:val="20"/>
          <w:szCs w:val="20"/>
        </w:rPr>
        <w:t xml:space="preserve"> </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In accordance with the requirements of the Exchange Act, the Registrant has caused this report to be signed on its behalf by the undersigned, thereunto duly authorized.</w:t>
      </w:r>
      <w:r>
        <w:rPr>
          <w:rFonts w:ascii="were non-interest bearing and w" w:hAnsi="were non-interest bearing and w"/>
          <w:sz w:val="20"/>
          <w:szCs w:val="20"/>
        </w:rPr>
        <w:t xml:space="preserve"> </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Date: May 8, 2018</w:t>
      </w:r>
    </w:p>
    <w:p w:rsidR="00000000" w:rsidRDefault="008B4DBF">
      <w:pPr>
        <w:pStyle w:val="NormalWeb"/>
        <w:rPr>
          <w:rFonts w:ascii="were non-interest bearing and w" w:hAnsi="were non-interest bearing and w"/>
        </w:rPr>
      </w:pPr>
      <w:r>
        <w:rPr>
          <w:rFonts w:ascii="were non-interest bearing and w" w:hAnsi="were non-interest bearing and w"/>
          <w:sz w:val="20"/>
          <w:szCs w:val="20"/>
        </w:rPr>
        <w:t> </w:t>
      </w:r>
    </w:p>
    <w:p w:rsidR="008B4DBF" w:rsidRDefault="008B4DBF">
      <w:pPr>
        <w:pStyle w:val="NormalWeb"/>
        <w:rPr>
          <w:rFonts w:ascii="were non-interest bearing and w" w:hAnsi="were non-interest bearing and w"/>
        </w:rPr>
      </w:pPr>
      <w:r>
        <w:rPr>
          <w:rFonts w:ascii="were non-interest bearing and w" w:hAnsi="were non-interest bearing and w"/>
          <w:sz w:val="20"/>
          <w:szCs w:val="20"/>
        </w:rPr>
        <w:t>/s/ Robert E. Wolfe /s/</w:t>
      </w:r>
      <w:r>
        <w:rPr>
          <w:rFonts w:ascii="were non-interest bearing and w" w:hAnsi="were non-interest bearing and w"/>
          <w:sz w:val="20"/>
          <w:szCs w:val="20"/>
        </w:rPr>
        <w:br/>
      </w:r>
      <w:r>
        <w:rPr>
          <w:rFonts w:ascii="were non-interest bearing and w" w:hAnsi="were non-interest bearing and w"/>
          <w:sz w:val="20"/>
          <w:szCs w:val="20"/>
        </w:rPr>
        <w:t>------------------------------------------</w:t>
      </w:r>
      <w:r>
        <w:rPr>
          <w:rFonts w:ascii="were non-interest bearing and w" w:hAnsi="were non-interest bearing and w"/>
          <w:sz w:val="20"/>
          <w:szCs w:val="20"/>
        </w:rPr>
        <w:br/>
      </w:r>
      <w:r>
        <w:rPr>
          <w:rFonts w:ascii="were non-interest bearing and w" w:hAnsi="were non-interest bearing and w"/>
          <w:sz w:val="20"/>
          <w:szCs w:val="20"/>
        </w:rPr>
        <w:t>Robert E. Wolfe, Chairman of the Board and</w:t>
      </w:r>
      <w:r>
        <w:rPr>
          <w:rFonts w:ascii="were non-interest bearing and w" w:hAnsi="were non-interest bearing and w"/>
          <w:sz w:val="20"/>
          <w:szCs w:val="20"/>
        </w:rPr>
        <w:br/>
      </w:r>
      <w:r>
        <w:rPr>
          <w:rFonts w:ascii="were non-interest bearing and w" w:hAnsi="were non-interest bearing and w"/>
          <w:sz w:val="20"/>
          <w:szCs w:val="20"/>
        </w:rPr>
        <w:t>Chief Executive Officer and Principal</w:t>
      </w:r>
      <w:r>
        <w:rPr>
          <w:rFonts w:ascii="were non-interest bearing and w" w:hAnsi="were non-interest bearing and w"/>
          <w:sz w:val="20"/>
          <w:szCs w:val="20"/>
        </w:rPr>
        <w:br/>
      </w:r>
      <w:r>
        <w:rPr>
          <w:rFonts w:ascii="were non-interest bearing and w" w:hAnsi="were non-interest bearing and w"/>
          <w:sz w:val="20"/>
          <w:szCs w:val="20"/>
        </w:rPr>
        <w:t>Financial Officer</w:t>
      </w:r>
      <w:r>
        <w:rPr>
          <w:rFonts w:ascii="were non-interest bearing and w" w:hAnsi="were non-interest bearing and w"/>
          <w:sz w:val="20"/>
          <w:szCs w:val="20"/>
        </w:rPr>
        <w:t xml:space="preserve"> </w:t>
      </w:r>
      <w:bookmarkStart w:id="2" w:name="_GoBack"/>
      <w:bookmarkEnd w:id="2"/>
      <w:r>
        <w:rPr>
          <w:rFonts w:ascii="were non-interest bearing and w" w:hAnsi="were non-interest bearing and w"/>
          <w:sz w:val="20"/>
          <w:szCs w:val="20"/>
        </w:rPr>
        <w:t> </w:t>
      </w:r>
    </w:p>
    <w:sectPr w:rsidR="008B4DBF" w:rsidSect="00F107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re non-interest bearing and 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0712"/>
    <w:rsid w:val="00453C41"/>
    <w:rsid w:val="008B4DBF"/>
    <w:rsid w:val="00F1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2C2E9"/>
  <w15:chartTrackingRefBased/>
  <w15:docId w15:val="{B66F91F0-45A5-4077-802E-F6AF36CA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65848">
      <w:marLeft w:val="0"/>
      <w:marRight w:val="0"/>
      <w:marTop w:val="0"/>
      <w:marBottom w:val="0"/>
      <w:divBdr>
        <w:top w:val="none" w:sz="0" w:space="0" w:color="auto"/>
        <w:left w:val="none" w:sz="0" w:space="0" w:color="auto"/>
        <w:bottom w:val="none" w:sz="0" w:space="0" w:color="auto"/>
        <w:right w:val="none" w:sz="0" w:space="0" w:color="auto"/>
      </w:divBdr>
      <w:divsChild>
        <w:div w:id="1246572405">
          <w:marLeft w:val="0"/>
          <w:marRight w:val="0"/>
          <w:marTop w:val="0"/>
          <w:marBottom w:val="0"/>
          <w:divBdr>
            <w:top w:val="none" w:sz="0" w:space="0" w:color="auto"/>
            <w:left w:val="none" w:sz="0" w:space="0" w:color="auto"/>
            <w:bottom w:val="none" w:sz="0" w:space="0" w:color="auto"/>
            <w:right w:val="none" w:sz="0" w:space="0" w:color="auto"/>
          </w:divBdr>
        </w:div>
      </w:divsChild>
    </w:div>
    <w:div w:id="920405673">
      <w:marLeft w:val="0"/>
      <w:marRight w:val="0"/>
      <w:marTop w:val="0"/>
      <w:marBottom w:val="0"/>
      <w:divBdr>
        <w:top w:val="none" w:sz="0" w:space="0" w:color="auto"/>
        <w:left w:val="none" w:sz="0" w:space="0" w:color="auto"/>
        <w:bottom w:val="none" w:sz="0" w:space="0" w:color="auto"/>
        <w:right w:val="none" w:sz="0" w:space="0" w:color="auto"/>
      </w:divBdr>
      <w:divsChild>
        <w:div w:id="546797425">
          <w:marLeft w:val="0"/>
          <w:marRight w:val="0"/>
          <w:marTop w:val="0"/>
          <w:marBottom w:val="0"/>
          <w:divBdr>
            <w:top w:val="none" w:sz="0" w:space="0" w:color="auto"/>
            <w:left w:val="none" w:sz="0" w:space="0" w:color="auto"/>
            <w:bottom w:val="none" w:sz="0" w:space="0" w:color="auto"/>
            <w:right w:val="none" w:sz="0" w:space="0" w:color="auto"/>
          </w:divBdr>
        </w:div>
      </w:divsChild>
    </w:div>
    <w:div w:id="1004210226">
      <w:marLeft w:val="0"/>
      <w:marRight w:val="0"/>
      <w:marTop w:val="0"/>
      <w:marBottom w:val="0"/>
      <w:divBdr>
        <w:top w:val="none" w:sz="0" w:space="0" w:color="auto"/>
        <w:left w:val="none" w:sz="0" w:space="0" w:color="auto"/>
        <w:bottom w:val="none" w:sz="0" w:space="0" w:color="auto"/>
        <w:right w:val="none" w:sz="0" w:space="0" w:color="auto"/>
      </w:divBdr>
      <w:divsChild>
        <w:div w:id="1502427528">
          <w:marLeft w:val="0"/>
          <w:marRight w:val="0"/>
          <w:marTop w:val="0"/>
          <w:marBottom w:val="0"/>
          <w:divBdr>
            <w:top w:val="none" w:sz="0" w:space="0" w:color="auto"/>
            <w:left w:val="none" w:sz="0" w:space="0" w:color="auto"/>
            <w:bottom w:val="none" w:sz="0" w:space="0" w:color="auto"/>
            <w:right w:val="none" w:sz="0" w:space="0" w:color="auto"/>
          </w:divBdr>
        </w:div>
      </w:divsChild>
    </w:div>
    <w:div w:id="1009874571">
      <w:marLeft w:val="0"/>
      <w:marRight w:val="0"/>
      <w:marTop w:val="0"/>
      <w:marBottom w:val="0"/>
      <w:divBdr>
        <w:top w:val="none" w:sz="0" w:space="0" w:color="auto"/>
        <w:left w:val="none" w:sz="0" w:space="0" w:color="auto"/>
        <w:bottom w:val="none" w:sz="0" w:space="0" w:color="auto"/>
        <w:right w:val="none" w:sz="0" w:space="0" w:color="auto"/>
      </w:divBdr>
    </w:div>
    <w:div w:id="1360352785">
      <w:marLeft w:val="0"/>
      <w:marRight w:val="0"/>
      <w:marTop w:val="0"/>
      <w:marBottom w:val="0"/>
      <w:divBdr>
        <w:top w:val="none" w:sz="0" w:space="0" w:color="auto"/>
        <w:left w:val="none" w:sz="0" w:space="0" w:color="auto"/>
        <w:bottom w:val="none" w:sz="0" w:space="0" w:color="auto"/>
        <w:right w:val="none" w:sz="0" w:space="0" w:color="auto"/>
      </w:divBdr>
    </w:div>
    <w:div w:id="1554196262">
      <w:marLeft w:val="0"/>
      <w:marRight w:val="0"/>
      <w:marTop w:val="0"/>
      <w:marBottom w:val="0"/>
      <w:divBdr>
        <w:top w:val="none" w:sz="0" w:space="0" w:color="auto"/>
        <w:left w:val="none" w:sz="0" w:space="0" w:color="auto"/>
        <w:bottom w:val="none" w:sz="0" w:space="0" w:color="auto"/>
        <w:right w:val="none" w:sz="0" w:space="0" w:color="auto"/>
      </w:divBdr>
      <w:divsChild>
        <w:div w:id="907570072">
          <w:marLeft w:val="0"/>
          <w:marRight w:val="0"/>
          <w:marTop w:val="0"/>
          <w:marBottom w:val="0"/>
          <w:divBdr>
            <w:top w:val="none" w:sz="0" w:space="0" w:color="auto"/>
            <w:left w:val="none" w:sz="0" w:space="0" w:color="auto"/>
            <w:bottom w:val="none" w:sz="0" w:space="0" w:color="auto"/>
            <w:right w:val="none" w:sz="0" w:space="0" w:color="auto"/>
          </w:divBdr>
        </w:div>
      </w:divsChild>
    </w:div>
    <w:div w:id="1639988631">
      <w:marLeft w:val="0"/>
      <w:marRight w:val="0"/>
      <w:marTop w:val="0"/>
      <w:marBottom w:val="0"/>
      <w:divBdr>
        <w:top w:val="none" w:sz="0" w:space="0" w:color="auto"/>
        <w:left w:val="none" w:sz="0" w:space="0" w:color="auto"/>
        <w:bottom w:val="none" w:sz="0" w:space="0" w:color="auto"/>
        <w:right w:val="none" w:sz="0" w:space="0" w:color="auto"/>
      </w:divBdr>
    </w:div>
    <w:div w:id="186451150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March 31, 2018 10Q</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2018 10Q</dc:title>
  <dc:subject/>
  <dc:creator>Robert Wolfe</dc:creator>
  <cp:keywords/>
  <dc:description/>
  <cp:lastModifiedBy>Robert Wolfe</cp:lastModifiedBy>
  <cp:revision>3</cp:revision>
  <dcterms:created xsi:type="dcterms:W3CDTF">2018-05-08T19:31:00Z</dcterms:created>
  <dcterms:modified xsi:type="dcterms:W3CDTF">2018-05-08T19:33:00Z</dcterms:modified>
</cp:coreProperties>
</file>