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CAC662" w14:textId="77777777" w:rsidR="00236301" w:rsidRDefault="00084F74">
      <w:pPr>
        <w:jc w:val="center"/>
        <w:divId w:val="1408452268"/>
        <w:rPr>
          <w:rFonts w:eastAsia="Times New Roman"/>
        </w:rPr>
      </w:pPr>
      <w:bookmarkStart w:id="0" w:name="_GoBack"/>
      <w:bookmarkEnd w:id="0"/>
      <w:r>
        <w:rPr>
          <w:rFonts w:eastAsia="Times New Roman"/>
        </w:rPr>
        <w:pict w14:anchorId="470F234D">
          <v:rect id="_x0000_i1025" style="width:.05pt;height:2pt" o:hralign="center" o:hrstd="t" o:hrnoshade="t" o:hr="t" fillcolor="black" stroked="f"/>
        </w:pict>
      </w:r>
    </w:p>
    <w:p w14:paraId="15294A7D" w14:textId="77777777" w:rsidR="00236301" w:rsidRDefault="00084F74">
      <w:pPr>
        <w:jc w:val="center"/>
        <w:divId w:val="1408452268"/>
        <w:rPr>
          <w:rFonts w:eastAsia="Times New Roman"/>
        </w:rPr>
      </w:pPr>
      <w:r>
        <w:rPr>
          <w:rFonts w:eastAsia="Times New Roman"/>
        </w:rPr>
        <w:pict w14:anchorId="2ACA0B61">
          <v:rect id="_x0000_i1026" style="width:.05pt;height:.5pt" o:hralign="center" o:hrstd="t" o:hrnoshade="t" o:hr="t" fillcolor="black" stroked="f"/>
        </w:pict>
      </w:r>
    </w:p>
    <w:p w14:paraId="6C1B4951" w14:textId="77777777" w:rsidR="00236301" w:rsidRDefault="00265296">
      <w:pPr>
        <w:pStyle w:val="NormalWeb"/>
        <w:divId w:val="1408452268"/>
      </w:pPr>
      <w:r>
        <w:t> </w:t>
      </w:r>
    </w:p>
    <w:p w14:paraId="6DD89332" w14:textId="77777777" w:rsidR="00236301" w:rsidRDefault="00265296">
      <w:pPr>
        <w:pStyle w:val="NormalWeb"/>
        <w:jc w:val="center"/>
        <w:divId w:val="1459840797"/>
      </w:pPr>
      <w:r>
        <w:rPr>
          <w:rStyle w:val="Strong"/>
          <w:sz w:val="20"/>
          <w:szCs w:val="20"/>
        </w:rPr>
        <w:t>U. S. SECURITIES AND EXCHANGE COMMISSION</w:t>
      </w:r>
      <w:r>
        <w:br/>
      </w:r>
      <w:r>
        <w:rPr>
          <w:rStyle w:val="Strong"/>
          <w:sz w:val="20"/>
          <w:szCs w:val="20"/>
        </w:rPr>
        <w:t>WASHINGTON, D.C. 20549</w:t>
      </w:r>
      <w:r>
        <w:t> </w:t>
      </w:r>
    </w:p>
    <w:p w14:paraId="2893DF39" w14:textId="77777777" w:rsidR="00236301" w:rsidRDefault="00265296">
      <w:pPr>
        <w:pStyle w:val="NormalWeb"/>
        <w:jc w:val="center"/>
        <w:divId w:val="1459840797"/>
      </w:pPr>
      <w:r>
        <w:rPr>
          <w:rStyle w:val="Strong"/>
        </w:rPr>
        <w:t>FORM 10-</w:t>
      </w:r>
      <w:proofErr w:type="gramStart"/>
      <w:r>
        <w:rPr>
          <w:rStyle w:val="Strong"/>
        </w:rPr>
        <w:t>K</w:t>
      </w:r>
      <w:proofErr w:type="gramEnd"/>
      <w:r>
        <w:br/>
      </w:r>
      <w:r>
        <w:rPr>
          <w:sz w:val="20"/>
          <w:szCs w:val="20"/>
        </w:rPr>
        <w:t>(Mark One)</w:t>
      </w:r>
      <w:r>
        <w:t> </w:t>
      </w:r>
    </w:p>
    <w:p w14:paraId="4BE76380" w14:textId="446EC11C" w:rsidR="00236301" w:rsidRDefault="00FE5EA6">
      <w:pPr>
        <w:pStyle w:val="NormalWeb"/>
        <w:jc w:val="center"/>
        <w:divId w:val="1459840797"/>
      </w:pPr>
      <w:r>
        <w:rPr>
          <w:rFonts w:ascii="Wingdings" w:hAnsi="Wingdings"/>
          <w:b/>
          <w:bCs/>
          <w:sz w:val="20"/>
          <w:szCs w:val="20"/>
        </w:rPr>
        <w:t></w:t>
      </w:r>
      <w:proofErr w:type="gramStart"/>
      <w:r w:rsidR="00265296">
        <w:rPr>
          <w:sz w:val="20"/>
          <w:szCs w:val="20"/>
        </w:rPr>
        <w:t xml:space="preserve">  </w:t>
      </w:r>
      <w:r w:rsidR="00265296">
        <w:rPr>
          <w:rStyle w:val="Strong"/>
          <w:sz w:val="20"/>
          <w:szCs w:val="20"/>
        </w:rPr>
        <w:t>ANNUAL</w:t>
      </w:r>
      <w:proofErr w:type="gramEnd"/>
      <w:r w:rsidR="00265296">
        <w:rPr>
          <w:rStyle w:val="Strong"/>
          <w:sz w:val="20"/>
          <w:szCs w:val="20"/>
        </w:rPr>
        <w:t xml:space="preserve"> REPORT UNDER SECTION 13 OR 15(d) OF THE SECURITIES EXCHANGE ACT OF 1934 </w:t>
      </w:r>
      <w:r w:rsidR="00265296">
        <w:t> </w:t>
      </w:r>
    </w:p>
    <w:p w14:paraId="06E0FE85" w14:textId="77777777" w:rsidR="00236301" w:rsidRDefault="00265296">
      <w:pPr>
        <w:pStyle w:val="NormalWeb"/>
        <w:jc w:val="center"/>
        <w:divId w:val="1523084250"/>
      </w:pPr>
      <w:r>
        <w:rPr>
          <w:sz w:val="20"/>
          <w:szCs w:val="20"/>
        </w:rPr>
        <w:t xml:space="preserve">For the fiscal year ended </w:t>
      </w:r>
      <w:r>
        <w:rPr>
          <w:rStyle w:val="Strong"/>
          <w:sz w:val="20"/>
          <w:szCs w:val="20"/>
        </w:rPr>
        <w:t>June 30, 2016</w:t>
      </w:r>
      <w:r>
        <w:t> </w:t>
      </w:r>
    </w:p>
    <w:p w14:paraId="0090DFB4" w14:textId="67F3263D" w:rsidR="00236301" w:rsidRDefault="00FE5EA6">
      <w:pPr>
        <w:pStyle w:val="NormalWeb"/>
        <w:jc w:val="center"/>
        <w:divId w:val="1459840797"/>
      </w:pPr>
      <w:r>
        <w:rPr>
          <w:rFonts w:ascii="Wingdings" w:hAnsi="Wingdings"/>
          <w:b/>
          <w:bCs/>
          <w:sz w:val="20"/>
          <w:szCs w:val="20"/>
        </w:rPr>
        <w:t></w:t>
      </w:r>
      <w:r w:rsidR="00265296">
        <w:rPr>
          <w:sz w:val="20"/>
          <w:szCs w:val="20"/>
        </w:rPr>
        <w:t xml:space="preserve">   </w:t>
      </w:r>
      <w:r w:rsidR="00265296">
        <w:rPr>
          <w:rStyle w:val="Strong"/>
          <w:sz w:val="20"/>
          <w:szCs w:val="20"/>
        </w:rPr>
        <w:t xml:space="preserve">TRANSITION REPORT UNDER SECTION 13 OR 15(d) OF THE SECURITIES EXCHANGE ACT OF 1934 </w:t>
      </w:r>
      <w:r w:rsidR="00265296">
        <w:t> </w:t>
      </w:r>
    </w:p>
    <w:p w14:paraId="50E2B662" w14:textId="77777777" w:rsidR="00236301" w:rsidRDefault="00265296">
      <w:pPr>
        <w:pStyle w:val="NormalWeb"/>
        <w:jc w:val="center"/>
        <w:divId w:val="870151306"/>
      </w:pPr>
      <w:r>
        <w:rPr>
          <w:sz w:val="20"/>
          <w:szCs w:val="20"/>
        </w:rPr>
        <w:t>For the transition period from ______ to _______</w:t>
      </w:r>
      <w:r>
        <w:t> </w:t>
      </w:r>
    </w:p>
    <w:p w14:paraId="247BBE12" w14:textId="77777777" w:rsidR="00236301" w:rsidRDefault="00265296">
      <w:pPr>
        <w:pStyle w:val="NormalWeb"/>
        <w:jc w:val="center"/>
        <w:divId w:val="1459840797"/>
      </w:pPr>
      <w:r>
        <w:rPr>
          <w:sz w:val="20"/>
          <w:szCs w:val="20"/>
        </w:rPr>
        <w:t xml:space="preserve">Commission File Number: </w:t>
      </w:r>
      <w:r>
        <w:rPr>
          <w:rStyle w:val="Strong"/>
          <w:sz w:val="20"/>
          <w:szCs w:val="20"/>
        </w:rPr>
        <w:t>0-9951</w:t>
      </w:r>
      <w:r>
        <w:t> </w:t>
      </w:r>
    </w:p>
    <w:p w14:paraId="3A379022" w14:textId="77777777" w:rsidR="00236301" w:rsidRDefault="00265296">
      <w:pPr>
        <w:pStyle w:val="NormalWeb"/>
        <w:jc w:val="center"/>
        <w:divId w:val="1459840797"/>
      </w:pPr>
      <w:r>
        <w:rPr>
          <w:rStyle w:val="Strong"/>
          <w:sz w:val="32"/>
          <w:szCs w:val="32"/>
        </w:rPr>
        <w:t>ADVANCED OXYGEN TECHNOLOGIES, INC</w:t>
      </w:r>
      <w:proofErr w:type="gramStart"/>
      <w:r>
        <w:rPr>
          <w:rStyle w:val="Strong"/>
          <w:sz w:val="32"/>
          <w:szCs w:val="32"/>
        </w:rPr>
        <w:t>.</w:t>
      </w:r>
      <w:proofErr w:type="gramEnd"/>
      <w:r>
        <w:br/>
      </w:r>
      <w:r>
        <w:rPr>
          <w:sz w:val="20"/>
          <w:szCs w:val="20"/>
        </w:rPr>
        <w:t>(Exact name of Registrant as specified in its charter)</w:t>
      </w:r>
    </w:p>
    <w:tbl>
      <w:tblPr>
        <w:tblW w:w="3000" w:type="pct"/>
        <w:jc w:val="center"/>
        <w:tblCellSpacing w:w="0" w:type="dxa"/>
        <w:tblCellMar>
          <w:left w:w="0" w:type="dxa"/>
          <w:right w:w="0" w:type="dxa"/>
        </w:tblCellMar>
        <w:tblLook w:val="04A0" w:firstRow="1" w:lastRow="0" w:firstColumn="1" w:lastColumn="0" w:noHBand="0" w:noVBand="1"/>
      </w:tblPr>
      <w:tblGrid>
        <w:gridCol w:w="3888"/>
        <w:gridCol w:w="3888"/>
      </w:tblGrid>
      <w:tr w:rsidR="00236301" w14:paraId="36F7A9D4" w14:textId="77777777">
        <w:trPr>
          <w:divId w:val="1459840797"/>
          <w:tblCellSpacing w:w="0" w:type="dxa"/>
          <w:jc w:val="center"/>
        </w:trPr>
        <w:tc>
          <w:tcPr>
            <w:tcW w:w="2500" w:type="pct"/>
            <w:hideMark/>
          </w:tcPr>
          <w:p w14:paraId="00A128CB" w14:textId="77777777" w:rsidR="00236301" w:rsidRDefault="00265296">
            <w:pPr>
              <w:pStyle w:val="NormalWeb"/>
              <w:jc w:val="center"/>
            </w:pPr>
            <w:r>
              <w:t> </w:t>
            </w:r>
            <w:r>
              <w:rPr>
                <w:rStyle w:val="Strong"/>
                <w:sz w:val="20"/>
                <w:szCs w:val="20"/>
              </w:rPr>
              <w:t>Delaware</w:t>
            </w:r>
          </w:p>
          <w:p w14:paraId="41A6AF50" w14:textId="77777777" w:rsidR="00236301" w:rsidRDefault="00265296">
            <w:pPr>
              <w:pStyle w:val="NormalWeb"/>
              <w:jc w:val="center"/>
            </w:pPr>
            <w:r>
              <w:rPr>
                <w:sz w:val="18"/>
                <w:szCs w:val="18"/>
              </w:rPr>
              <w:t>(State or other jurisdiction of incorporation or organization)</w:t>
            </w:r>
          </w:p>
        </w:tc>
        <w:tc>
          <w:tcPr>
            <w:tcW w:w="2500" w:type="pct"/>
            <w:hideMark/>
          </w:tcPr>
          <w:p w14:paraId="32A0796A" w14:textId="77777777" w:rsidR="00236301" w:rsidRDefault="00265296">
            <w:pPr>
              <w:pStyle w:val="NormalWeb"/>
              <w:jc w:val="center"/>
            </w:pPr>
            <w:r>
              <w:t> </w:t>
            </w:r>
            <w:r>
              <w:rPr>
                <w:rStyle w:val="Strong"/>
                <w:sz w:val="20"/>
                <w:szCs w:val="20"/>
              </w:rPr>
              <w:t>91-1143622</w:t>
            </w:r>
          </w:p>
          <w:p w14:paraId="515EA548" w14:textId="77777777" w:rsidR="00236301" w:rsidRDefault="00265296">
            <w:pPr>
              <w:pStyle w:val="NormalWeb"/>
              <w:jc w:val="center"/>
            </w:pPr>
            <w:r>
              <w:rPr>
                <w:sz w:val="18"/>
                <w:szCs w:val="18"/>
              </w:rPr>
              <w:t>(I.R.S. Employer Identification No.)</w:t>
            </w:r>
          </w:p>
        </w:tc>
      </w:tr>
    </w:tbl>
    <w:p w14:paraId="563AE85B" w14:textId="77777777" w:rsidR="00236301" w:rsidRDefault="00265296">
      <w:pPr>
        <w:pStyle w:val="NormalWeb"/>
        <w:jc w:val="center"/>
        <w:divId w:val="1459840797"/>
      </w:pPr>
      <w:r>
        <w:rPr>
          <w:rStyle w:val="Strong"/>
          <w:sz w:val="20"/>
          <w:szCs w:val="20"/>
        </w:rPr>
        <w:t xml:space="preserve">C/O Crossfield, Inc., </w:t>
      </w:r>
      <w:r>
        <w:br/>
      </w:r>
      <w:r>
        <w:rPr>
          <w:rStyle w:val="Strong"/>
          <w:sz w:val="20"/>
          <w:szCs w:val="20"/>
        </w:rPr>
        <w:t>653 VT Route 12A, PO Box 189</w:t>
      </w:r>
      <w:r>
        <w:br/>
      </w:r>
      <w:r>
        <w:rPr>
          <w:rStyle w:val="Strong"/>
          <w:sz w:val="20"/>
          <w:szCs w:val="20"/>
        </w:rPr>
        <w:t xml:space="preserve">Randolph, VT 05060 </w:t>
      </w:r>
      <w:r>
        <w:br/>
      </w:r>
      <w:r>
        <w:rPr>
          <w:rStyle w:val="Strong"/>
          <w:sz w:val="20"/>
          <w:szCs w:val="20"/>
        </w:rPr>
        <w:t>(212) 727-7085</w:t>
      </w:r>
    </w:p>
    <w:p w14:paraId="2CF0C9B2" w14:textId="77777777" w:rsidR="00236301" w:rsidRDefault="00265296">
      <w:pPr>
        <w:pStyle w:val="NormalWeb"/>
        <w:jc w:val="center"/>
        <w:divId w:val="1459840797"/>
      </w:pPr>
      <w:r>
        <w:rPr>
          <w:sz w:val="18"/>
          <w:szCs w:val="18"/>
        </w:rPr>
        <w:lastRenderedPageBreak/>
        <w:t>(Address and telephone number of principal executive offices)</w:t>
      </w:r>
      <w:r>
        <w:t> </w:t>
      </w:r>
    </w:p>
    <w:p w14:paraId="2C7674F4" w14:textId="760ECE8B" w:rsidR="00236301" w:rsidRDefault="00265296">
      <w:pPr>
        <w:pStyle w:val="NormalWeb"/>
        <w:jc w:val="center"/>
        <w:divId w:val="1459840797"/>
      </w:pPr>
      <w:r>
        <w:rPr>
          <w:sz w:val="20"/>
          <w:szCs w:val="20"/>
        </w:rPr>
        <w:t xml:space="preserve">Securities registered pursuant to Section 12(b) of the Act: </w:t>
      </w:r>
      <w:r w:rsidR="00FE5EA6">
        <w:rPr>
          <w:rFonts w:ascii="Wingdings" w:hAnsi="Wingdings"/>
          <w:b/>
          <w:bCs/>
          <w:sz w:val="20"/>
          <w:szCs w:val="20"/>
        </w:rPr>
        <w:t></w:t>
      </w:r>
    </w:p>
    <w:p w14:paraId="57716C76" w14:textId="77777777" w:rsidR="00236301" w:rsidRDefault="00265296">
      <w:pPr>
        <w:pStyle w:val="NormalWeb"/>
        <w:jc w:val="center"/>
        <w:divId w:val="1459840797"/>
      </w:pPr>
      <w:r>
        <w:rPr>
          <w:sz w:val="20"/>
          <w:szCs w:val="20"/>
        </w:rPr>
        <w:t>Securities registered under Section 12(g) of the Exchange Act: Common Stock, par value $.01per share</w:t>
      </w:r>
    </w:p>
    <w:p w14:paraId="355AD112" w14:textId="77777777" w:rsidR="00236301" w:rsidRDefault="00265296">
      <w:pPr>
        <w:pStyle w:val="NormalWeb"/>
        <w:divId w:val="1683817590"/>
      </w:pPr>
      <w:r>
        <w:t> </w:t>
      </w:r>
    </w:p>
    <w:tbl>
      <w:tblPr>
        <w:tblW w:w="4500" w:type="pct"/>
        <w:tblCellSpacing w:w="0" w:type="dxa"/>
        <w:tblCellMar>
          <w:left w:w="0" w:type="dxa"/>
          <w:right w:w="0" w:type="dxa"/>
        </w:tblCellMar>
        <w:tblLook w:val="04A0" w:firstRow="1" w:lastRow="0" w:firstColumn="1" w:lastColumn="0" w:noHBand="0" w:noVBand="1"/>
      </w:tblPr>
      <w:tblGrid>
        <w:gridCol w:w="4868"/>
        <w:gridCol w:w="519"/>
        <w:gridCol w:w="5758"/>
        <w:gridCol w:w="519"/>
      </w:tblGrid>
      <w:tr w:rsidR="00236301" w14:paraId="02F24E4F" w14:textId="77777777">
        <w:trPr>
          <w:divId w:val="1459840797"/>
          <w:tblCellSpacing w:w="0" w:type="dxa"/>
        </w:trPr>
        <w:tc>
          <w:tcPr>
            <w:tcW w:w="0" w:type="auto"/>
            <w:gridSpan w:val="4"/>
            <w:hideMark/>
          </w:tcPr>
          <w:p w14:paraId="78137015" w14:textId="0DC67980" w:rsidR="00236301" w:rsidRDefault="00265296">
            <w:pPr>
              <w:pStyle w:val="NormalWeb"/>
            </w:pPr>
            <w:r>
              <w:rPr>
                <w:sz w:val="20"/>
                <w:szCs w:val="20"/>
              </w:rPr>
              <w:t xml:space="preserve">Indicate by check mark if the registrant is a well-known seasoned issuer, as defined in Rule 405 of the Securities Act. </w:t>
            </w:r>
            <w:r w:rsidR="00572AB3">
              <w:rPr>
                <w:sz w:val="20"/>
                <w:szCs w:val="20"/>
              </w:rPr>
              <w:t xml:space="preserve">Yes </w:t>
            </w:r>
            <w:r w:rsidR="00572AB3">
              <w:rPr>
                <w:rFonts w:ascii="Wingdings" w:hAnsi="Wingdings"/>
                <w:b/>
                <w:bCs/>
                <w:sz w:val="20"/>
                <w:szCs w:val="20"/>
              </w:rPr>
              <w:t></w:t>
            </w:r>
            <w:r w:rsidR="00572AB3">
              <w:rPr>
                <w:sz w:val="20"/>
                <w:szCs w:val="20"/>
              </w:rPr>
              <w:t>  No </w:t>
            </w:r>
            <w:r w:rsidR="00572AB3">
              <w:rPr>
                <w:rFonts w:ascii="Wingdings" w:hAnsi="Wingdings"/>
                <w:b/>
                <w:bCs/>
                <w:sz w:val="20"/>
                <w:szCs w:val="20"/>
              </w:rPr>
              <w:t></w:t>
            </w:r>
          </w:p>
          <w:p w14:paraId="1CBFDFF3" w14:textId="77777777" w:rsidR="00236301" w:rsidRDefault="00265296">
            <w:pPr>
              <w:pStyle w:val="NormalWeb"/>
            </w:pPr>
            <w:r>
              <w:rPr>
                <w:sz w:val="20"/>
                <w:szCs w:val="20"/>
              </w:rPr>
              <w:t xml:space="preserve">Indicate by check mark if the registrant is not required to file reports pursuant to section 13 or Section 15(d) of the Act. Yes </w:t>
            </w:r>
            <w:r>
              <w:rPr>
                <w:rFonts w:ascii="Wingdings" w:hAnsi="Wingdings"/>
                <w:b/>
                <w:bCs/>
                <w:sz w:val="20"/>
                <w:szCs w:val="20"/>
              </w:rPr>
              <w:t></w:t>
            </w:r>
            <w:r>
              <w:rPr>
                <w:sz w:val="20"/>
                <w:szCs w:val="20"/>
              </w:rPr>
              <w:t>  No </w:t>
            </w:r>
            <w:r>
              <w:rPr>
                <w:rFonts w:ascii="Wingdings" w:hAnsi="Wingdings"/>
                <w:b/>
                <w:bCs/>
                <w:sz w:val="20"/>
                <w:szCs w:val="20"/>
              </w:rPr>
              <w:t></w:t>
            </w:r>
          </w:p>
          <w:p w14:paraId="07FF2CBF" w14:textId="77777777" w:rsidR="00236301" w:rsidRDefault="00265296">
            <w:pPr>
              <w:pStyle w:val="NormalWeb"/>
            </w:pPr>
            <w:r>
              <w:rPr>
                <w:sz w:val="20"/>
                <w:szCs w:val="20"/>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hAnsi="Wingdings"/>
                <w:b/>
                <w:bCs/>
                <w:sz w:val="20"/>
                <w:szCs w:val="20"/>
              </w:rPr>
              <w:t></w:t>
            </w:r>
            <w:r>
              <w:rPr>
                <w:sz w:val="20"/>
                <w:szCs w:val="20"/>
              </w:rPr>
              <w:t>  No </w:t>
            </w:r>
            <w:r>
              <w:rPr>
                <w:rFonts w:ascii="Wingdings" w:hAnsi="Wingdings"/>
                <w:b/>
                <w:bCs/>
                <w:sz w:val="20"/>
                <w:szCs w:val="20"/>
              </w:rPr>
              <w:t></w:t>
            </w:r>
          </w:p>
          <w:p w14:paraId="63644917" w14:textId="77777777" w:rsidR="00236301" w:rsidRDefault="00265296">
            <w:pPr>
              <w:pStyle w:val="NormalWeb"/>
            </w:pPr>
            <w:r>
              <w:rPr>
                <w:sz w:val="20"/>
                <w:szCs w:val="20"/>
              </w:rPr>
              <w:t xml:space="preserve">Indicate by check mark whether the registrant has submitted electronically and posted on its corporate Web site, if any, every Interactive Data File required to be submitted and posted pursuant to Rule 405 of Regulation S-T (§ 229.405 of this chapter) during the preceding 12 months (or for such shorter period that the registrant was required to submit and post such files). Yes </w:t>
            </w:r>
            <w:r>
              <w:rPr>
                <w:rFonts w:ascii="Wingdings" w:hAnsi="Wingdings"/>
                <w:b/>
                <w:bCs/>
                <w:sz w:val="20"/>
                <w:szCs w:val="20"/>
              </w:rPr>
              <w:t></w:t>
            </w:r>
            <w:r>
              <w:rPr>
                <w:sz w:val="20"/>
                <w:szCs w:val="20"/>
              </w:rPr>
              <w:t>  No </w:t>
            </w:r>
            <w:r>
              <w:rPr>
                <w:rFonts w:ascii="Wingdings" w:hAnsi="Wingdings"/>
                <w:b/>
                <w:bCs/>
                <w:sz w:val="20"/>
                <w:szCs w:val="20"/>
              </w:rPr>
              <w:t></w:t>
            </w:r>
          </w:p>
          <w:p w14:paraId="1954EFEB" w14:textId="77777777" w:rsidR="00236301" w:rsidRDefault="00265296">
            <w:pPr>
              <w:pStyle w:val="NormalWeb"/>
            </w:pPr>
            <w:r>
              <w:rPr>
                <w:sz w:val="20"/>
                <w:szCs w:val="20"/>
              </w:rPr>
              <w:t>Indicate by check mark if disclosure of delinquent filers in response to Item 405 of Regulation S-</w:t>
            </w:r>
            <w:proofErr w:type="gramStart"/>
            <w:r>
              <w:rPr>
                <w:sz w:val="20"/>
                <w:szCs w:val="20"/>
              </w:rPr>
              <w:t>K(</w:t>
            </w:r>
            <w:proofErr w:type="gramEnd"/>
            <w:r>
              <w:rPr>
                <w:sz w:val="20"/>
                <w:szCs w:val="20"/>
              </w:rPr>
              <w:t xml:space="preserve">§ 229.405 of this chapter) is not contained herein, and will not be contained, to the best of registrant's knowledge, in definitive proxy or information statements incorporated by reference in Part III of this Form 10-K or any amendment to this Form 10-K. Yes </w:t>
            </w:r>
            <w:r>
              <w:rPr>
                <w:rFonts w:ascii="Wingdings" w:hAnsi="Wingdings"/>
                <w:b/>
                <w:bCs/>
                <w:sz w:val="20"/>
                <w:szCs w:val="20"/>
              </w:rPr>
              <w:t></w:t>
            </w:r>
            <w:r>
              <w:rPr>
                <w:sz w:val="20"/>
                <w:szCs w:val="20"/>
              </w:rPr>
              <w:t>  No </w:t>
            </w:r>
            <w:r>
              <w:rPr>
                <w:rFonts w:ascii="Wingdings" w:hAnsi="Wingdings"/>
                <w:b/>
                <w:bCs/>
                <w:sz w:val="20"/>
                <w:szCs w:val="20"/>
              </w:rPr>
              <w:t></w:t>
            </w:r>
          </w:p>
          <w:p w14:paraId="6A84C7CF" w14:textId="77777777" w:rsidR="00236301" w:rsidRDefault="00265296">
            <w:pPr>
              <w:pStyle w:val="NormalWeb"/>
            </w:pPr>
            <w:r>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company" in Rule 12b-2 of the Exchange Act.</w:t>
            </w:r>
          </w:p>
        </w:tc>
      </w:tr>
      <w:tr w:rsidR="00236301" w14:paraId="2B02935C" w14:textId="77777777">
        <w:trPr>
          <w:divId w:val="1459840797"/>
          <w:tblCellSpacing w:w="0" w:type="dxa"/>
        </w:trPr>
        <w:tc>
          <w:tcPr>
            <w:tcW w:w="0" w:type="auto"/>
            <w:vAlign w:val="center"/>
            <w:hideMark/>
          </w:tcPr>
          <w:p w14:paraId="24B2D4B7" w14:textId="77777777" w:rsidR="00236301" w:rsidRDefault="00265296">
            <w:pPr>
              <w:pStyle w:val="NormalWeb"/>
            </w:pPr>
            <w:r>
              <w:rPr>
                <w:sz w:val="20"/>
                <w:szCs w:val="20"/>
              </w:rPr>
              <w:t>Large Accelerated Filer</w:t>
            </w:r>
          </w:p>
        </w:tc>
        <w:tc>
          <w:tcPr>
            <w:tcW w:w="0" w:type="auto"/>
            <w:vAlign w:val="center"/>
            <w:hideMark/>
          </w:tcPr>
          <w:p w14:paraId="7B9723CE" w14:textId="122FE0CB" w:rsidR="00236301" w:rsidRDefault="00572AB3">
            <w:pPr>
              <w:pStyle w:val="NormalWeb"/>
            </w:pPr>
            <w:r>
              <w:rPr>
                <w:rFonts w:ascii="Wingdings" w:hAnsi="Wingdings"/>
                <w:b/>
                <w:bCs/>
                <w:sz w:val="20"/>
                <w:szCs w:val="20"/>
              </w:rPr>
              <w:t></w:t>
            </w:r>
          </w:p>
        </w:tc>
        <w:tc>
          <w:tcPr>
            <w:tcW w:w="0" w:type="auto"/>
            <w:vAlign w:val="center"/>
            <w:hideMark/>
          </w:tcPr>
          <w:p w14:paraId="704596EF" w14:textId="77777777" w:rsidR="00236301" w:rsidRDefault="00265296">
            <w:pPr>
              <w:pStyle w:val="NormalWeb"/>
            </w:pPr>
            <w:r>
              <w:rPr>
                <w:sz w:val="20"/>
                <w:szCs w:val="20"/>
              </w:rPr>
              <w:t>Accelerated Filer</w:t>
            </w:r>
          </w:p>
        </w:tc>
        <w:tc>
          <w:tcPr>
            <w:tcW w:w="0" w:type="auto"/>
            <w:vAlign w:val="center"/>
            <w:hideMark/>
          </w:tcPr>
          <w:p w14:paraId="38BC4DD4" w14:textId="51CF958D" w:rsidR="00236301" w:rsidRDefault="00572AB3">
            <w:pPr>
              <w:pStyle w:val="NormalWeb"/>
            </w:pPr>
            <w:r>
              <w:rPr>
                <w:rFonts w:ascii="Wingdings" w:hAnsi="Wingdings"/>
                <w:b/>
                <w:bCs/>
                <w:sz w:val="20"/>
                <w:szCs w:val="20"/>
              </w:rPr>
              <w:t></w:t>
            </w:r>
          </w:p>
        </w:tc>
      </w:tr>
      <w:tr w:rsidR="00236301" w14:paraId="7029B05D" w14:textId="77777777">
        <w:trPr>
          <w:divId w:val="1459840797"/>
          <w:tblCellSpacing w:w="0" w:type="dxa"/>
        </w:trPr>
        <w:tc>
          <w:tcPr>
            <w:tcW w:w="0" w:type="auto"/>
            <w:vAlign w:val="center"/>
            <w:hideMark/>
          </w:tcPr>
          <w:p w14:paraId="1CDC05FE" w14:textId="77777777" w:rsidR="00236301" w:rsidRDefault="00265296">
            <w:pPr>
              <w:pStyle w:val="NormalWeb"/>
            </w:pPr>
            <w:r>
              <w:rPr>
                <w:sz w:val="20"/>
                <w:szCs w:val="20"/>
              </w:rPr>
              <w:t>Non Accelerated Filer</w:t>
            </w:r>
          </w:p>
        </w:tc>
        <w:tc>
          <w:tcPr>
            <w:tcW w:w="0" w:type="auto"/>
            <w:vAlign w:val="center"/>
            <w:hideMark/>
          </w:tcPr>
          <w:p w14:paraId="3FDEA562" w14:textId="23A918D8" w:rsidR="00236301" w:rsidRDefault="00572AB3">
            <w:pPr>
              <w:pStyle w:val="NormalWeb"/>
            </w:pPr>
            <w:r>
              <w:rPr>
                <w:rFonts w:ascii="Wingdings" w:hAnsi="Wingdings"/>
                <w:b/>
                <w:bCs/>
                <w:sz w:val="20"/>
                <w:szCs w:val="20"/>
              </w:rPr>
              <w:t></w:t>
            </w:r>
          </w:p>
        </w:tc>
        <w:tc>
          <w:tcPr>
            <w:tcW w:w="0" w:type="auto"/>
            <w:vAlign w:val="center"/>
            <w:hideMark/>
          </w:tcPr>
          <w:p w14:paraId="5B7B7EB6" w14:textId="77777777" w:rsidR="00236301" w:rsidRDefault="00265296">
            <w:pPr>
              <w:pStyle w:val="NormalWeb"/>
            </w:pPr>
            <w:r>
              <w:rPr>
                <w:sz w:val="20"/>
                <w:szCs w:val="20"/>
              </w:rPr>
              <w:t>Smaller Reporting Company</w:t>
            </w:r>
          </w:p>
        </w:tc>
        <w:tc>
          <w:tcPr>
            <w:tcW w:w="0" w:type="auto"/>
            <w:vAlign w:val="center"/>
            <w:hideMark/>
          </w:tcPr>
          <w:p w14:paraId="2BB8EB5A" w14:textId="292AC90C" w:rsidR="00236301" w:rsidRDefault="00572AB3" w:rsidP="00572AB3">
            <w:pPr>
              <w:pStyle w:val="NormalWeb"/>
            </w:pPr>
            <w:r>
              <w:rPr>
                <w:rFonts w:ascii="Wingdings" w:hAnsi="Wingdings"/>
                <w:b/>
                <w:bCs/>
                <w:sz w:val="20"/>
                <w:szCs w:val="20"/>
              </w:rPr>
              <w:t></w:t>
            </w:r>
          </w:p>
        </w:tc>
      </w:tr>
      <w:tr w:rsidR="00236301" w14:paraId="599B1F7C" w14:textId="77777777">
        <w:trPr>
          <w:divId w:val="1459840797"/>
          <w:tblCellSpacing w:w="0" w:type="dxa"/>
        </w:trPr>
        <w:tc>
          <w:tcPr>
            <w:tcW w:w="0" w:type="auto"/>
            <w:gridSpan w:val="4"/>
            <w:vAlign w:val="center"/>
            <w:hideMark/>
          </w:tcPr>
          <w:p w14:paraId="0A5FC35E" w14:textId="77777777" w:rsidR="00236301" w:rsidRDefault="00265296">
            <w:pPr>
              <w:pStyle w:val="NormalWeb"/>
            </w:pPr>
            <w:r>
              <w:t> </w:t>
            </w:r>
          </w:p>
          <w:p w14:paraId="16D6B010" w14:textId="77777777" w:rsidR="00236301" w:rsidRDefault="00265296">
            <w:pPr>
              <w:pStyle w:val="NormalWeb"/>
            </w:pPr>
            <w:r>
              <w:rPr>
                <w:sz w:val="20"/>
                <w:szCs w:val="20"/>
              </w:rPr>
              <w:t xml:space="preserve">Indicate by check mark whether the registrant is a shell company (as defined in Rule 12b-2 of the Exchange Act. Check one: Yes </w:t>
            </w:r>
            <w:r>
              <w:rPr>
                <w:rFonts w:ascii="Wingdings" w:hAnsi="Wingdings"/>
                <w:b/>
                <w:bCs/>
                <w:sz w:val="20"/>
                <w:szCs w:val="20"/>
              </w:rPr>
              <w:t></w:t>
            </w:r>
            <w:r>
              <w:rPr>
                <w:sz w:val="20"/>
                <w:szCs w:val="20"/>
              </w:rPr>
              <w:t>  No </w:t>
            </w:r>
            <w:r>
              <w:rPr>
                <w:rFonts w:ascii="Wingdings" w:hAnsi="Wingdings"/>
                <w:b/>
                <w:bCs/>
                <w:sz w:val="20"/>
                <w:szCs w:val="20"/>
              </w:rPr>
              <w:t></w:t>
            </w:r>
          </w:p>
          <w:p w14:paraId="452D1128" w14:textId="4CA35D50" w:rsidR="00236301" w:rsidRDefault="00265296">
            <w:pPr>
              <w:pStyle w:val="NormalWeb"/>
            </w:pPr>
            <w:r>
              <w:rPr>
                <w:sz w:val="20"/>
                <w:szCs w:val="20"/>
              </w:rPr>
              <w:t>For the year ended June 30, 2016, Issuer's revenues were $36,22</w:t>
            </w:r>
            <w:r w:rsidR="005B114D">
              <w:rPr>
                <w:sz w:val="20"/>
                <w:szCs w:val="20"/>
              </w:rPr>
              <w:t>7</w:t>
            </w:r>
          </w:p>
          <w:p w14:paraId="6CF7FFF9" w14:textId="5C9AAB55" w:rsidR="00236301" w:rsidRDefault="00265296">
            <w:pPr>
              <w:pStyle w:val="NormalWeb"/>
            </w:pPr>
            <w:r>
              <w:rPr>
                <w:sz w:val="20"/>
                <w:szCs w:val="20"/>
              </w:rPr>
              <w:t xml:space="preserve">The aggregate market value of Common Stock at </w:t>
            </w:r>
            <w:r w:rsidR="007A440A">
              <w:rPr>
                <w:sz w:val="20"/>
                <w:szCs w:val="20"/>
              </w:rPr>
              <w:t>October 1</w:t>
            </w:r>
            <w:r w:rsidR="00C56973">
              <w:rPr>
                <w:sz w:val="20"/>
                <w:szCs w:val="20"/>
              </w:rPr>
              <w:t>2</w:t>
            </w:r>
            <w:r>
              <w:rPr>
                <w:sz w:val="20"/>
                <w:szCs w:val="20"/>
              </w:rPr>
              <w:t>, 2016 held by non-affiliates approximated $</w:t>
            </w:r>
            <w:r w:rsidR="003D433B">
              <w:rPr>
                <w:sz w:val="20"/>
                <w:szCs w:val="20"/>
              </w:rPr>
              <w:t>76,188</w:t>
            </w:r>
            <w:r>
              <w:rPr>
                <w:sz w:val="20"/>
                <w:szCs w:val="20"/>
              </w:rPr>
              <w:t xml:space="preserve">, based upon the average bid and asked prices for a share of Common Stock on that date. For purposes of this calculation, persons owning 10% or more of the shares of Common </w:t>
            </w:r>
            <w:r>
              <w:rPr>
                <w:sz w:val="20"/>
                <w:szCs w:val="20"/>
              </w:rPr>
              <w:lastRenderedPageBreak/>
              <w:t>Stock are assumed to be affiliates, although such persons are not necessarily affiliates for any other purpose. As of</w:t>
            </w:r>
            <w:r w:rsidR="00572AB3">
              <w:rPr>
                <w:sz w:val="20"/>
                <w:szCs w:val="20"/>
              </w:rPr>
              <w:t xml:space="preserve"> October 1</w:t>
            </w:r>
            <w:r w:rsidR="00C56973">
              <w:rPr>
                <w:sz w:val="20"/>
                <w:szCs w:val="20"/>
              </w:rPr>
              <w:t>2</w:t>
            </w:r>
            <w:r w:rsidR="00572AB3">
              <w:rPr>
                <w:sz w:val="20"/>
                <w:szCs w:val="20"/>
              </w:rPr>
              <w:t>, 2016</w:t>
            </w:r>
            <w:r>
              <w:rPr>
                <w:sz w:val="20"/>
                <w:szCs w:val="20"/>
              </w:rPr>
              <w:t>, there were 2,292,945</w:t>
            </w:r>
            <w:r>
              <w:t xml:space="preserve"> </w:t>
            </w:r>
            <w:r>
              <w:rPr>
                <w:sz w:val="20"/>
                <w:szCs w:val="20"/>
              </w:rPr>
              <w:t>issued shares and outstanding shares of the registrant's Common Stock, $</w:t>
            </w:r>
            <w:r w:rsidR="000450C9">
              <w:rPr>
                <w:sz w:val="20"/>
                <w:szCs w:val="20"/>
              </w:rPr>
              <w:t>0</w:t>
            </w:r>
            <w:r>
              <w:rPr>
                <w:sz w:val="20"/>
                <w:szCs w:val="20"/>
              </w:rPr>
              <w:t>.01 par value.</w:t>
            </w:r>
          </w:p>
          <w:p w14:paraId="0123E880" w14:textId="77777777" w:rsidR="00236301" w:rsidRDefault="00265296">
            <w:pPr>
              <w:pStyle w:val="NormalWeb"/>
            </w:pPr>
            <w:r>
              <w:rPr>
                <w:sz w:val="20"/>
                <w:szCs w:val="20"/>
              </w:rPr>
              <w:t>Documents incorporated by reference: None.</w:t>
            </w:r>
          </w:p>
        </w:tc>
      </w:tr>
    </w:tbl>
    <w:p w14:paraId="2F13BF9A" w14:textId="77777777" w:rsidR="00236301" w:rsidRDefault="00084F74">
      <w:pPr>
        <w:jc w:val="center"/>
        <w:divId w:val="156924008"/>
        <w:rPr>
          <w:rFonts w:eastAsia="Times New Roman"/>
        </w:rPr>
      </w:pPr>
      <w:r>
        <w:rPr>
          <w:rFonts w:eastAsia="Times New Roman"/>
        </w:rPr>
        <w:lastRenderedPageBreak/>
        <w:pict w14:anchorId="242349E1">
          <v:rect id="_x0000_i1027" style="width:.05pt;height:.5pt" o:hralign="center" o:hrstd="t" o:hrnoshade="t" o:hr="t" fillcolor="black" stroked="f"/>
        </w:pict>
      </w:r>
    </w:p>
    <w:p w14:paraId="23AA36F0" w14:textId="77777777" w:rsidR="00236301" w:rsidRDefault="00084F74">
      <w:pPr>
        <w:jc w:val="center"/>
        <w:divId w:val="156924008"/>
        <w:rPr>
          <w:rFonts w:eastAsia="Times New Roman"/>
        </w:rPr>
      </w:pPr>
      <w:r>
        <w:rPr>
          <w:rFonts w:eastAsia="Times New Roman"/>
        </w:rPr>
        <w:pict w14:anchorId="78D5F4B5">
          <v:rect id="_x0000_i1028" style="width:.05pt;height:2pt" o:hralign="center" o:hrstd="t" o:hrnoshade="t" o:hr="t" fillcolor="black" stroked="f"/>
        </w:pict>
      </w:r>
    </w:p>
    <w:p w14:paraId="540A4D4F" w14:textId="77777777" w:rsidR="00236301" w:rsidRDefault="00265296">
      <w:pPr>
        <w:pStyle w:val="NormalWeb"/>
        <w:jc w:val="center"/>
        <w:divId w:val="1459840797"/>
      </w:pPr>
      <w:bookmarkStart w:id="1" w:name="toc"/>
      <w:bookmarkEnd w:id="1"/>
      <w:r>
        <w:rPr>
          <w:b/>
          <w:bCs/>
          <w:sz w:val="20"/>
          <w:szCs w:val="20"/>
        </w:rPr>
        <w:t>TABLE OF CONTENTS</w:t>
      </w:r>
    </w:p>
    <w:p w14:paraId="2A44AB6A" w14:textId="77777777" w:rsidR="00236301" w:rsidRDefault="00265296">
      <w:pPr>
        <w:pStyle w:val="NormalWeb"/>
        <w:spacing w:before="0" w:beforeAutospacing="0" w:after="0" w:afterAutospacing="0"/>
        <w:jc w:val="center"/>
        <w:divId w:val="1459840797"/>
      </w:pPr>
      <w:r>
        <w:t> </w:t>
      </w:r>
    </w:p>
    <w:tbl>
      <w:tblPr>
        <w:tblW w:w="5000" w:type="pct"/>
        <w:tblCellSpacing w:w="0" w:type="dxa"/>
        <w:tblCellMar>
          <w:left w:w="0" w:type="dxa"/>
          <w:right w:w="0" w:type="dxa"/>
        </w:tblCellMar>
        <w:tblLook w:val="04A0" w:firstRow="1" w:lastRow="0" w:firstColumn="1" w:lastColumn="0" w:noHBand="0" w:noVBand="1"/>
      </w:tblPr>
      <w:tblGrid>
        <w:gridCol w:w="1036"/>
        <w:gridCol w:w="10368"/>
        <w:gridCol w:w="130"/>
        <w:gridCol w:w="130"/>
        <w:gridCol w:w="1166"/>
        <w:gridCol w:w="130"/>
      </w:tblGrid>
      <w:tr w:rsidR="00236301" w14:paraId="28007A96" w14:textId="77777777">
        <w:trPr>
          <w:divId w:val="1459840797"/>
          <w:trHeight w:val="150"/>
          <w:tblCellSpacing w:w="0" w:type="dxa"/>
        </w:trPr>
        <w:tc>
          <w:tcPr>
            <w:tcW w:w="0" w:type="auto"/>
            <w:vAlign w:val="bottom"/>
            <w:hideMark/>
          </w:tcPr>
          <w:p w14:paraId="2770C193" w14:textId="77777777" w:rsidR="00236301" w:rsidRDefault="00236301"/>
        </w:tc>
        <w:tc>
          <w:tcPr>
            <w:tcW w:w="0" w:type="auto"/>
            <w:vAlign w:val="bottom"/>
            <w:hideMark/>
          </w:tcPr>
          <w:p w14:paraId="2BBEE37E" w14:textId="77777777" w:rsidR="00236301" w:rsidRDefault="00236301">
            <w:pPr>
              <w:spacing w:before="100" w:beforeAutospacing="1" w:after="100" w:afterAutospacing="1"/>
              <w:jc w:val="both"/>
              <w:rPr>
                <w:rFonts w:eastAsia="Times New Roman"/>
                <w:sz w:val="20"/>
                <w:szCs w:val="20"/>
              </w:rPr>
            </w:pPr>
          </w:p>
        </w:tc>
        <w:tc>
          <w:tcPr>
            <w:tcW w:w="0" w:type="auto"/>
            <w:vAlign w:val="bottom"/>
            <w:hideMark/>
          </w:tcPr>
          <w:p w14:paraId="552A305D" w14:textId="77777777" w:rsidR="00236301" w:rsidRDefault="00236301">
            <w:pPr>
              <w:spacing w:before="100" w:beforeAutospacing="1" w:after="100" w:afterAutospacing="1"/>
              <w:jc w:val="both"/>
              <w:rPr>
                <w:rFonts w:eastAsia="Times New Roman"/>
                <w:sz w:val="20"/>
                <w:szCs w:val="20"/>
              </w:rPr>
            </w:pPr>
          </w:p>
        </w:tc>
        <w:tc>
          <w:tcPr>
            <w:tcW w:w="0" w:type="auto"/>
            <w:gridSpan w:val="2"/>
            <w:tcBorders>
              <w:bottom w:val="single" w:sz="6" w:space="0" w:color="000000"/>
            </w:tcBorders>
            <w:vAlign w:val="bottom"/>
            <w:hideMark/>
          </w:tcPr>
          <w:p w14:paraId="4E8E4696" w14:textId="77777777" w:rsidR="00236301" w:rsidRDefault="00265296">
            <w:pPr>
              <w:pStyle w:val="NormalWeb"/>
              <w:spacing w:before="0" w:beforeAutospacing="0" w:after="0" w:afterAutospacing="0"/>
              <w:jc w:val="center"/>
              <w:rPr>
                <w:sz w:val="20"/>
                <w:szCs w:val="20"/>
              </w:rPr>
            </w:pPr>
            <w:r>
              <w:rPr>
                <w:b/>
                <w:bCs/>
                <w:sz w:val="20"/>
                <w:szCs w:val="20"/>
              </w:rPr>
              <w:t>Page</w:t>
            </w:r>
          </w:p>
        </w:tc>
        <w:tc>
          <w:tcPr>
            <w:tcW w:w="0" w:type="auto"/>
            <w:vAlign w:val="bottom"/>
            <w:hideMark/>
          </w:tcPr>
          <w:p w14:paraId="4336CA6C" w14:textId="77777777" w:rsidR="00236301" w:rsidRDefault="00236301">
            <w:pPr>
              <w:rPr>
                <w:sz w:val="20"/>
                <w:szCs w:val="20"/>
              </w:rPr>
            </w:pPr>
          </w:p>
        </w:tc>
      </w:tr>
      <w:tr w:rsidR="00236301" w14:paraId="23C9B6F7" w14:textId="77777777">
        <w:trPr>
          <w:divId w:val="1459840797"/>
          <w:trHeight w:val="150"/>
          <w:tblCellSpacing w:w="0" w:type="dxa"/>
        </w:trPr>
        <w:tc>
          <w:tcPr>
            <w:tcW w:w="0" w:type="auto"/>
            <w:vAlign w:val="bottom"/>
            <w:hideMark/>
          </w:tcPr>
          <w:p w14:paraId="356B8ECE" w14:textId="77777777" w:rsidR="00236301" w:rsidRDefault="00265296">
            <w:pPr>
              <w:pStyle w:val="NormalWeb"/>
              <w:spacing w:before="0" w:beforeAutospacing="0" w:after="0" w:afterAutospacing="0"/>
              <w:jc w:val="both"/>
              <w:rPr>
                <w:sz w:val="20"/>
                <w:szCs w:val="20"/>
              </w:rPr>
            </w:pPr>
            <w:r>
              <w:rPr>
                <w:b/>
                <w:bCs/>
                <w:sz w:val="20"/>
                <w:szCs w:val="20"/>
              </w:rPr>
              <w:t>PART I</w:t>
            </w:r>
          </w:p>
        </w:tc>
        <w:tc>
          <w:tcPr>
            <w:tcW w:w="0" w:type="auto"/>
            <w:vAlign w:val="bottom"/>
            <w:hideMark/>
          </w:tcPr>
          <w:p w14:paraId="7A524528" w14:textId="77777777" w:rsidR="00236301" w:rsidRDefault="00236301">
            <w:pPr>
              <w:rPr>
                <w:sz w:val="20"/>
                <w:szCs w:val="20"/>
              </w:rPr>
            </w:pPr>
          </w:p>
        </w:tc>
        <w:tc>
          <w:tcPr>
            <w:tcW w:w="0" w:type="auto"/>
            <w:vAlign w:val="bottom"/>
            <w:hideMark/>
          </w:tcPr>
          <w:p w14:paraId="413404F2" w14:textId="77777777" w:rsidR="00236301" w:rsidRDefault="00236301">
            <w:pPr>
              <w:spacing w:beforeAutospacing="1" w:afterAutospacing="1"/>
              <w:jc w:val="both"/>
              <w:rPr>
                <w:rFonts w:eastAsia="Times New Roman"/>
                <w:sz w:val="20"/>
                <w:szCs w:val="20"/>
              </w:rPr>
            </w:pPr>
          </w:p>
        </w:tc>
        <w:tc>
          <w:tcPr>
            <w:tcW w:w="0" w:type="auto"/>
            <w:gridSpan w:val="2"/>
            <w:vAlign w:val="bottom"/>
            <w:hideMark/>
          </w:tcPr>
          <w:p w14:paraId="03AE83AC" w14:textId="77777777" w:rsidR="00236301" w:rsidRDefault="00265296">
            <w:pPr>
              <w:pStyle w:val="NormalWeb"/>
              <w:spacing w:before="0" w:beforeAutospacing="0" w:after="0" w:afterAutospacing="0"/>
              <w:jc w:val="right"/>
              <w:rPr>
                <w:sz w:val="20"/>
                <w:szCs w:val="20"/>
              </w:rPr>
            </w:pPr>
            <w:r>
              <w:rPr>
                <w:sz w:val="20"/>
                <w:szCs w:val="20"/>
              </w:rPr>
              <w:t> </w:t>
            </w:r>
          </w:p>
        </w:tc>
        <w:tc>
          <w:tcPr>
            <w:tcW w:w="0" w:type="auto"/>
            <w:vAlign w:val="bottom"/>
            <w:hideMark/>
          </w:tcPr>
          <w:p w14:paraId="58FE0319" w14:textId="77777777" w:rsidR="00236301" w:rsidRDefault="00236301">
            <w:pPr>
              <w:rPr>
                <w:sz w:val="20"/>
                <w:szCs w:val="20"/>
              </w:rPr>
            </w:pPr>
          </w:p>
        </w:tc>
      </w:tr>
      <w:tr w:rsidR="00236301" w14:paraId="30AF84D0" w14:textId="77777777">
        <w:trPr>
          <w:divId w:val="1459840797"/>
          <w:trHeight w:val="150"/>
          <w:tblCellSpacing w:w="0" w:type="dxa"/>
        </w:trPr>
        <w:tc>
          <w:tcPr>
            <w:tcW w:w="0" w:type="auto"/>
            <w:vAlign w:val="bottom"/>
            <w:hideMark/>
          </w:tcPr>
          <w:p w14:paraId="0C7CF641" w14:textId="77777777" w:rsidR="00236301" w:rsidRDefault="00236301">
            <w:pPr>
              <w:spacing w:beforeAutospacing="1" w:afterAutospacing="1"/>
              <w:jc w:val="both"/>
              <w:rPr>
                <w:rFonts w:eastAsia="Times New Roman"/>
                <w:sz w:val="20"/>
                <w:szCs w:val="20"/>
              </w:rPr>
            </w:pPr>
          </w:p>
        </w:tc>
        <w:tc>
          <w:tcPr>
            <w:tcW w:w="0" w:type="auto"/>
            <w:vAlign w:val="bottom"/>
            <w:hideMark/>
          </w:tcPr>
          <w:p w14:paraId="30FFCAE5" w14:textId="77777777" w:rsidR="00236301" w:rsidRDefault="00236301">
            <w:pPr>
              <w:spacing w:beforeAutospacing="1" w:afterAutospacing="1"/>
              <w:jc w:val="both"/>
              <w:rPr>
                <w:rFonts w:eastAsia="Times New Roman"/>
                <w:sz w:val="20"/>
                <w:szCs w:val="20"/>
              </w:rPr>
            </w:pPr>
          </w:p>
        </w:tc>
        <w:tc>
          <w:tcPr>
            <w:tcW w:w="0" w:type="auto"/>
            <w:vAlign w:val="bottom"/>
            <w:hideMark/>
          </w:tcPr>
          <w:p w14:paraId="60177E45" w14:textId="77777777" w:rsidR="00236301" w:rsidRDefault="00236301">
            <w:pPr>
              <w:spacing w:beforeAutospacing="1" w:afterAutospacing="1"/>
              <w:jc w:val="both"/>
              <w:rPr>
                <w:rFonts w:eastAsia="Times New Roman"/>
                <w:sz w:val="20"/>
                <w:szCs w:val="20"/>
              </w:rPr>
            </w:pPr>
          </w:p>
        </w:tc>
        <w:tc>
          <w:tcPr>
            <w:tcW w:w="0" w:type="auto"/>
            <w:gridSpan w:val="2"/>
            <w:vAlign w:val="bottom"/>
            <w:hideMark/>
          </w:tcPr>
          <w:p w14:paraId="0053F70F" w14:textId="77777777" w:rsidR="00236301" w:rsidRDefault="00265296">
            <w:pPr>
              <w:pStyle w:val="NormalWeb"/>
              <w:spacing w:before="0" w:beforeAutospacing="0" w:after="0" w:afterAutospacing="0"/>
              <w:jc w:val="right"/>
              <w:rPr>
                <w:sz w:val="20"/>
                <w:szCs w:val="20"/>
              </w:rPr>
            </w:pPr>
            <w:r>
              <w:rPr>
                <w:sz w:val="20"/>
                <w:szCs w:val="20"/>
              </w:rPr>
              <w:t> </w:t>
            </w:r>
          </w:p>
        </w:tc>
        <w:tc>
          <w:tcPr>
            <w:tcW w:w="0" w:type="auto"/>
            <w:vAlign w:val="bottom"/>
            <w:hideMark/>
          </w:tcPr>
          <w:p w14:paraId="3039B3B2" w14:textId="77777777" w:rsidR="00236301" w:rsidRDefault="00236301">
            <w:pPr>
              <w:rPr>
                <w:sz w:val="20"/>
                <w:szCs w:val="20"/>
              </w:rPr>
            </w:pPr>
          </w:p>
        </w:tc>
      </w:tr>
      <w:tr w:rsidR="00236301" w14:paraId="3AF77191" w14:textId="77777777">
        <w:trPr>
          <w:divId w:val="1459840797"/>
          <w:trHeight w:val="150"/>
          <w:tblCellSpacing w:w="0" w:type="dxa"/>
        </w:trPr>
        <w:tc>
          <w:tcPr>
            <w:tcW w:w="400" w:type="pct"/>
            <w:shd w:val="clear" w:color="auto" w:fill="CCEEFF"/>
            <w:vAlign w:val="bottom"/>
            <w:hideMark/>
          </w:tcPr>
          <w:p w14:paraId="5886FCEC" w14:textId="77777777" w:rsidR="00236301" w:rsidRDefault="00265296">
            <w:pPr>
              <w:pStyle w:val="NormalWeb"/>
              <w:spacing w:before="0" w:beforeAutospacing="0" w:after="0" w:afterAutospacing="0"/>
              <w:jc w:val="both"/>
              <w:rPr>
                <w:sz w:val="20"/>
                <w:szCs w:val="20"/>
              </w:rPr>
            </w:pPr>
            <w:r>
              <w:rPr>
                <w:sz w:val="20"/>
                <w:szCs w:val="20"/>
              </w:rPr>
              <w:t xml:space="preserve">ITEM 1. </w:t>
            </w:r>
          </w:p>
        </w:tc>
        <w:tc>
          <w:tcPr>
            <w:tcW w:w="0" w:type="auto"/>
            <w:shd w:val="clear" w:color="auto" w:fill="CCEEFF"/>
            <w:vAlign w:val="bottom"/>
            <w:hideMark/>
          </w:tcPr>
          <w:p w14:paraId="4DA1D003" w14:textId="77777777" w:rsidR="00236301" w:rsidRDefault="00265296">
            <w:pPr>
              <w:pStyle w:val="NormalWeb"/>
              <w:spacing w:before="0" w:beforeAutospacing="0" w:after="0" w:afterAutospacing="0"/>
              <w:jc w:val="both"/>
              <w:rPr>
                <w:sz w:val="20"/>
                <w:szCs w:val="20"/>
              </w:rPr>
            </w:pPr>
            <w:r>
              <w:rPr>
                <w:sz w:val="20"/>
                <w:szCs w:val="20"/>
              </w:rPr>
              <w:t>Business</w:t>
            </w:r>
          </w:p>
        </w:tc>
        <w:tc>
          <w:tcPr>
            <w:tcW w:w="50" w:type="pct"/>
            <w:shd w:val="clear" w:color="auto" w:fill="CCEEFF"/>
            <w:vAlign w:val="bottom"/>
            <w:hideMark/>
          </w:tcPr>
          <w:p w14:paraId="53B5DA9B" w14:textId="77777777" w:rsidR="00236301" w:rsidRDefault="00236301">
            <w:pPr>
              <w:rPr>
                <w:sz w:val="20"/>
                <w:szCs w:val="20"/>
              </w:rPr>
            </w:pPr>
          </w:p>
        </w:tc>
        <w:tc>
          <w:tcPr>
            <w:tcW w:w="50" w:type="pct"/>
            <w:shd w:val="clear" w:color="auto" w:fill="CCEEFF"/>
            <w:vAlign w:val="bottom"/>
            <w:hideMark/>
          </w:tcPr>
          <w:p w14:paraId="02904C25" w14:textId="77777777" w:rsidR="00236301" w:rsidRDefault="00236301">
            <w:pPr>
              <w:spacing w:beforeAutospacing="1" w:afterAutospacing="1"/>
              <w:jc w:val="both"/>
              <w:rPr>
                <w:rFonts w:eastAsia="Times New Roman"/>
                <w:sz w:val="20"/>
                <w:szCs w:val="20"/>
              </w:rPr>
            </w:pPr>
          </w:p>
        </w:tc>
        <w:tc>
          <w:tcPr>
            <w:tcW w:w="450" w:type="pct"/>
            <w:shd w:val="clear" w:color="auto" w:fill="CCEEFF"/>
            <w:vAlign w:val="bottom"/>
            <w:hideMark/>
          </w:tcPr>
          <w:p w14:paraId="74C5E721" w14:textId="77777777" w:rsidR="00236301" w:rsidRDefault="00265296">
            <w:pPr>
              <w:pStyle w:val="NormalWeb"/>
              <w:spacing w:before="0" w:beforeAutospacing="0" w:after="0" w:afterAutospacing="0"/>
              <w:jc w:val="right"/>
              <w:rPr>
                <w:sz w:val="20"/>
                <w:szCs w:val="20"/>
              </w:rPr>
            </w:pPr>
            <w:r>
              <w:rPr>
                <w:sz w:val="20"/>
                <w:szCs w:val="20"/>
              </w:rPr>
              <w:t>2</w:t>
            </w:r>
          </w:p>
        </w:tc>
        <w:tc>
          <w:tcPr>
            <w:tcW w:w="50" w:type="pct"/>
            <w:shd w:val="clear" w:color="auto" w:fill="CCEEFF"/>
            <w:vAlign w:val="bottom"/>
            <w:hideMark/>
          </w:tcPr>
          <w:p w14:paraId="6740C5F7" w14:textId="77777777" w:rsidR="00236301" w:rsidRDefault="00236301">
            <w:pPr>
              <w:rPr>
                <w:sz w:val="20"/>
                <w:szCs w:val="20"/>
              </w:rPr>
            </w:pPr>
          </w:p>
        </w:tc>
      </w:tr>
      <w:tr w:rsidR="00236301" w14:paraId="70CE524E" w14:textId="77777777">
        <w:trPr>
          <w:divId w:val="1459840797"/>
          <w:trHeight w:val="150"/>
          <w:tblCellSpacing w:w="0" w:type="dxa"/>
        </w:trPr>
        <w:tc>
          <w:tcPr>
            <w:tcW w:w="0" w:type="auto"/>
            <w:shd w:val="clear" w:color="auto" w:fill="FFFFFF"/>
            <w:vAlign w:val="bottom"/>
            <w:hideMark/>
          </w:tcPr>
          <w:p w14:paraId="41CCA38A" w14:textId="77777777" w:rsidR="00236301" w:rsidRDefault="00265296">
            <w:pPr>
              <w:pStyle w:val="NormalWeb"/>
              <w:spacing w:before="0" w:beforeAutospacing="0" w:after="0" w:afterAutospacing="0"/>
              <w:jc w:val="both"/>
              <w:rPr>
                <w:sz w:val="20"/>
                <w:szCs w:val="20"/>
              </w:rPr>
            </w:pPr>
            <w:r>
              <w:rPr>
                <w:sz w:val="20"/>
                <w:szCs w:val="20"/>
              </w:rPr>
              <w:t>ITEM 1A. </w:t>
            </w:r>
          </w:p>
        </w:tc>
        <w:tc>
          <w:tcPr>
            <w:tcW w:w="0" w:type="auto"/>
            <w:shd w:val="clear" w:color="auto" w:fill="FFFFFF"/>
            <w:vAlign w:val="bottom"/>
            <w:hideMark/>
          </w:tcPr>
          <w:p w14:paraId="62AAB322" w14:textId="77777777" w:rsidR="00236301" w:rsidRDefault="00265296">
            <w:pPr>
              <w:pStyle w:val="NormalWeb"/>
              <w:spacing w:before="0" w:beforeAutospacing="0" w:after="0" w:afterAutospacing="0"/>
              <w:jc w:val="both"/>
              <w:rPr>
                <w:sz w:val="20"/>
                <w:szCs w:val="20"/>
              </w:rPr>
            </w:pPr>
            <w:r>
              <w:rPr>
                <w:sz w:val="20"/>
                <w:szCs w:val="20"/>
              </w:rPr>
              <w:t>Risk Factors</w:t>
            </w:r>
          </w:p>
        </w:tc>
        <w:tc>
          <w:tcPr>
            <w:tcW w:w="0" w:type="auto"/>
            <w:shd w:val="clear" w:color="auto" w:fill="FFFFFF"/>
            <w:vAlign w:val="bottom"/>
            <w:hideMark/>
          </w:tcPr>
          <w:p w14:paraId="49A6FC90" w14:textId="77777777" w:rsidR="00236301" w:rsidRDefault="00236301">
            <w:pPr>
              <w:rPr>
                <w:sz w:val="20"/>
                <w:szCs w:val="20"/>
              </w:rPr>
            </w:pPr>
          </w:p>
        </w:tc>
        <w:tc>
          <w:tcPr>
            <w:tcW w:w="0" w:type="auto"/>
            <w:shd w:val="clear" w:color="auto" w:fill="FFFFFF"/>
            <w:vAlign w:val="bottom"/>
            <w:hideMark/>
          </w:tcPr>
          <w:p w14:paraId="2633F8A8"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32D6FE6D" w14:textId="77777777" w:rsidR="00236301" w:rsidRDefault="00265296">
            <w:pPr>
              <w:pStyle w:val="NormalWeb"/>
              <w:spacing w:before="0" w:beforeAutospacing="0" w:after="0" w:afterAutospacing="0"/>
              <w:jc w:val="right"/>
              <w:rPr>
                <w:sz w:val="20"/>
                <w:szCs w:val="20"/>
              </w:rPr>
            </w:pPr>
            <w:r>
              <w:rPr>
                <w:sz w:val="20"/>
                <w:szCs w:val="20"/>
              </w:rPr>
              <w:t>8</w:t>
            </w:r>
          </w:p>
        </w:tc>
        <w:tc>
          <w:tcPr>
            <w:tcW w:w="0" w:type="auto"/>
            <w:shd w:val="clear" w:color="auto" w:fill="FFFFFF"/>
            <w:vAlign w:val="bottom"/>
            <w:hideMark/>
          </w:tcPr>
          <w:p w14:paraId="7CEB7AAE" w14:textId="77777777" w:rsidR="00236301" w:rsidRDefault="00236301">
            <w:pPr>
              <w:rPr>
                <w:sz w:val="20"/>
                <w:szCs w:val="20"/>
              </w:rPr>
            </w:pPr>
          </w:p>
        </w:tc>
      </w:tr>
      <w:tr w:rsidR="00236301" w14:paraId="7EF3389D" w14:textId="77777777">
        <w:trPr>
          <w:divId w:val="1459840797"/>
          <w:trHeight w:val="150"/>
          <w:tblCellSpacing w:w="0" w:type="dxa"/>
        </w:trPr>
        <w:tc>
          <w:tcPr>
            <w:tcW w:w="0" w:type="auto"/>
            <w:shd w:val="clear" w:color="auto" w:fill="CCEEFF"/>
            <w:vAlign w:val="bottom"/>
            <w:hideMark/>
          </w:tcPr>
          <w:p w14:paraId="36386629" w14:textId="77777777" w:rsidR="00236301" w:rsidRDefault="00265296">
            <w:pPr>
              <w:pStyle w:val="NormalWeb"/>
              <w:spacing w:before="0" w:beforeAutospacing="0" w:after="0" w:afterAutospacing="0"/>
              <w:jc w:val="both"/>
              <w:rPr>
                <w:sz w:val="20"/>
                <w:szCs w:val="20"/>
              </w:rPr>
            </w:pPr>
            <w:r>
              <w:rPr>
                <w:sz w:val="20"/>
                <w:szCs w:val="20"/>
              </w:rPr>
              <w:t>ITEM 1B.</w:t>
            </w:r>
          </w:p>
        </w:tc>
        <w:tc>
          <w:tcPr>
            <w:tcW w:w="0" w:type="auto"/>
            <w:shd w:val="clear" w:color="auto" w:fill="CCEEFF"/>
            <w:vAlign w:val="bottom"/>
            <w:hideMark/>
          </w:tcPr>
          <w:p w14:paraId="2CB3F50F" w14:textId="77777777" w:rsidR="00236301" w:rsidRDefault="00265296">
            <w:pPr>
              <w:pStyle w:val="NormalWeb"/>
              <w:spacing w:before="0" w:beforeAutospacing="0" w:after="0" w:afterAutospacing="0"/>
              <w:jc w:val="both"/>
              <w:rPr>
                <w:sz w:val="20"/>
                <w:szCs w:val="20"/>
              </w:rPr>
            </w:pPr>
            <w:r>
              <w:rPr>
                <w:sz w:val="20"/>
                <w:szCs w:val="20"/>
              </w:rPr>
              <w:t>Unresolved Staff Comments</w:t>
            </w:r>
          </w:p>
        </w:tc>
        <w:tc>
          <w:tcPr>
            <w:tcW w:w="0" w:type="auto"/>
            <w:shd w:val="clear" w:color="auto" w:fill="CCEEFF"/>
            <w:vAlign w:val="bottom"/>
            <w:hideMark/>
          </w:tcPr>
          <w:p w14:paraId="0ECD02D7" w14:textId="77777777" w:rsidR="00236301" w:rsidRDefault="00236301">
            <w:pPr>
              <w:rPr>
                <w:sz w:val="20"/>
                <w:szCs w:val="20"/>
              </w:rPr>
            </w:pPr>
          </w:p>
        </w:tc>
        <w:tc>
          <w:tcPr>
            <w:tcW w:w="0" w:type="auto"/>
            <w:shd w:val="clear" w:color="auto" w:fill="CCEEFF"/>
            <w:vAlign w:val="bottom"/>
            <w:hideMark/>
          </w:tcPr>
          <w:p w14:paraId="69F2A308" w14:textId="77777777" w:rsidR="00236301" w:rsidRDefault="00236301">
            <w:pPr>
              <w:spacing w:beforeAutospacing="1" w:afterAutospacing="1"/>
              <w:jc w:val="both"/>
              <w:rPr>
                <w:rFonts w:eastAsia="Times New Roman"/>
                <w:sz w:val="20"/>
                <w:szCs w:val="20"/>
              </w:rPr>
            </w:pPr>
          </w:p>
        </w:tc>
        <w:tc>
          <w:tcPr>
            <w:tcW w:w="0" w:type="auto"/>
            <w:shd w:val="clear" w:color="auto" w:fill="CCEEFF"/>
            <w:vAlign w:val="bottom"/>
            <w:hideMark/>
          </w:tcPr>
          <w:p w14:paraId="1C655B33" w14:textId="77777777" w:rsidR="00236301" w:rsidRDefault="00265296">
            <w:pPr>
              <w:pStyle w:val="NormalWeb"/>
              <w:spacing w:before="0" w:beforeAutospacing="0" w:after="0" w:afterAutospacing="0"/>
              <w:jc w:val="right"/>
              <w:rPr>
                <w:sz w:val="20"/>
                <w:szCs w:val="20"/>
              </w:rPr>
            </w:pPr>
            <w:r>
              <w:rPr>
                <w:sz w:val="20"/>
                <w:szCs w:val="20"/>
              </w:rPr>
              <w:t>9</w:t>
            </w:r>
          </w:p>
        </w:tc>
        <w:tc>
          <w:tcPr>
            <w:tcW w:w="0" w:type="auto"/>
            <w:shd w:val="clear" w:color="auto" w:fill="CCEEFF"/>
            <w:vAlign w:val="bottom"/>
            <w:hideMark/>
          </w:tcPr>
          <w:p w14:paraId="77687F94" w14:textId="77777777" w:rsidR="00236301" w:rsidRDefault="00236301">
            <w:pPr>
              <w:rPr>
                <w:sz w:val="20"/>
                <w:szCs w:val="20"/>
              </w:rPr>
            </w:pPr>
          </w:p>
        </w:tc>
      </w:tr>
      <w:tr w:rsidR="00236301" w14:paraId="6FD1FED8" w14:textId="77777777">
        <w:trPr>
          <w:divId w:val="1459840797"/>
          <w:trHeight w:val="150"/>
          <w:tblCellSpacing w:w="0" w:type="dxa"/>
        </w:trPr>
        <w:tc>
          <w:tcPr>
            <w:tcW w:w="0" w:type="auto"/>
            <w:shd w:val="clear" w:color="auto" w:fill="FFFFFF"/>
            <w:vAlign w:val="bottom"/>
            <w:hideMark/>
          </w:tcPr>
          <w:p w14:paraId="53CFD5F2" w14:textId="77777777" w:rsidR="00236301" w:rsidRDefault="00265296">
            <w:pPr>
              <w:pStyle w:val="NormalWeb"/>
              <w:spacing w:before="0" w:beforeAutospacing="0" w:after="0" w:afterAutospacing="0"/>
              <w:jc w:val="both"/>
              <w:rPr>
                <w:sz w:val="20"/>
                <w:szCs w:val="20"/>
              </w:rPr>
            </w:pPr>
            <w:r>
              <w:rPr>
                <w:sz w:val="20"/>
                <w:szCs w:val="20"/>
              </w:rPr>
              <w:t xml:space="preserve">ITEM 2. </w:t>
            </w:r>
          </w:p>
        </w:tc>
        <w:tc>
          <w:tcPr>
            <w:tcW w:w="0" w:type="auto"/>
            <w:shd w:val="clear" w:color="auto" w:fill="FFFFFF"/>
            <w:vAlign w:val="bottom"/>
            <w:hideMark/>
          </w:tcPr>
          <w:p w14:paraId="674F88F1" w14:textId="77777777" w:rsidR="00236301" w:rsidRDefault="00265296">
            <w:pPr>
              <w:pStyle w:val="NormalWeb"/>
              <w:spacing w:before="0" w:beforeAutospacing="0" w:after="0" w:afterAutospacing="0"/>
              <w:jc w:val="both"/>
              <w:rPr>
                <w:sz w:val="20"/>
                <w:szCs w:val="20"/>
              </w:rPr>
            </w:pPr>
            <w:r>
              <w:rPr>
                <w:sz w:val="20"/>
                <w:szCs w:val="20"/>
              </w:rPr>
              <w:t>Properties</w:t>
            </w:r>
          </w:p>
        </w:tc>
        <w:tc>
          <w:tcPr>
            <w:tcW w:w="0" w:type="auto"/>
            <w:shd w:val="clear" w:color="auto" w:fill="FFFFFF"/>
            <w:vAlign w:val="bottom"/>
            <w:hideMark/>
          </w:tcPr>
          <w:p w14:paraId="71457232" w14:textId="77777777" w:rsidR="00236301" w:rsidRDefault="00236301">
            <w:pPr>
              <w:rPr>
                <w:sz w:val="20"/>
                <w:szCs w:val="20"/>
              </w:rPr>
            </w:pPr>
          </w:p>
        </w:tc>
        <w:tc>
          <w:tcPr>
            <w:tcW w:w="0" w:type="auto"/>
            <w:shd w:val="clear" w:color="auto" w:fill="FFFFFF"/>
            <w:vAlign w:val="bottom"/>
            <w:hideMark/>
          </w:tcPr>
          <w:p w14:paraId="103AD08B"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3B5F1905" w14:textId="77777777" w:rsidR="00236301" w:rsidRDefault="00265296">
            <w:pPr>
              <w:pStyle w:val="NormalWeb"/>
              <w:spacing w:before="0" w:beforeAutospacing="0" w:after="0" w:afterAutospacing="0"/>
              <w:jc w:val="right"/>
              <w:rPr>
                <w:sz w:val="20"/>
                <w:szCs w:val="20"/>
              </w:rPr>
            </w:pPr>
            <w:r>
              <w:rPr>
                <w:sz w:val="20"/>
                <w:szCs w:val="20"/>
              </w:rPr>
              <w:t>10</w:t>
            </w:r>
          </w:p>
        </w:tc>
        <w:tc>
          <w:tcPr>
            <w:tcW w:w="0" w:type="auto"/>
            <w:shd w:val="clear" w:color="auto" w:fill="FFFFFF"/>
            <w:vAlign w:val="bottom"/>
            <w:hideMark/>
          </w:tcPr>
          <w:p w14:paraId="4A4FBB51" w14:textId="77777777" w:rsidR="00236301" w:rsidRDefault="00236301">
            <w:pPr>
              <w:rPr>
                <w:sz w:val="20"/>
                <w:szCs w:val="20"/>
              </w:rPr>
            </w:pPr>
          </w:p>
        </w:tc>
      </w:tr>
      <w:tr w:rsidR="00236301" w14:paraId="1C0D95BB" w14:textId="77777777">
        <w:trPr>
          <w:divId w:val="1459840797"/>
          <w:trHeight w:val="150"/>
          <w:tblCellSpacing w:w="0" w:type="dxa"/>
        </w:trPr>
        <w:tc>
          <w:tcPr>
            <w:tcW w:w="0" w:type="auto"/>
            <w:shd w:val="clear" w:color="auto" w:fill="CCEEFF"/>
            <w:vAlign w:val="bottom"/>
            <w:hideMark/>
          </w:tcPr>
          <w:p w14:paraId="662A9E4D" w14:textId="77777777" w:rsidR="00236301" w:rsidRDefault="00265296">
            <w:pPr>
              <w:pStyle w:val="NormalWeb"/>
              <w:spacing w:before="0" w:beforeAutospacing="0" w:after="0" w:afterAutospacing="0"/>
              <w:jc w:val="both"/>
              <w:rPr>
                <w:sz w:val="20"/>
                <w:szCs w:val="20"/>
              </w:rPr>
            </w:pPr>
            <w:r>
              <w:rPr>
                <w:sz w:val="20"/>
                <w:szCs w:val="20"/>
              </w:rPr>
              <w:t>ITEM 3.</w:t>
            </w:r>
          </w:p>
        </w:tc>
        <w:tc>
          <w:tcPr>
            <w:tcW w:w="0" w:type="auto"/>
            <w:shd w:val="clear" w:color="auto" w:fill="CCEEFF"/>
            <w:vAlign w:val="bottom"/>
            <w:hideMark/>
          </w:tcPr>
          <w:p w14:paraId="0C07D74D" w14:textId="77777777" w:rsidR="00236301" w:rsidRDefault="00265296">
            <w:pPr>
              <w:pStyle w:val="NormalWeb"/>
              <w:spacing w:before="0" w:beforeAutospacing="0" w:after="0" w:afterAutospacing="0"/>
              <w:jc w:val="both"/>
              <w:rPr>
                <w:sz w:val="20"/>
                <w:szCs w:val="20"/>
              </w:rPr>
            </w:pPr>
            <w:r>
              <w:rPr>
                <w:sz w:val="20"/>
                <w:szCs w:val="20"/>
              </w:rPr>
              <w:t>Legal Proceedings</w:t>
            </w:r>
          </w:p>
        </w:tc>
        <w:tc>
          <w:tcPr>
            <w:tcW w:w="0" w:type="auto"/>
            <w:shd w:val="clear" w:color="auto" w:fill="CCEEFF"/>
            <w:vAlign w:val="bottom"/>
            <w:hideMark/>
          </w:tcPr>
          <w:p w14:paraId="23DB6AF5" w14:textId="77777777" w:rsidR="00236301" w:rsidRDefault="00236301">
            <w:pPr>
              <w:rPr>
                <w:sz w:val="20"/>
                <w:szCs w:val="20"/>
              </w:rPr>
            </w:pPr>
          </w:p>
        </w:tc>
        <w:tc>
          <w:tcPr>
            <w:tcW w:w="0" w:type="auto"/>
            <w:shd w:val="clear" w:color="auto" w:fill="CCEEFF"/>
            <w:vAlign w:val="bottom"/>
            <w:hideMark/>
          </w:tcPr>
          <w:p w14:paraId="33A30582" w14:textId="77777777" w:rsidR="00236301" w:rsidRDefault="00236301">
            <w:pPr>
              <w:spacing w:beforeAutospacing="1" w:afterAutospacing="1"/>
              <w:jc w:val="both"/>
              <w:rPr>
                <w:rFonts w:eastAsia="Times New Roman"/>
                <w:sz w:val="20"/>
                <w:szCs w:val="20"/>
              </w:rPr>
            </w:pPr>
          </w:p>
        </w:tc>
        <w:tc>
          <w:tcPr>
            <w:tcW w:w="0" w:type="auto"/>
            <w:shd w:val="clear" w:color="auto" w:fill="CCEEFF"/>
            <w:vAlign w:val="bottom"/>
            <w:hideMark/>
          </w:tcPr>
          <w:p w14:paraId="1017112A" w14:textId="77777777" w:rsidR="00236301" w:rsidRDefault="00265296">
            <w:pPr>
              <w:pStyle w:val="NormalWeb"/>
              <w:spacing w:before="0" w:beforeAutospacing="0" w:after="0" w:afterAutospacing="0"/>
              <w:jc w:val="right"/>
              <w:rPr>
                <w:sz w:val="20"/>
                <w:szCs w:val="20"/>
              </w:rPr>
            </w:pPr>
            <w:r>
              <w:rPr>
                <w:sz w:val="20"/>
                <w:szCs w:val="20"/>
              </w:rPr>
              <w:t>10</w:t>
            </w:r>
          </w:p>
        </w:tc>
        <w:tc>
          <w:tcPr>
            <w:tcW w:w="0" w:type="auto"/>
            <w:shd w:val="clear" w:color="auto" w:fill="CCEEFF"/>
            <w:vAlign w:val="bottom"/>
            <w:hideMark/>
          </w:tcPr>
          <w:p w14:paraId="5FFA2FEE" w14:textId="77777777" w:rsidR="00236301" w:rsidRDefault="00236301">
            <w:pPr>
              <w:rPr>
                <w:sz w:val="20"/>
                <w:szCs w:val="20"/>
              </w:rPr>
            </w:pPr>
          </w:p>
        </w:tc>
      </w:tr>
      <w:tr w:rsidR="00236301" w14:paraId="2BF52A57" w14:textId="77777777">
        <w:trPr>
          <w:divId w:val="1459840797"/>
          <w:trHeight w:val="150"/>
          <w:tblCellSpacing w:w="0" w:type="dxa"/>
        </w:trPr>
        <w:tc>
          <w:tcPr>
            <w:tcW w:w="0" w:type="auto"/>
            <w:shd w:val="clear" w:color="auto" w:fill="FFFFFF"/>
            <w:vAlign w:val="bottom"/>
            <w:hideMark/>
          </w:tcPr>
          <w:p w14:paraId="5035D95C" w14:textId="77777777" w:rsidR="00236301" w:rsidRDefault="00265296">
            <w:pPr>
              <w:pStyle w:val="NormalWeb"/>
              <w:spacing w:before="0" w:beforeAutospacing="0" w:after="0" w:afterAutospacing="0"/>
              <w:jc w:val="both"/>
              <w:rPr>
                <w:sz w:val="20"/>
                <w:szCs w:val="20"/>
              </w:rPr>
            </w:pPr>
            <w:r>
              <w:rPr>
                <w:sz w:val="20"/>
                <w:szCs w:val="20"/>
              </w:rPr>
              <w:t>ITEM 4.</w:t>
            </w:r>
          </w:p>
        </w:tc>
        <w:tc>
          <w:tcPr>
            <w:tcW w:w="0" w:type="auto"/>
            <w:shd w:val="clear" w:color="auto" w:fill="FFFFFF"/>
            <w:vAlign w:val="bottom"/>
            <w:hideMark/>
          </w:tcPr>
          <w:p w14:paraId="3CE081A1" w14:textId="77777777" w:rsidR="00236301" w:rsidRDefault="00265296">
            <w:pPr>
              <w:pStyle w:val="NormalWeb"/>
              <w:spacing w:before="0" w:beforeAutospacing="0" w:after="0" w:afterAutospacing="0"/>
              <w:jc w:val="both"/>
              <w:rPr>
                <w:sz w:val="20"/>
                <w:szCs w:val="20"/>
              </w:rPr>
            </w:pPr>
            <w:r>
              <w:rPr>
                <w:sz w:val="20"/>
                <w:szCs w:val="20"/>
              </w:rPr>
              <w:t>Mine Safety Disclosures</w:t>
            </w:r>
          </w:p>
        </w:tc>
        <w:tc>
          <w:tcPr>
            <w:tcW w:w="0" w:type="auto"/>
            <w:shd w:val="clear" w:color="auto" w:fill="FFFFFF"/>
            <w:vAlign w:val="bottom"/>
            <w:hideMark/>
          </w:tcPr>
          <w:p w14:paraId="0BD9C3D9" w14:textId="77777777" w:rsidR="00236301" w:rsidRDefault="00236301">
            <w:pPr>
              <w:rPr>
                <w:sz w:val="20"/>
                <w:szCs w:val="20"/>
              </w:rPr>
            </w:pPr>
          </w:p>
        </w:tc>
        <w:tc>
          <w:tcPr>
            <w:tcW w:w="0" w:type="auto"/>
            <w:shd w:val="clear" w:color="auto" w:fill="FFFFFF"/>
            <w:vAlign w:val="bottom"/>
            <w:hideMark/>
          </w:tcPr>
          <w:p w14:paraId="3C3B24D0"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44001641" w14:textId="77777777" w:rsidR="00236301" w:rsidRDefault="00265296">
            <w:pPr>
              <w:pStyle w:val="NormalWeb"/>
              <w:spacing w:before="0" w:beforeAutospacing="0" w:after="0" w:afterAutospacing="0"/>
              <w:jc w:val="right"/>
              <w:rPr>
                <w:sz w:val="20"/>
                <w:szCs w:val="20"/>
              </w:rPr>
            </w:pPr>
            <w:r>
              <w:rPr>
                <w:sz w:val="20"/>
                <w:szCs w:val="20"/>
              </w:rPr>
              <w:t>10</w:t>
            </w:r>
          </w:p>
        </w:tc>
        <w:tc>
          <w:tcPr>
            <w:tcW w:w="0" w:type="auto"/>
            <w:shd w:val="clear" w:color="auto" w:fill="FFFFFF"/>
            <w:vAlign w:val="bottom"/>
            <w:hideMark/>
          </w:tcPr>
          <w:p w14:paraId="52629B85" w14:textId="77777777" w:rsidR="00236301" w:rsidRDefault="00236301">
            <w:pPr>
              <w:rPr>
                <w:sz w:val="20"/>
                <w:szCs w:val="20"/>
              </w:rPr>
            </w:pPr>
          </w:p>
        </w:tc>
      </w:tr>
      <w:tr w:rsidR="00236301" w14:paraId="29810F3E" w14:textId="77777777">
        <w:trPr>
          <w:divId w:val="1459840797"/>
          <w:trHeight w:val="150"/>
          <w:tblCellSpacing w:w="0" w:type="dxa"/>
        </w:trPr>
        <w:tc>
          <w:tcPr>
            <w:tcW w:w="0" w:type="auto"/>
            <w:shd w:val="clear" w:color="auto" w:fill="FFFFFF"/>
            <w:vAlign w:val="bottom"/>
            <w:hideMark/>
          </w:tcPr>
          <w:p w14:paraId="77660A18"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209E274B"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6E56235D"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79978CAF"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45FD16FA"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196742F9" w14:textId="77777777" w:rsidR="00236301" w:rsidRDefault="00236301">
            <w:pPr>
              <w:spacing w:beforeAutospacing="1" w:afterAutospacing="1"/>
              <w:jc w:val="both"/>
              <w:rPr>
                <w:rFonts w:eastAsia="Times New Roman"/>
                <w:sz w:val="20"/>
                <w:szCs w:val="20"/>
              </w:rPr>
            </w:pPr>
          </w:p>
        </w:tc>
      </w:tr>
      <w:tr w:rsidR="00236301" w14:paraId="0986D7C1" w14:textId="77777777">
        <w:trPr>
          <w:divId w:val="1459840797"/>
          <w:trHeight w:val="150"/>
          <w:tblCellSpacing w:w="0" w:type="dxa"/>
        </w:trPr>
        <w:tc>
          <w:tcPr>
            <w:tcW w:w="0" w:type="auto"/>
            <w:shd w:val="clear" w:color="auto" w:fill="FFFFFF"/>
            <w:vAlign w:val="bottom"/>
            <w:hideMark/>
          </w:tcPr>
          <w:p w14:paraId="57328D9F" w14:textId="77777777" w:rsidR="00236301" w:rsidRDefault="00265296">
            <w:pPr>
              <w:pStyle w:val="NormalWeb"/>
              <w:spacing w:before="0" w:beforeAutospacing="0" w:after="0" w:afterAutospacing="0"/>
              <w:jc w:val="both"/>
              <w:rPr>
                <w:sz w:val="20"/>
                <w:szCs w:val="20"/>
              </w:rPr>
            </w:pPr>
            <w:r>
              <w:rPr>
                <w:b/>
                <w:bCs/>
                <w:sz w:val="20"/>
                <w:szCs w:val="20"/>
              </w:rPr>
              <w:t>PART II</w:t>
            </w:r>
          </w:p>
        </w:tc>
        <w:tc>
          <w:tcPr>
            <w:tcW w:w="0" w:type="auto"/>
            <w:shd w:val="clear" w:color="auto" w:fill="FFFFFF"/>
            <w:vAlign w:val="bottom"/>
            <w:hideMark/>
          </w:tcPr>
          <w:p w14:paraId="496FED45" w14:textId="77777777" w:rsidR="00236301" w:rsidRDefault="00236301">
            <w:pPr>
              <w:rPr>
                <w:sz w:val="20"/>
                <w:szCs w:val="20"/>
              </w:rPr>
            </w:pPr>
          </w:p>
        </w:tc>
        <w:tc>
          <w:tcPr>
            <w:tcW w:w="0" w:type="auto"/>
            <w:shd w:val="clear" w:color="auto" w:fill="FFFFFF"/>
            <w:vAlign w:val="bottom"/>
            <w:hideMark/>
          </w:tcPr>
          <w:p w14:paraId="65EE481B"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01511E10"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1FFAEEA8" w14:textId="77777777" w:rsidR="00236301" w:rsidRDefault="00265296">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14:paraId="78A26843" w14:textId="77777777" w:rsidR="00236301" w:rsidRDefault="00236301">
            <w:pPr>
              <w:rPr>
                <w:sz w:val="20"/>
                <w:szCs w:val="20"/>
              </w:rPr>
            </w:pPr>
          </w:p>
        </w:tc>
      </w:tr>
      <w:tr w:rsidR="00236301" w14:paraId="1ED8EA33" w14:textId="77777777">
        <w:trPr>
          <w:divId w:val="1459840797"/>
          <w:tblCellSpacing w:w="0" w:type="dxa"/>
        </w:trPr>
        <w:tc>
          <w:tcPr>
            <w:tcW w:w="0" w:type="auto"/>
            <w:vAlign w:val="center"/>
            <w:hideMark/>
          </w:tcPr>
          <w:p w14:paraId="150FB74C"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vAlign w:val="center"/>
            <w:hideMark/>
          </w:tcPr>
          <w:p w14:paraId="16F78A38"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vAlign w:val="center"/>
            <w:hideMark/>
          </w:tcPr>
          <w:p w14:paraId="317E553F"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vAlign w:val="center"/>
            <w:hideMark/>
          </w:tcPr>
          <w:p w14:paraId="56990FA0"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vAlign w:val="center"/>
            <w:hideMark/>
          </w:tcPr>
          <w:p w14:paraId="48F960BD" w14:textId="77777777" w:rsidR="00236301" w:rsidRDefault="00265296">
            <w:pPr>
              <w:pStyle w:val="NormalWeb"/>
              <w:spacing w:before="0" w:beforeAutospacing="0" w:after="0" w:afterAutospacing="0"/>
              <w:jc w:val="right"/>
              <w:rPr>
                <w:sz w:val="20"/>
                <w:szCs w:val="20"/>
              </w:rPr>
            </w:pPr>
            <w:r>
              <w:rPr>
                <w:sz w:val="20"/>
                <w:szCs w:val="20"/>
              </w:rPr>
              <w:t> </w:t>
            </w:r>
          </w:p>
        </w:tc>
        <w:tc>
          <w:tcPr>
            <w:tcW w:w="0" w:type="auto"/>
            <w:vAlign w:val="center"/>
            <w:hideMark/>
          </w:tcPr>
          <w:p w14:paraId="220116EB" w14:textId="77777777" w:rsidR="00236301" w:rsidRDefault="00265296">
            <w:pPr>
              <w:pStyle w:val="NormalWeb"/>
              <w:spacing w:before="0" w:beforeAutospacing="0" w:after="0" w:afterAutospacing="0"/>
              <w:jc w:val="both"/>
              <w:rPr>
                <w:sz w:val="20"/>
                <w:szCs w:val="20"/>
              </w:rPr>
            </w:pPr>
            <w:r>
              <w:rPr>
                <w:sz w:val="20"/>
                <w:szCs w:val="20"/>
              </w:rPr>
              <w:t> </w:t>
            </w:r>
          </w:p>
        </w:tc>
      </w:tr>
      <w:tr w:rsidR="00236301" w14:paraId="3AB774F1" w14:textId="77777777">
        <w:trPr>
          <w:divId w:val="1459840797"/>
          <w:trHeight w:val="150"/>
          <w:tblCellSpacing w:w="0" w:type="dxa"/>
        </w:trPr>
        <w:tc>
          <w:tcPr>
            <w:tcW w:w="0" w:type="auto"/>
            <w:shd w:val="clear" w:color="auto" w:fill="CCEEFF"/>
            <w:vAlign w:val="bottom"/>
            <w:hideMark/>
          </w:tcPr>
          <w:p w14:paraId="029D5C2E" w14:textId="77777777" w:rsidR="00236301" w:rsidRDefault="00265296">
            <w:pPr>
              <w:pStyle w:val="NormalWeb"/>
              <w:spacing w:before="0" w:beforeAutospacing="0" w:after="0" w:afterAutospacing="0"/>
              <w:jc w:val="both"/>
              <w:rPr>
                <w:sz w:val="20"/>
                <w:szCs w:val="20"/>
              </w:rPr>
            </w:pPr>
            <w:r>
              <w:rPr>
                <w:sz w:val="20"/>
                <w:szCs w:val="20"/>
              </w:rPr>
              <w:t>ITEM 5.</w:t>
            </w:r>
          </w:p>
        </w:tc>
        <w:tc>
          <w:tcPr>
            <w:tcW w:w="0" w:type="auto"/>
            <w:shd w:val="clear" w:color="auto" w:fill="CCEEFF"/>
            <w:vAlign w:val="bottom"/>
            <w:hideMark/>
          </w:tcPr>
          <w:p w14:paraId="69E60648" w14:textId="77777777" w:rsidR="00236301" w:rsidRDefault="00265296">
            <w:pPr>
              <w:pStyle w:val="NormalWeb"/>
              <w:spacing w:before="0" w:beforeAutospacing="0" w:after="0" w:afterAutospacing="0"/>
              <w:jc w:val="both"/>
              <w:rPr>
                <w:sz w:val="20"/>
                <w:szCs w:val="20"/>
              </w:rPr>
            </w:pPr>
            <w:r>
              <w:rPr>
                <w:sz w:val="20"/>
                <w:szCs w:val="20"/>
              </w:rPr>
              <w:t>Market for Registrant's Common Equity, Related Stockholder Matters and Issuer Purchases of Equity Securities</w:t>
            </w:r>
          </w:p>
        </w:tc>
        <w:tc>
          <w:tcPr>
            <w:tcW w:w="0" w:type="auto"/>
            <w:shd w:val="clear" w:color="auto" w:fill="CCEEFF"/>
            <w:vAlign w:val="bottom"/>
            <w:hideMark/>
          </w:tcPr>
          <w:p w14:paraId="388BF37E" w14:textId="77777777" w:rsidR="00236301" w:rsidRDefault="00236301">
            <w:pPr>
              <w:rPr>
                <w:sz w:val="20"/>
                <w:szCs w:val="20"/>
              </w:rPr>
            </w:pPr>
          </w:p>
        </w:tc>
        <w:tc>
          <w:tcPr>
            <w:tcW w:w="0" w:type="auto"/>
            <w:shd w:val="clear" w:color="auto" w:fill="CCEEFF"/>
            <w:vAlign w:val="bottom"/>
            <w:hideMark/>
          </w:tcPr>
          <w:p w14:paraId="6C08F280" w14:textId="77777777" w:rsidR="00236301" w:rsidRDefault="00236301">
            <w:pPr>
              <w:spacing w:beforeAutospacing="1" w:afterAutospacing="1"/>
              <w:jc w:val="both"/>
              <w:rPr>
                <w:rFonts w:eastAsia="Times New Roman"/>
                <w:sz w:val="20"/>
                <w:szCs w:val="20"/>
              </w:rPr>
            </w:pPr>
          </w:p>
        </w:tc>
        <w:tc>
          <w:tcPr>
            <w:tcW w:w="0" w:type="auto"/>
            <w:shd w:val="clear" w:color="auto" w:fill="CCEEFF"/>
            <w:vAlign w:val="bottom"/>
            <w:hideMark/>
          </w:tcPr>
          <w:p w14:paraId="2E4C0E83" w14:textId="77777777" w:rsidR="00236301" w:rsidRDefault="00265296">
            <w:pPr>
              <w:pStyle w:val="NormalWeb"/>
              <w:spacing w:before="0" w:beforeAutospacing="0" w:after="0" w:afterAutospacing="0"/>
              <w:jc w:val="right"/>
              <w:rPr>
                <w:sz w:val="20"/>
                <w:szCs w:val="20"/>
              </w:rPr>
            </w:pPr>
            <w:r>
              <w:rPr>
                <w:sz w:val="20"/>
                <w:szCs w:val="20"/>
              </w:rPr>
              <w:t>10</w:t>
            </w:r>
          </w:p>
        </w:tc>
        <w:tc>
          <w:tcPr>
            <w:tcW w:w="0" w:type="auto"/>
            <w:shd w:val="clear" w:color="auto" w:fill="CCEEFF"/>
            <w:vAlign w:val="bottom"/>
            <w:hideMark/>
          </w:tcPr>
          <w:p w14:paraId="36D594BA" w14:textId="77777777" w:rsidR="00236301" w:rsidRDefault="00236301">
            <w:pPr>
              <w:rPr>
                <w:sz w:val="20"/>
                <w:szCs w:val="20"/>
              </w:rPr>
            </w:pPr>
          </w:p>
        </w:tc>
      </w:tr>
      <w:tr w:rsidR="00236301" w14:paraId="2E4589B6" w14:textId="77777777">
        <w:trPr>
          <w:divId w:val="1459840797"/>
          <w:trHeight w:val="150"/>
          <w:tblCellSpacing w:w="0" w:type="dxa"/>
        </w:trPr>
        <w:tc>
          <w:tcPr>
            <w:tcW w:w="0" w:type="auto"/>
            <w:shd w:val="clear" w:color="auto" w:fill="FFFFFF"/>
            <w:vAlign w:val="bottom"/>
            <w:hideMark/>
          </w:tcPr>
          <w:p w14:paraId="2B0E256F" w14:textId="77777777" w:rsidR="00236301" w:rsidRDefault="00265296">
            <w:pPr>
              <w:pStyle w:val="NormalWeb"/>
              <w:spacing w:before="0" w:beforeAutospacing="0" w:after="0" w:afterAutospacing="0"/>
              <w:jc w:val="both"/>
              <w:rPr>
                <w:sz w:val="20"/>
                <w:szCs w:val="20"/>
              </w:rPr>
            </w:pPr>
            <w:r>
              <w:rPr>
                <w:sz w:val="20"/>
                <w:szCs w:val="20"/>
              </w:rPr>
              <w:t xml:space="preserve">ITEM 6. </w:t>
            </w:r>
          </w:p>
        </w:tc>
        <w:tc>
          <w:tcPr>
            <w:tcW w:w="0" w:type="auto"/>
            <w:shd w:val="clear" w:color="auto" w:fill="FFFFFF"/>
            <w:vAlign w:val="bottom"/>
            <w:hideMark/>
          </w:tcPr>
          <w:p w14:paraId="58BECBAB" w14:textId="77777777" w:rsidR="00236301" w:rsidRDefault="00265296">
            <w:pPr>
              <w:pStyle w:val="NormalWeb"/>
              <w:spacing w:before="0" w:beforeAutospacing="0" w:after="0" w:afterAutospacing="0"/>
              <w:jc w:val="both"/>
              <w:rPr>
                <w:sz w:val="20"/>
                <w:szCs w:val="20"/>
              </w:rPr>
            </w:pPr>
            <w:r>
              <w:rPr>
                <w:sz w:val="20"/>
                <w:szCs w:val="20"/>
              </w:rPr>
              <w:t>Selected Financial Data</w:t>
            </w:r>
          </w:p>
        </w:tc>
        <w:tc>
          <w:tcPr>
            <w:tcW w:w="0" w:type="auto"/>
            <w:shd w:val="clear" w:color="auto" w:fill="FFFFFF"/>
            <w:vAlign w:val="bottom"/>
            <w:hideMark/>
          </w:tcPr>
          <w:p w14:paraId="2A984FBD" w14:textId="77777777" w:rsidR="00236301" w:rsidRDefault="00236301">
            <w:pPr>
              <w:rPr>
                <w:sz w:val="20"/>
                <w:szCs w:val="20"/>
              </w:rPr>
            </w:pPr>
          </w:p>
        </w:tc>
        <w:tc>
          <w:tcPr>
            <w:tcW w:w="0" w:type="auto"/>
            <w:shd w:val="clear" w:color="auto" w:fill="FFFFFF"/>
            <w:vAlign w:val="bottom"/>
            <w:hideMark/>
          </w:tcPr>
          <w:p w14:paraId="3037DFBA"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6A8EA2C8" w14:textId="77777777" w:rsidR="00236301" w:rsidRDefault="00265296">
            <w:pPr>
              <w:pStyle w:val="NormalWeb"/>
              <w:spacing w:before="0" w:beforeAutospacing="0" w:after="0" w:afterAutospacing="0"/>
              <w:jc w:val="right"/>
              <w:rPr>
                <w:sz w:val="20"/>
                <w:szCs w:val="20"/>
              </w:rPr>
            </w:pPr>
            <w:r>
              <w:rPr>
                <w:sz w:val="20"/>
                <w:szCs w:val="20"/>
              </w:rPr>
              <w:t>11</w:t>
            </w:r>
          </w:p>
        </w:tc>
        <w:tc>
          <w:tcPr>
            <w:tcW w:w="0" w:type="auto"/>
            <w:shd w:val="clear" w:color="auto" w:fill="FFFFFF"/>
            <w:vAlign w:val="bottom"/>
            <w:hideMark/>
          </w:tcPr>
          <w:p w14:paraId="7D07C60B" w14:textId="77777777" w:rsidR="00236301" w:rsidRDefault="00236301">
            <w:pPr>
              <w:rPr>
                <w:sz w:val="20"/>
                <w:szCs w:val="20"/>
              </w:rPr>
            </w:pPr>
          </w:p>
        </w:tc>
      </w:tr>
      <w:tr w:rsidR="00236301" w14:paraId="51634182" w14:textId="77777777">
        <w:trPr>
          <w:divId w:val="1459840797"/>
          <w:trHeight w:val="150"/>
          <w:tblCellSpacing w:w="0" w:type="dxa"/>
        </w:trPr>
        <w:tc>
          <w:tcPr>
            <w:tcW w:w="0" w:type="auto"/>
            <w:shd w:val="clear" w:color="auto" w:fill="CCEEFF"/>
            <w:vAlign w:val="bottom"/>
            <w:hideMark/>
          </w:tcPr>
          <w:p w14:paraId="3CC0CC61" w14:textId="77777777" w:rsidR="00236301" w:rsidRDefault="00265296">
            <w:pPr>
              <w:pStyle w:val="NormalWeb"/>
              <w:spacing w:before="0" w:beforeAutospacing="0" w:after="0" w:afterAutospacing="0"/>
              <w:jc w:val="both"/>
              <w:rPr>
                <w:sz w:val="20"/>
                <w:szCs w:val="20"/>
              </w:rPr>
            </w:pPr>
            <w:r>
              <w:rPr>
                <w:sz w:val="20"/>
                <w:szCs w:val="20"/>
              </w:rPr>
              <w:t xml:space="preserve">ITEM 7. </w:t>
            </w:r>
          </w:p>
        </w:tc>
        <w:tc>
          <w:tcPr>
            <w:tcW w:w="0" w:type="auto"/>
            <w:shd w:val="clear" w:color="auto" w:fill="CCEEFF"/>
            <w:vAlign w:val="bottom"/>
            <w:hideMark/>
          </w:tcPr>
          <w:p w14:paraId="4B6D8718" w14:textId="77777777" w:rsidR="00236301" w:rsidRDefault="00265296">
            <w:pPr>
              <w:pStyle w:val="NormalWeb"/>
              <w:spacing w:before="0" w:beforeAutospacing="0" w:after="0" w:afterAutospacing="0"/>
              <w:jc w:val="both"/>
              <w:rPr>
                <w:sz w:val="20"/>
                <w:szCs w:val="20"/>
              </w:rPr>
            </w:pPr>
            <w:r>
              <w:rPr>
                <w:sz w:val="20"/>
                <w:szCs w:val="20"/>
              </w:rPr>
              <w:t>Management's Discussion and Analysis of Financial Condition and Results of Operations</w:t>
            </w:r>
          </w:p>
        </w:tc>
        <w:tc>
          <w:tcPr>
            <w:tcW w:w="0" w:type="auto"/>
            <w:shd w:val="clear" w:color="auto" w:fill="CCEEFF"/>
            <w:vAlign w:val="bottom"/>
            <w:hideMark/>
          </w:tcPr>
          <w:p w14:paraId="43E4861A" w14:textId="77777777" w:rsidR="00236301" w:rsidRDefault="00236301">
            <w:pPr>
              <w:rPr>
                <w:sz w:val="20"/>
                <w:szCs w:val="20"/>
              </w:rPr>
            </w:pPr>
          </w:p>
        </w:tc>
        <w:tc>
          <w:tcPr>
            <w:tcW w:w="0" w:type="auto"/>
            <w:shd w:val="clear" w:color="auto" w:fill="CCEEFF"/>
            <w:vAlign w:val="bottom"/>
            <w:hideMark/>
          </w:tcPr>
          <w:p w14:paraId="30F959E1" w14:textId="77777777" w:rsidR="00236301" w:rsidRDefault="00236301">
            <w:pPr>
              <w:spacing w:beforeAutospacing="1" w:afterAutospacing="1"/>
              <w:jc w:val="both"/>
              <w:rPr>
                <w:rFonts w:eastAsia="Times New Roman"/>
                <w:sz w:val="20"/>
                <w:szCs w:val="20"/>
              </w:rPr>
            </w:pPr>
          </w:p>
        </w:tc>
        <w:tc>
          <w:tcPr>
            <w:tcW w:w="0" w:type="auto"/>
            <w:shd w:val="clear" w:color="auto" w:fill="CCEEFF"/>
            <w:vAlign w:val="bottom"/>
            <w:hideMark/>
          </w:tcPr>
          <w:p w14:paraId="68F9DCAF" w14:textId="77777777" w:rsidR="00236301" w:rsidRDefault="00265296">
            <w:pPr>
              <w:pStyle w:val="NormalWeb"/>
              <w:spacing w:before="0" w:beforeAutospacing="0" w:after="0" w:afterAutospacing="0"/>
              <w:jc w:val="right"/>
              <w:rPr>
                <w:sz w:val="20"/>
                <w:szCs w:val="20"/>
              </w:rPr>
            </w:pPr>
            <w:r>
              <w:rPr>
                <w:sz w:val="20"/>
                <w:szCs w:val="20"/>
              </w:rPr>
              <w:t>11</w:t>
            </w:r>
          </w:p>
        </w:tc>
        <w:tc>
          <w:tcPr>
            <w:tcW w:w="0" w:type="auto"/>
            <w:shd w:val="clear" w:color="auto" w:fill="CCEEFF"/>
            <w:vAlign w:val="bottom"/>
            <w:hideMark/>
          </w:tcPr>
          <w:p w14:paraId="54941E82" w14:textId="77777777" w:rsidR="00236301" w:rsidRDefault="00236301">
            <w:pPr>
              <w:rPr>
                <w:sz w:val="20"/>
                <w:szCs w:val="20"/>
              </w:rPr>
            </w:pPr>
          </w:p>
        </w:tc>
      </w:tr>
      <w:tr w:rsidR="00236301" w14:paraId="25AAFC98" w14:textId="77777777">
        <w:trPr>
          <w:divId w:val="1459840797"/>
          <w:trHeight w:val="150"/>
          <w:tblCellSpacing w:w="0" w:type="dxa"/>
        </w:trPr>
        <w:tc>
          <w:tcPr>
            <w:tcW w:w="0" w:type="auto"/>
            <w:shd w:val="clear" w:color="auto" w:fill="FFFFFF"/>
            <w:vAlign w:val="bottom"/>
            <w:hideMark/>
          </w:tcPr>
          <w:p w14:paraId="67D501B9" w14:textId="77777777" w:rsidR="00236301" w:rsidRDefault="00265296">
            <w:pPr>
              <w:pStyle w:val="NormalWeb"/>
              <w:spacing w:before="0" w:beforeAutospacing="0" w:after="0" w:afterAutospacing="0"/>
              <w:jc w:val="both"/>
              <w:rPr>
                <w:sz w:val="20"/>
                <w:szCs w:val="20"/>
              </w:rPr>
            </w:pPr>
            <w:r>
              <w:rPr>
                <w:sz w:val="20"/>
                <w:szCs w:val="20"/>
              </w:rPr>
              <w:t xml:space="preserve">ITEM 7A. </w:t>
            </w:r>
          </w:p>
        </w:tc>
        <w:tc>
          <w:tcPr>
            <w:tcW w:w="0" w:type="auto"/>
            <w:shd w:val="clear" w:color="auto" w:fill="FFFFFF"/>
            <w:vAlign w:val="bottom"/>
            <w:hideMark/>
          </w:tcPr>
          <w:p w14:paraId="71B00CD1" w14:textId="77777777" w:rsidR="00236301" w:rsidRDefault="00265296">
            <w:pPr>
              <w:pStyle w:val="NormalWeb"/>
              <w:spacing w:before="0" w:beforeAutospacing="0" w:after="0" w:afterAutospacing="0"/>
              <w:jc w:val="both"/>
              <w:rPr>
                <w:sz w:val="20"/>
                <w:szCs w:val="20"/>
              </w:rPr>
            </w:pPr>
            <w:r>
              <w:rPr>
                <w:sz w:val="20"/>
                <w:szCs w:val="20"/>
              </w:rPr>
              <w:t>Quantitative and Qualitative Disclosures About Market Risk</w:t>
            </w:r>
          </w:p>
        </w:tc>
        <w:tc>
          <w:tcPr>
            <w:tcW w:w="0" w:type="auto"/>
            <w:shd w:val="clear" w:color="auto" w:fill="FFFFFF"/>
            <w:vAlign w:val="bottom"/>
            <w:hideMark/>
          </w:tcPr>
          <w:p w14:paraId="09E89C60" w14:textId="77777777" w:rsidR="00236301" w:rsidRDefault="00236301">
            <w:pPr>
              <w:rPr>
                <w:sz w:val="20"/>
                <w:szCs w:val="20"/>
              </w:rPr>
            </w:pPr>
          </w:p>
        </w:tc>
        <w:tc>
          <w:tcPr>
            <w:tcW w:w="0" w:type="auto"/>
            <w:shd w:val="clear" w:color="auto" w:fill="FFFFFF"/>
            <w:vAlign w:val="bottom"/>
            <w:hideMark/>
          </w:tcPr>
          <w:p w14:paraId="3BC3B876"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5E885970" w14:textId="77777777" w:rsidR="00236301" w:rsidRDefault="00265296">
            <w:pPr>
              <w:pStyle w:val="NormalWeb"/>
              <w:spacing w:before="0" w:beforeAutospacing="0" w:after="0" w:afterAutospacing="0"/>
              <w:jc w:val="right"/>
              <w:rPr>
                <w:sz w:val="20"/>
                <w:szCs w:val="20"/>
              </w:rPr>
            </w:pPr>
            <w:r>
              <w:rPr>
                <w:sz w:val="20"/>
                <w:szCs w:val="20"/>
              </w:rPr>
              <w:t>14</w:t>
            </w:r>
          </w:p>
        </w:tc>
        <w:tc>
          <w:tcPr>
            <w:tcW w:w="0" w:type="auto"/>
            <w:shd w:val="clear" w:color="auto" w:fill="FFFFFF"/>
            <w:vAlign w:val="bottom"/>
            <w:hideMark/>
          </w:tcPr>
          <w:p w14:paraId="2FDBFDF9" w14:textId="77777777" w:rsidR="00236301" w:rsidRDefault="00236301">
            <w:pPr>
              <w:rPr>
                <w:sz w:val="20"/>
                <w:szCs w:val="20"/>
              </w:rPr>
            </w:pPr>
          </w:p>
        </w:tc>
      </w:tr>
      <w:tr w:rsidR="00236301" w14:paraId="365F8AF1" w14:textId="77777777">
        <w:trPr>
          <w:divId w:val="1459840797"/>
          <w:trHeight w:val="150"/>
          <w:tblCellSpacing w:w="0" w:type="dxa"/>
        </w:trPr>
        <w:tc>
          <w:tcPr>
            <w:tcW w:w="0" w:type="auto"/>
            <w:shd w:val="clear" w:color="auto" w:fill="CCEEFF"/>
            <w:vAlign w:val="bottom"/>
            <w:hideMark/>
          </w:tcPr>
          <w:p w14:paraId="2BA92378" w14:textId="77777777" w:rsidR="00236301" w:rsidRDefault="00265296">
            <w:pPr>
              <w:pStyle w:val="NormalWeb"/>
              <w:spacing w:before="0" w:beforeAutospacing="0" w:after="0" w:afterAutospacing="0"/>
              <w:jc w:val="both"/>
              <w:rPr>
                <w:sz w:val="20"/>
                <w:szCs w:val="20"/>
              </w:rPr>
            </w:pPr>
            <w:r>
              <w:rPr>
                <w:sz w:val="20"/>
                <w:szCs w:val="20"/>
              </w:rPr>
              <w:t xml:space="preserve">ITEM 8. </w:t>
            </w:r>
          </w:p>
        </w:tc>
        <w:tc>
          <w:tcPr>
            <w:tcW w:w="0" w:type="auto"/>
            <w:shd w:val="clear" w:color="auto" w:fill="CCEEFF"/>
            <w:vAlign w:val="bottom"/>
            <w:hideMark/>
          </w:tcPr>
          <w:p w14:paraId="12C27AAE" w14:textId="77777777" w:rsidR="00236301" w:rsidRDefault="00265296">
            <w:pPr>
              <w:pStyle w:val="NormalWeb"/>
              <w:spacing w:before="0" w:beforeAutospacing="0" w:after="0" w:afterAutospacing="0"/>
              <w:jc w:val="both"/>
              <w:rPr>
                <w:sz w:val="20"/>
                <w:szCs w:val="20"/>
              </w:rPr>
            </w:pPr>
            <w:r>
              <w:rPr>
                <w:sz w:val="20"/>
                <w:szCs w:val="20"/>
              </w:rPr>
              <w:t>Financial Statements and Supplementary Data</w:t>
            </w:r>
          </w:p>
        </w:tc>
        <w:tc>
          <w:tcPr>
            <w:tcW w:w="0" w:type="auto"/>
            <w:shd w:val="clear" w:color="auto" w:fill="CCEEFF"/>
            <w:vAlign w:val="bottom"/>
            <w:hideMark/>
          </w:tcPr>
          <w:p w14:paraId="49E90EA5" w14:textId="77777777" w:rsidR="00236301" w:rsidRDefault="00236301">
            <w:pPr>
              <w:rPr>
                <w:sz w:val="20"/>
                <w:szCs w:val="20"/>
              </w:rPr>
            </w:pPr>
          </w:p>
        </w:tc>
        <w:tc>
          <w:tcPr>
            <w:tcW w:w="0" w:type="auto"/>
            <w:shd w:val="clear" w:color="auto" w:fill="CCEEFF"/>
            <w:vAlign w:val="bottom"/>
            <w:hideMark/>
          </w:tcPr>
          <w:p w14:paraId="0CE3BAF1" w14:textId="77777777" w:rsidR="00236301" w:rsidRDefault="00236301">
            <w:pPr>
              <w:spacing w:beforeAutospacing="1" w:afterAutospacing="1"/>
              <w:jc w:val="both"/>
              <w:rPr>
                <w:rFonts w:eastAsia="Times New Roman"/>
                <w:sz w:val="20"/>
                <w:szCs w:val="20"/>
              </w:rPr>
            </w:pPr>
          </w:p>
        </w:tc>
        <w:tc>
          <w:tcPr>
            <w:tcW w:w="0" w:type="auto"/>
            <w:shd w:val="clear" w:color="auto" w:fill="CCEEFF"/>
            <w:vAlign w:val="bottom"/>
            <w:hideMark/>
          </w:tcPr>
          <w:p w14:paraId="178771B7" w14:textId="77777777" w:rsidR="00236301" w:rsidRDefault="00265296">
            <w:pPr>
              <w:pStyle w:val="NormalWeb"/>
              <w:spacing w:before="0" w:beforeAutospacing="0" w:after="0" w:afterAutospacing="0"/>
              <w:jc w:val="right"/>
              <w:rPr>
                <w:sz w:val="20"/>
                <w:szCs w:val="20"/>
              </w:rPr>
            </w:pPr>
            <w:r>
              <w:rPr>
                <w:sz w:val="20"/>
                <w:szCs w:val="20"/>
              </w:rPr>
              <w:t>14</w:t>
            </w:r>
          </w:p>
        </w:tc>
        <w:tc>
          <w:tcPr>
            <w:tcW w:w="0" w:type="auto"/>
            <w:shd w:val="clear" w:color="auto" w:fill="CCEEFF"/>
            <w:vAlign w:val="bottom"/>
            <w:hideMark/>
          </w:tcPr>
          <w:p w14:paraId="42223BDE" w14:textId="77777777" w:rsidR="00236301" w:rsidRDefault="00236301">
            <w:pPr>
              <w:rPr>
                <w:sz w:val="20"/>
                <w:szCs w:val="20"/>
              </w:rPr>
            </w:pPr>
          </w:p>
        </w:tc>
      </w:tr>
      <w:tr w:rsidR="00236301" w14:paraId="1E7404AF" w14:textId="77777777">
        <w:trPr>
          <w:divId w:val="1459840797"/>
          <w:trHeight w:val="150"/>
          <w:tblCellSpacing w:w="0" w:type="dxa"/>
        </w:trPr>
        <w:tc>
          <w:tcPr>
            <w:tcW w:w="0" w:type="auto"/>
            <w:shd w:val="clear" w:color="auto" w:fill="FFFFFF"/>
            <w:vAlign w:val="bottom"/>
            <w:hideMark/>
          </w:tcPr>
          <w:p w14:paraId="0A620A7C" w14:textId="77777777" w:rsidR="00236301" w:rsidRDefault="00265296">
            <w:pPr>
              <w:pStyle w:val="NormalWeb"/>
              <w:spacing w:before="0" w:beforeAutospacing="0" w:after="0" w:afterAutospacing="0"/>
              <w:jc w:val="both"/>
              <w:rPr>
                <w:sz w:val="20"/>
                <w:szCs w:val="20"/>
              </w:rPr>
            </w:pPr>
            <w:r>
              <w:rPr>
                <w:sz w:val="20"/>
                <w:szCs w:val="20"/>
              </w:rPr>
              <w:t xml:space="preserve">ITEM 9. </w:t>
            </w:r>
          </w:p>
        </w:tc>
        <w:tc>
          <w:tcPr>
            <w:tcW w:w="0" w:type="auto"/>
            <w:shd w:val="clear" w:color="auto" w:fill="FFFFFF"/>
            <w:vAlign w:val="bottom"/>
            <w:hideMark/>
          </w:tcPr>
          <w:p w14:paraId="6E38DCBC" w14:textId="77777777" w:rsidR="00236301" w:rsidRDefault="00265296">
            <w:pPr>
              <w:pStyle w:val="NormalWeb"/>
              <w:spacing w:before="0" w:beforeAutospacing="0" w:after="0" w:afterAutospacing="0"/>
              <w:jc w:val="both"/>
              <w:rPr>
                <w:sz w:val="20"/>
                <w:szCs w:val="20"/>
              </w:rPr>
            </w:pPr>
            <w:r>
              <w:rPr>
                <w:sz w:val="20"/>
                <w:szCs w:val="20"/>
              </w:rPr>
              <w:t>Changes In and Disagreements With Accountants on Accounting and Financial Disclosure</w:t>
            </w:r>
          </w:p>
        </w:tc>
        <w:tc>
          <w:tcPr>
            <w:tcW w:w="0" w:type="auto"/>
            <w:shd w:val="clear" w:color="auto" w:fill="FFFFFF"/>
            <w:vAlign w:val="bottom"/>
            <w:hideMark/>
          </w:tcPr>
          <w:p w14:paraId="16790026" w14:textId="77777777" w:rsidR="00236301" w:rsidRDefault="00236301">
            <w:pPr>
              <w:rPr>
                <w:sz w:val="20"/>
                <w:szCs w:val="20"/>
              </w:rPr>
            </w:pPr>
          </w:p>
        </w:tc>
        <w:tc>
          <w:tcPr>
            <w:tcW w:w="0" w:type="auto"/>
            <w:shd w:val="clear" w:color="auto" w:fill="FFFFFF"/>
            <w:vAlign w:val="bottom"/>
            <w:hideMark/>
          </w:tcPr>
          <w:p w14:paraId="3B07825A"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2A209AA7" w14:textId="77777777" w:rsidR="00236301" w:rsidRDefault="00265296">
            <w:pPr>
              <w:pStyle w:val="NormalWeb"/>
              <w:spacing w:before="0" w:beforeAutospacing="0" w:after="0" w:afterAutospacing="0"/>
              <w:jc w:val="right"/>
              <w:rPr>
                <w:sz w:val="20"/>
                <w:szCs w:val="20"/>
              </w:rPr>
            </w:pPr>
            <w:r>
              <w:rPr>
                <w:sz w:val="20"/>
                <w:szCs w:val="20"/>
              </w:rPr>
              <w:t>15</w:t>
            </w:r>
          </w:p>
        </w:tc>
        <w:tc>
          <w:tcPr>
            <w:tcW w:w="0" w:type="auto"/>
            <w:shd w:val="clear" w:color="auto" w:fill="FFFFFF"/>
            <w:vAlign w:val="bottom"/>
            <w:hideMark/>
          </w:tcPr>
          <w:p w14:paraId="3FD9B7FC" w14:textId="77777777" w:rsidR="00236301" w:rsidRDefault="00236301">
            <w:pPr>
              <w:rPr>
                <w:sz w:val="20"/>
                <w:szCs w:val="20"/>
              </w:rPr>
            </w:pPr>
          </w:p>
        </w:tc>
      </w:tr>
      <w:tr w:rsidR="00236301" w14:paraId="1C6213C1" w14:textId="77777777">
        <w:trPr>
          <w:divId w:val="1459840797"/>
          <w:trHeight w:val="150"/>
          <w:tblCellSpacing w:w="0" w:type="dxa"/>
        </w:trPr>
        <w:tc>
          <w:tcPr>
            <w:tcW w:w="0" w:type="auto"/>
            <w:shd w:val="clear" w:color="auto" w:fill="CCEEFF"/>
            <w:vAlign w:val="bottom"/>
            <w:hideMark/>
          </w:tcPr>
          <w:p w14:paraId="63E461A6" w14:textId="77777777" w:rsidR="00236301" w:rsidRDefault="00265296">
            <w:pPr>
              <w:pStyle w:val="NormalWeb"/>
              <w:spacing w:before="0" w:beforeAutospacing="0" w:after="0" w:afterAutospacing="0"/>
              <w:jc w:val="both"/>
              <w:rPr>
                <w:sz w:val="20"/>
                <w:szCs w:val="20"/>
              </w:rPr>
            </w:pPr>
            <w:r>
              <w:rPr>
                <w:sz w:val="20"/>
                <w:szCs w:val="20"/>
              </w:rPr>
              <w:t xml:space="preserve">ITEM 9A. </w:t>
            </w:r>
          </w:p>
        </w:tc>
        <w:tc>
          <w:tcPr>
            <w:tcW w:w="0" w:type="auto"/>
            <w:shd w:val="clear" w:color="auto" w:fill="CCEEFF"/>
            <w:vAlign w:val="bottom"/>
            <w:hideMark/>
          </w:tcPr>
          <w:p w14:paraId="4B83005C" w14:textId="77777777" w:rsidR="00236301" w:rsidRDefault="00265296">
            <w:pPr>
              <w:pStyle w:val="NormalWeb"/>
              <w:spacing w:before="0" w:beforeAutospacing="0" w:after="0" w:afterAutospacing="0"/>
              <w:jc w:val="both"/>
              <w:rPr>
                <w:sz w:val="20"/>
                <w:szCs w:val="20"/>
              </w:rPr>
            </w:pPr>
            <w:r>
              <w:rPr>
                <w:sz w:val="20"/>
                <w:szCs w:val="20"/>
              </w:rPr>
              <w:t>Controls and Procedures</w:t>
            </w:r>
          </w:p>
        </w:tc>
        <w:tc>
          <w:tcPr>
            <w:tcW w:w="0" w:type="auto"/>
            <w:shd w:val="clear" w:color="auto" w:fill="CCEEFF"/>
            <w:vAlign w:val="bottom"/>
            <w:hideMark/>
          </w:tcPr>
          <w:p w14:paraId="7BB1A834" w14:textId="77777777" w:rsidR="00236301" w:rsidRDefault="00236301">
            <w:pPr>
              <w:rPr>
                <w:sz w:val="20"/>
                <w:szCs w:val="20"/>
              </w:rPr>
            </w:pPr>
          </w:p>
        </w:tc>
        <w:tc>
          <w:tcPr>
            <w:tcW w:w="0" w:type="auto"/>
            <w:shd w:val="clear" w:color="auto" w:fill="CCEEFF"/>
            <w:vAlign w:val="bottom"/>
            <w:hideMark/>
          </w:tcPr>
          <w:p w14:paraId="698ECA79" w14:textId="77777777" w:rsidR="00236301" w:rsidRDefault="00236301">
            <w:pPr>
              <w:spacing w:beforeAutospacing="1" w:afterAutospacing="1"/>
              <w:jc w:val="both"/>
              <w:rPr>
                <w:rFonts w:eastAsia="Times New Roman"/>
                <w:sz w:val="20"/>
                <w:szCs w:val="20"/>
              </w:rPr>
            </w:pPr>
          </w:p>
        </w:tc>
        <w:tc>
          <w:tcPr>
            <w:tcW w:w="0" w:type="auto"/>
            <w:shd w:val="clear" w:color="auto" w:fill="CCEEFF"/>
            <w:vAlign w:val="bottom"/>
            <w:hideMark/>
          </w:tcPr>
          <w:p w14:paraId="25FA8044" w14:textId="77777777" w:rsidR="00236301" w:rsidRDefault="00265296">
            <w:pPr>
              <w:pStyle w:val="NormalWeb"/>
              <w:spacing w:before="0" w:beforeAutospacing="0" w:after="0" w:afterAutospacing="0"/>
              <w:jc w:val="right"/>
              <w:rPr>
                <w:sz w:val="20"/>
                <w:szCs w:val="20"/>
              </w:rPr>
            </w:pPr>
            <w:r>
              <w:rPr>
                <w:sz w:val="20"/>
                <w:szCs w:val="20"/>
              </w:rPr>
              <w:t>15</w:t>
            </w:r>
          </w:p>
        </w:tc>
        <w:tc>
          <w:tcPr>
            <w:tcW w:w="0" w:type="auto"/>
            <w:shd w:val="clear" w:color="auto" w:fill="CCEEFF"/>
            <w:vAlign w:val="bottom"/>
            <w:hideMark/>
          </w:tcPr>
          <w:p w14:paraId="1617714B" w14:textId="77777777" w:rsidR="00236301" w:rsidRDefault="00236301">
            <w:pPr>
              <w:rPr>
                <w:sz w:val="20"/>
                <w:szCs w:val="20"/>
              </w:rPr>
            </w:pPr>
          </w:p>
        </w:tc>
      </w:tr>
      <w:tr w:rsidR="00236301" w14:paraId="23678358" w14:textId="77777777">
        <w:trPr>
          <w:divId w:val="1459840797"/>
          <w:trHeight w:val="150"/>
          <w:tblCellSpacing w:w="0" w:type="dxa"/>
        </w:trPr>
        <w:tc>
          <w:tcPr>
            <w:tcW w:w="0" w:type="auto"/>
            <w:shd w:val="clear" w:color="auto" w:fill="FFFFFF"/>
            <w:vAlign w:val="bottom"/>
            <w:hideMark/>
          </w:tcPr>
          <w:p w14:paraId="799C8DDB" w14:textId="77777777" w:rsidR="00236301" w:rsidRDefault="00265296">
            <w:pPr>
              <w:pStyle w:val="NormalWeb"/>
              <w:spacing w:before="0" w:beforeAutospacing="0" w:after="0" w:afterAutospacing="0"/>
              <w:jc w:val="both"/>
              <w:rPr>
                <w:sz w:val="20"/>
                <w:szCs w:val="20"/>
              </w:rPr>
            </w:pPr>
            <w:r>
              <w:rPr>
                <w:sz w:val="20"/>
                <w:szCs w:val="20"/>
              </w:rPr>
              <w:t xml:space="preserve">ITEM 9B. </w:t>
            </w:r>
          </w:p>
        </w:tc>
        <w:tc>
          <w:tcPr>
            <w:tcW w:w="0" w:type="auto"/>
            <w:shd w:val="clear" w:color="auto" w:fill="FFFFFF"/>
            <w:vAlign w:val="bottom"/>
            <w:hideMark/>
          </w:tcPr>
          <w:p w14:paraId="05FAF3FD" w14:textId="77777777" w:rsidR="00236301" w:rsidRDefault="00265296">
            <w:pPr>
              <w:pStyle w:val="NormalWeb"/>
              <w:spacing w:before="0" w:beforeAutospacing="0" w:after="0" w:afterAutospacing="0"/>
              <w:jc w:val="both"/>
              <w:rPr>
                <w:sz w:val="20"/>
                <w:szCs w:val="20"/>
              </w:rPr>
            </w:pPr>
            <w:r>
              <w:rPr>
                <w:sz w:val="20"/>
                <w:szCs w:val="20"/>
              </w:rPr>
              <w:t>Other Information</w:t>
            </w:r>
          </w:p>
        </w:tc>
        <w:tc>
          <w:tcPr>
            <w:tcW w:w="0" w:type="auto"/>
            <w:shd w:val="clear" w:color="auto" w:fill="FFFFFF"/>
            <w:vAlign w:val="bottom"/>
            <w:hideMark/>
          </w:tcPr>
          <w:p w14:paraId="076ED3E8" w14:textId="77777777" w:rsidR="00236301" w:rsidRDefault="00236301">
            <w:pPr>
              <w:rPr>
                <w:sz w:val="20"/>
                <w:szCs w:val="20"/>
              </w:rPr>
            </w:pPr>
          </w:p>
        </w:tc>
        <w:tc>
          <w:tcPr>
            <w:tcW w:w="0" w:type="auto"/>
            <w:shd w:val="clear" w:color="auto" w:fill="FFFFFF"/>
            <w:vAlign w:val="bottom"/>
            <w:hideMark/>
          </w:tcPr>
          <w:p w14:paraId="41C41817"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1ADCF5A9" w14:textId="77777777" w:rsidR="00236301" w:rsidRDefault="00265296">
            <w:pPr>
              <w:pStyle w:val="NormalWeb"/>
              <w:spacing w:before="0" w:beforeAutospacing="0" w:after="0" w:afterAutospacing="0"/>
              <w:jc w:val="right"/>
              <w:rPr>
                <w:sz w:val="20"/>
                <w:szCs w:val="20"/>
              </w:rPr>
            </w:pPr>
            <w:r>
              <w:rPr>
                <w:sz w:val="20"/>
                <w:szCs w:val="20"/>
              </w:rPr>
              <w:t>16</w:t>
            </w:r>
          </w:p>
        </w:tc>
        <w:tc>
          <w:tcPr>
            <w:tcW w:w="0" w:type="auto"/>
            <w:shd w:val="clear" w:color="auto" w:fill="FFFFFF"/>
            <w:vAlign w:val="bottom"/>
            <w:hideMark/>
          </w:tcPr>
          <w:p w14:paraId="29C91CED" w14:textId="77777777" w:rsidR="00236301" w:rsidRDefault="00236301">
            <w:pPr>
              <w:rPr>
                <w:sz w:val="20"/>
                <w:szCs w:val="20"/>
              </w:rPr>
            </w:pPr>
          </w:p>
        </w:tc>
      </w:tr>
      <w:tr w:rsidR="00236301" w14:paraId="4F9C1CEF" w14:textId="77777777">
        <w:trPr>
          <w:divId w:val="1459840797"/>
          <w:trHeight w:val="150"/>
          <w:tblCellSpacing w:w="0" w:type="dxa"/>
        </w:trPr>
        <w:tc>
          <w:tcPr>
            <w:tcW w:w="0" w:type="auto"/>
            <w:shd w:val="clear" w:color="auto" w:fill="FFFFFF"/>
            <w:vAlign w:val="bottom"/>
            <w:hideMark/>
          </w:tcPr>
          <w:p w14:paraId="5526993D"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44D1A3EF"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398ADB72"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1F11732B"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7B7BE86C" w14:textId="77777777" w:rsidR="00236301" w:rsidRDefault="00265296">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14:paraId="5B907317" w14:textId="77777777" w:rsidR="00236301" w:rsidRDefault="00236301">
            <w:pPr>
              <w:rPr>
                <w:sz w:val="20"/>
                <w:szCs w:val="20"/>
              </w:rPr>
            </w:pPr>
          </w:p>
        </w:tc>
      </w:tr>
      <w:tr w:rsidR="00236301" w14:paraId="449FFE83" w14:textId="77777777">
        <w:trPr>
          <w:divId w:val="1459840797"/>
          <w:trHeight w:val="150"/>
          <w:tblCellSpacing w:w="0" w:type="dxa"/>
        </w:trPr>
        <w:tc>
          <w:tcPr>
            <w:tcW w:w="0" w:type="auto"/>
            <w:shd w:val="clear" w:color="auto" w:fill="FFFFFF"/>
            <w:vAlign w:val="bottom"/>
            <w:hideMark/>
          </w:tcPr>
          <w:p w14:paraId="330EE606" w14:textId="77777777" w:rsidR="00236301" w:rsidRDefault="00265296">
            <w:pPr>
              <w:pStyle w:val="NormalWeb"/>
              <w:spacing w:before="0" w:beforeAutospacing="0" w:after="0" w:afterAutospacing="0"/>
              <w:jc w:val="both"/>
              <w:rPr>
                <w:sz w:val="20"/>
                <w:szCs w:val="20"/>
              </w:rPr>
            </w:pPr>
            <w:r>
              <w:rPr>
                <w:b/>
                <w:bCs/>
                <w:sz w:val="20"/>
                <w:szCs w:val="20"/>
              </w:rPr>
              <w:t>PART III</w:t>
            </w:r>
          </w:p>
        </w:tc>
        <w:tc>
          <w:tcPr>
            <w:tcW w:w="0" w:type="auto"/>
            <w:shd w:val="clear" w:color="auto" w:fill="FFFFFF"/>
            <w:vAlign w:val="bottom"/>
            <w:hideMark/>
          </w:tcPr>
          <w:p w14:paraId="5D9B4EEB" w14:textId="77777777" w:rsidR="00236301" w:rsidRDefault="00236301">
            <w:pPr>
              <w:rPr>
                <w:sz w:val="20"/>
                <w:szCs w:val="20"/>
              </w:rPr>
            </w:pPr>
          </w:p>
        </w:tc>
        <w:tc>
          <w:tcPr>
            <w:tcW w:w="0" w:type="auto"/>
            <w:shd w:val="clear" w:color="auto" w:fill="FFFFFF"/>
            <w:vAlign w:val="bottom"/>
            <w:hideMark/>
          </w:tcPr>
          <w:p w14:paraId="2A2F65F0"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7766767C"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30DC6C22" w14:textId="77777777" w:rsidR="00236301" w:rsidRDefault="00265296">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14:paraId="132D1C36" w14:textId="77777777" w:rsidR="00236301" w:rsidRDefault="00236301">
            <w:pPr>
              <w:rPr>
                <w:sz w:val="20"/>
                <w:szCs w:val="20"/>
              </w:rPr>
            </w:pPr>
          </w:p>
        </w:tc>
      </w:tr>
      <w:tr w:rsidR="00236301" w14:paraId="435FB9C3" w14:textId="77777777">
        <w:trPr>
          <w:divId w:val="1459840797"/>
          <w:tblCellSpacing w:w="0" w:type="dxa"/>
        </w:trPr>
        <w:tc>
          <w:tcPr>
            <w:tcW w:w="0" w:type="auto"/>
            <w:shd w:val="clear" w:color="auto" w:fill="FFFFFF"/>
            <w:vAlign w:val="center"/>
            <w:hideMark/>
          </w:tcPr>
          <w:p w14:paraId="48F3B896"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48FD39E5"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5A2D325"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428AFAD3"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8C535F5"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70B3F8E1" w14:textId="77777777" w:rsidR="00236301" w:rsidRDefault="00265296">
            <w:pPr>
              <w:pStyle w:val="NormalWeb"/>
              <w:spacing w:before="0" w:beforeAutospacing="0" w:after="0" w:afterAutospacing="0"/>
              <w:jc w:val="both"/>
              <w:rPr>
                <w:sz w:val="20"/>
                <w:szCs w:val="20"/>
              </w:rPr>
            </w:pPr>
            <w:r>
              <w:rPr>
                <w:sz w:val="20"/>
                <w:szCs w:val="20"/>
              </w:rPr>
              <w:t> </w:t>
            </w:r>
          </w:p>
        </w:tc>
      </w:tr>
      <w:tr w:rsidR="00236301" w14:paraId="346C6A3E" w14:textId="77777777">
        <w:trPr>
          <w:divId w:val="1459840797"/>
          <w:trHeight w:val="150"/>
          <w:tblCellSpacing w:w="0" w:type="dxa"/>
        </w:trPr>
        <w:tc>
          <w:tcPr>
            <w:tcW w:w="0" w:type="auto"/>
            <w:shd w:val="clear" w:color="auto" w:fill="CCEEFF"/>
            <w:vAlign w:val="bottom"/>
            <w:hideMark/>
          </w:tcPr>
          <w:p w14:paraId="4A664894" w14:textId="77777777" w:rsidR="00236301" w:rsidRDefault="00265296">
            <w:pPr>
              <w:pStyle w:val="NormalWeb"/>
              <w:spacing w:before="0" w:beforeAutospacing="0" w:after="0" w:afterAutospacing="0"/>
              <w:jc w:val="both"/>
              <w:rPr>
                <w:sz w:val="20"/>
                <w:szCs w:val="20"/>
              </w:rPr>
            </w:pPr>
            <w:r>
              <w:rPr>
                <w:sz w:val="20"/>
                <w:szCs w:val="20"/>
              </w:rPr>
              <w:t xml:space="preserve">ITEM 10. </w:t>
            </w:r>
          </w:p>
        </w:tc>
        <w:tc>
          <w:tcPr>
            <w:tcW w:w="0" w:type="auto"/>
            <w:shd w:val="clear" w:color="auto" w:fill="CCEEFF"/>
            <w:vAlign w:val="bottom"/>
            <w:hideMark/>
          </w:tcPr>
          <w:p w14:paraId="50FB2E55" w14:textId="77777777" w:rsidR="00236301" w:rsidRDefault="00265296">
            <w:pPr>
              <w:pStyle w:val="NormalWeb"/>
              <w:spacing w:before="0" w:beforeAutospacing="0" w:after="0" w:afterAutospacing="0"/>
              <w:jc w:val="both"/>
              <w:rPr>
                <w:sz w:val="20"/>
                <w:szCs w:val="20"/>
              </w:rPr>
            </w:pPr>
            <w:r>
              <w:rPr>
                <w:sz w:val="20"/>
                <w:szCs w:val="20"/>
              </w:rPr>
              <w:t>Directors, Executive Officers and Corporate Governance</w:t>
            </w:r>
          </w:p>
        </w:tc>
        <w:tc>
          <w:tcPr>
            <w:tcW w:w="0" w:type="auto"/>
            <w:shd w:val="clear" w:color="auto" w:fill="CCEEFF"/>
            <w:vAlign w:val="bottom"/>
            <w:hideMark/>
          </w:tcPr>
          <w:p w14:paraId="4F2D412E" w14:textId="77777777" w:rsidR="00236301" w:rsidRDefault="00236301">
            <w:pPr>
              <w:rPr>
                <w:sz w:val="20"/>
                <w:szCs w:val="20"/>
              </w:rPr>
            </w:pPr>
          </w:p>
        </w:tc>
        <w:tc>
          <w:tcPr>
            <w:tcW w:w="0" w:type="auto"/>
            <w:shd w:val="clear" w:color="auto" w:fill="CCEEFF"/>
            <w:vAlign w:val="bottom"/>
            <w:hideMark/>
          </w:tcPr>
          <w:p w14:paraId="162A546F" w14:textId="77777777" w:rsidR="00236301" w:rsidRDefault="00236301">
            <w:pPr>
              <w:spacing w:beforeAutospacing="1" w:afterAutospacing="1"/>
              <w:jc w:val="both"/>
              <w:rPr>
                <w:rFonts w:eastAsia="Times New Roman"/>
                <w:sz w:val="20"/>
                <w:szCs w:val="20"/>
              </w:rPr>
            </w:pPr>
          </w:p>
        </w:tc>
        <w:tc>
          <w:tcPr>
            <w:tcW w:w="0" w:type="auto"/>
            <w:shd w:val="clear" w:color="auto" w:fill="CCEEFF"/>
            <w:vAlign w:val="bottom"/>
            <w:hideMark/>
          </w:tcPr>
          <w:p w14:paraId="70F5EE2E" w14:textId="77777777" w:rsidR="00236301" w:rsidRDefault="00265296">
            <w:pPr>
              <w:pStyle w:val="NormalWeb"/>
              <w:spacing w:before="0" w:beforeAutospacing="0" w:after="0" w:afterAutospacing="0"/>
              <w:jc w:val="right"/>
              <w:rPr>
                <w:sz w:val="20"/>
                <w:szCs w:val="20"/>
              </w:rPr>
            </w:pPr>
            <w:r>
              <w:rPr>
                <w:sz w:val="20"/>
                <w:szCs w:val="20"/>
              </w:rPr>
              <w:t>16</w:t>
            </w:r>
          </w:p>
        </w:tc>
        <w:tc>
          <w:tcPr>
            <w:tcW w:w="0" w:type="auto"/>
            <w:shd w:val="clear" w:color="auto" w:fill="CCEEFF"/>
            <w:vAlign w:val="bottom"/>
            <w:hideMark/>
          </w:tcPr>
          <w:p w14:paraId="25BF3BF8" w14:textId="77777777" w:rsidR="00236301" w:rsidRDefault="00236301">
            <w:pPr>
              <w:rPr>
                <w:sz w:val="20"/>
                <w:szCs w:val="20"/>
              </w:rPr>
            </w:pPr>
          </w:p>
        </w:tc>
      </w:tr>
      <w:tr w:rsidR="00236301" w14:paraId="0A5A1C2E" w14:textId="77777777">
        <w:trPr>
          <w:divId w:val="1459840797"/>
          <w:trHeight w:val="150"/>
          <w:tblCellSpacing w:w="0" w:type="dxa"/>
        </w:trPr>
        <w:tc>
          <w:tcPr>
            <w:tcW w:w="0" w:type="auto"/>
            <w:shd w:val="clear" w:color="auto" w:fill="FFFFFF"/>
            <w:vAlign w:val="bottom"/>
            <w:hideMark/>
          </w:tcPr>
          <w:p w14:paraId="3E349B80" w14:textId="77777777" w:rsidR="00236301" w:rsidRDefault="00265296">
            <w:pPr>
              <w:pStyle w:val="NormalWeb"/>
              <w:spacing w:before="0" w:beforeAutospacing="0" w:after="0" w:afterAutospacing="0"/>
              <w:jc w:val="both"/>
              <w:rPr>
                <w:sz w:val="20"/>
                <w:szCs w:val="20"/>
              </w:rPr>
            </w:pPr>
            <w:r>
              <w:rPr>
                <w:sz w:val="20"/>
                <w:szCs w:val="20"/>
              </w:rPr>
              <w:t xml:space="preserve">ITEM 11. </w:t>
            </w:r>
          </w:p>
        </w:tc>
        <w:tc>
          <w:tcPr>
            <w:tcW w:w="0" w:type="auto"/>
            <w:shd w:val="clear" w:color="auto" w:fill="FFFFFF"/>
            <w:vAlign w:val="bottom"/>
            <w:hideMark/>
          </w:tcPr>
          <w:p w14:paraId="033E4237" w14:textId="77777777" w:rsidR="00236301" w:rsidRDefault="00265296">
            <w:pPr>
              <w:pStyle w:val="NormalWeb"/>
              <w:spacing w:before="0" w:beforeAutospacing="0" w:after="0" w:afterAutospacing="0"/>
              <w:jc w:val="both"/>
              <w:rPr>
                <w:sz w:val="20"/>
                <w:szCs w:val="20"/>
              </w:rPr>
            </w:pPr>
            <w:r>
              <w:rPr>
                <w:sz w:val="20"/>
                <w:szCs w:val="20"/>
              </w:rPr>
              <w:t>Executive Compensation</w:t>
            </w:r>
          </w:p>
        </w:tc>
        <w:tc>
          <w:tcPr>
            <w:tcW w:w="0" w:type="auto"/>
            <w:shd w:val="clear" w:color="auto" w:fill="FFFFFF"/>
            <w:vAlign w:val="bottom"/>
            <w:hideMark/>
          </w:tcPr>
          <w:p w14:paraId="067EDAC0" w14:textId="77777777" w:rsidR="00236301" w:rsidRDefault="00236301">
            <w:pPr>
              <w:rPr>
                <w:sz w:val="20"/>
                <w:szCs w:val="20"/>
              </w:rPr>
            </w:pPr>
          </w:p>
        </w:tc>
        <w:tc>
          <w:tcPr>
            <w:tcW w:w="0" w:type="auto"/>
            <w:shd w:val="clear" w:color="auto" w:fill="FFFFFF"/>
            <w:vAlign w:val="bottom"/>
            <w:hideMark/>
          </w:tcPr>
          <w:p w14:paraId="4B9AB604"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0945A61E" w14:textId="77777777" w:rsidR="00236301" w:rsidRDefault="00265296">
            <w:pPr>
              <w:pStyle w:val="NormalWeb"/>
              <w:spacing w:before="0" w:beforeAutospacing="0" w:after="0" w:afterAutospacing="0"/>
              <w:jc w:val="right"/>
              <w:rPr>
                <w:sz w:val="20"/>
                <w:szCs w:val="20"/>
              </w:rPr>
            </w:pPr>
            <w:r>
              <w:rPr>
                <w:sz w:val="20"/>
                <w:szCs w:val="20"/>
              </w:rPr>
              <w:t>17</w:t>
            </w:r>
          </w:p>
        </w:tc>
        <w:tc>
          <w:tcPr>
            <w:tcW w:w="0" w:type="auto"/>
            <w:shd w:val="clear" w:color="auto" w:fill="FFFFFF"/>
            <w:vAlign w:val="bottom"/>
            <w:hideMark/>
          </w:tcPr>
          <w:p w14:paraId="50027BF4" w14:textId="77777777" w:rsidR="00236301" w:rsidRDefault="00236301">
            <w:pPr>
              <w:rPr>
                <w:sz w:val="20"/>
                <w:szCs w:val="20"/>
              </w:rPr>
            </w:pPr>
          </w:p>
        </w:tc>
      </w:tr>
      <w:tr w:rsidR="00236301" w14:paraId="7FE58AB9" w14:textId="77777777">
        <w:trPr>
          <w:divId w:val="1459840797"/>
          <w:trHeight w:val="150"/>
          <w:tblCellSpacing w:w="0" w:type="dxa"/>
        </w:trPr>
        <w:tc>
          <w:tcPr>
            <w:tcW w:w="0" w:type="auto"/>
            <w:shd w:val="clear" w:color="auto" w:fill="CCEEFF"/>
            <w:vAlign w:val="bottom"/>
            <w:hideMark/>
          </w:tcPr>
          <w:p w14:paraId="3DF7D0B3" w14:textId="77777777" w:rsidR="00236301" w:rsidRDefault="00265296">
            <w:pPr>
              <w:pStyle w:val="NormalWeb"/>
              <w:spacing w:before="0" w:beforeAutospacing="0" w:after="0" w:afterAutospacing="0"/>
              <w:jc w:val="both"/>
              <w:rPr>
                <w:sz w:val="20"/>
                <w:szCs w:val="20"/>
              </w:rPr>
            </w:pPr>
            <w:r>
              <w:rPr>
                <w:sz w:val="20"/>
                <w:szCs w:val="20"/>
              </w:rPr>
              <w:t xml:space="preserve">ITEM 12. </w:t>
            </w:r>
          </w:p>
        </w:tc>
        <w:tc>
          <w:tcPr>
            <w:tcW w:w="0" w:type="auto"/>
            <w:shd w:val="clear" w:color="auto" w:fill="CCEEFF"/>
            <w:vAlign w:val="bottom"/>
            <w:hideMark/>
          </w:tcPr>
          <w:p w14:paraId="670E4183" w14:textId="77777777" w:rsidR="00236301" w:rsidRDefault="00265296">
            <w:pPr>
              <w:pStyle w:val="NormalWeb"/>
              <w:spacing w:before="0" w:beforeAutospacing="0" w:after="0" w:afterAutospacing="0"/>
              <w:jc w:val="both"/>
              <w:rPr>
                <w:sz w:val="20"/>
                <w:szCs w:val="20"/>
              </w:rPr>
            </w:pPr>
            <w:r>
              <w:rPr>
                <w:sz w:val="20"/>
                <w:szCs w:val="20"/>
              </w:rPr>
              <w:t>Security Ownership of Certain Beneficial Owners and Management and Related Stockholder Matters</w:t>
            </w:r>
          </w:p>
        </w:tc>
        <w:tc>
          <w:tcPr>
            <w:tcW w:w="0" w:type="auto"/>
            <w:shd w:val="clear" w:color="auto" w:fill="CCEEFF"/>
            <w:vAlign w:val="bottom"/>
            <w:hideMark/>
          </w:tcPr>
          <w:p w14:paraId="28F41A4E" w14:textId="77777777" w:rsidR="00236301" w:rsidRDefault="00236301">
            <w:pPr>
              <w:rPr>
                <w:sz w:val="20"/>
                <w:szCs w:val="20"/>
              </w:rPr>
            </w:pPr>
          </w:p>
        </w:tc>
        <w:tc>
          <w:tcPr>
            <w:tcW w:w="0" w:type="auto"/>
            <w:shd w:val="clear" w:color="auto" w:fill="CCEEFF"/>
            <w:vAlign w:val="bottom"/>
            <w:hideMark/>
          </w:tcPr>
          <w:p w14:paraId="37A1E267" w14:textId="77777777" w:rsidR="00236301" w:rsidRDefault="00236301">
            <w:pPr>
              <w:spacing w:beforeAutospacing="1" w:afterAutospacing="1"/>
              <w:jc w:val="both"/>
              <w:rPr>
                <w:rFonts w:eastAsia="Times New Roman"/>
                <w:sz w:val="20"/>
                <w:szCs w:val="20"/>
              </w:rPr>
            </w:pPr>
          </w:p>
        </w:tc>
        <w:tc>
          <w:tcPr>
            <w:tcW w:w="0" w:type="auto"/>
            <w:shd w:val="clear" w:color="auto" w:fill="CCEEFF"/>
            <w:vAlign w:val="bottom"/>
            <w:hideMark/>
          </w:tcPr>
          <w:p w14:paraId="58774882" w14:textId="77777777" w:rsidR="00236301" w:rsidRDefault="00265296">
            <w:pPr>
              <w:pStyle w:val="NormalWeb"/>
              <w:spacing w:before="0" w:beforeAutospacing="0" w:after="0" w:afterAutospacing="0"/>
              <w:jc w:val="right"/>
              <w:rPr>
                <w:sz w:val="20"/>
                <w:szCs w:val="20"/>
              </w:rPr>
            </w:pPr>
            <w:r>
              <w:rPr>
                <w:sz w:val="20"/>
                <w:szCs w:val="20"/>
              </w:rPr>
              <w:t>19</w:t>
            </w:r>
          </w:p>
        </w:tc>
        <w:tc>
          <w:tcPr>
            <w:tcW w:w="0" w:type="auto"/>
            <w:shd w:val="clear" w:color="auto" w:fill="CCEEFF"/>
            <w:vAlign w:val="bottom"/>
            <w:hideMark/>
          </w:tcPr>
          <w:p w14:paraId="73257AD1" w14:textId="77777777" w:rsidR="00236301" w:rsidRDefault="00236301">
            <w:pPr>
              <w:rPr>
                <w:sz w:val="20"/>
                <w:szCs w:val="20"/>
              </w:rPr>
            </w:pPr>
          </w:p>
        </w:tc>
      </w:tr>
      <w:tr w:rsidR="00236301" w14:paraId="71911929" w14:textId="77777777">
        <w:trPr>
          <w:divId w:val="1459840797"/>
          <w:trHeight w:val="150"/>
          <w:tblCellSpacing w:w="0" w:type="dxa"/>
        </w:trPr>
        <w:tc>
          <w:tcPr>
            <w:tcW w:w="0" w:type="auto"/>
            <w:shd w:val="clear" w:color="auto" w:fill="FFFFFF"/>
            <w:vAlign w:val="bottom"/>
            <w:hideMark/>
          </w:tcPr>
          <w:p w14:paraId="2407E381" w14:textId="77777777" w:rsidR="00236301" w:rsidRDefault="00265296">
            <w:pPr>
              <w:pStyle w:val="NormalWeb"/>
              <w:spacing w:before="0" w:beforeAutospacing="0" w:after="0" w:afterAutospacing="0"/>
              <w:jc w:val="both"/>
              <w:rPr>
                <w:sz w:val="20"/>
                <w:szCs w:val="20"/>
              </w:rPr>
            </w:pPr>
            <w:r>
              <w:rPr>
                <w:sz w:val="20"/>
                <w:szCs w:val="20"/>
              </w:rPr>
              <w:t xml:space="preserve">ITEM 13. </w:t>
            </w:r>
          </w:p>
        </w:tc>
        <w:tc>
          <w:tcPr>
            <w:tcW w:w="0" w:type="auto"/>
            <w:shd w:val="clear" w:color="auto" w:fill="FFFFFF"/>
            <w:vAlign w:val="bottom"/>
            <w:hideMark/>
          </w:tcPr>
          <w:p w14:paraId="5DAF8EEC" w14:textId="77777777" w:rsidR="00236301" w:rsidRDefault="00265296">
            <w:pPr>
              <w:pStyle w:val="NormalWeb"/>
              <w:spacing w:before="0" w:beforeAutospacing="0" w:after="0" w:afterAutospacing="0"/>
              <w:jc w:val="both"/>
              <w:rPr>
                <w:sz w:val="20"/>
                <w:szCs w:val="20"/>
              </w:rPr>
            </w:pPr>
            <w:r>
              <w:rPr>
                <w:sz w:val="20"/>
                <w:szCs w:val="20"/>
              </w:rPr>
              <w:t>Certain Relationships and Related Transactions, and Director Independence</w:t>
            </w:r>
          </w:p>
        </w:tc>
        <w:tc>
          <w:tcPr>
            <w:tcW w:w="0" w:type="auto"/>
            <w:shd w:val="clear" w:color="auto" w:fill="FFFFFF"/>
            <w:vAlign w:val="bottom"/>
            <w:hideMark/>
          </w:tcPr>
          <w:p w14:paraId="330AE361" w14:textId="77777777" w:rsidR="00236301" w:rsidRDefault="00236301">
            <w:pPr>
              <w:rPr>
                <w:sz w:val="20"/>
                <w:szCs w:val="20"/>
              </w:rPr>
            </w:pPr>
          </w:p>
        </w:tc>
        <w:tc>
          <w:tcPr>
            <w:tcW w:w="0" w:type="auto"/>
            <w:shd w:val="clear" w:color="auto" w:fill="FFFFFF"/>
            <w:vAlign w:val="bottom"/>
            <w:hideMark/>
          </w:tcPr>
          <w:p w14:paraId="43C1CC71"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7CCCDA79" w14:textId="77777777" w:rsidR="00236301" w:rsidRDefault="00265296">
            <w:pPr>
              <w:pStyle w:val="NormalWeb"/>
              <w:spacing w:before="0" w:beforeAutospacing="0" w:after="0" w:afterAutospacing="0"/>
              <w:jc w:val="right"/>
              <w:rPr>
                <w:sz w:val="20"/>
                <w:szCs w:val="20"/>
              </w:rPr>
            </w:pPr>
            <w:r>
              <w:rPr>
                <w:sz w:val="20"/>
                <w:szCs w:val="20"/>
              </w:rPr>
              <w:t>19</w:t>
            </w:r>
          </w:p>
        </w:tc>
        <w:tc>
          <w:tcPr>
            <w:tcW w:w="0" w:type="auto"/>
            <w:shd w:val="clear" w:color="auto" w:fill="FFFFFF"/>
            <w:vAlign w:val="bottom"/>
            <w:hideMark/>
          </w:tcPr>
          <w:p w14:paraId="59E6427A" w14:textId="77777777" w:rsidR="00236301" w:rsidRDefault="00236301">
            <w:pPr>
              <w:rPr>
                <w:sz w:val="20"/>
                <w:szCs w:val="20"/>
              </w:rPr>
            </w:pPr>
          </w:p>
        </w:tc>
      </w:tr>
      <w:tr w:rsidR="00236301" w14:paraId="6E61A4A8" w14:textId="77777777">
        <w:trPr>
          <w:divId w:val="1459840797"/>
          <w:trHeight w:val="150"/>
          <w:tblCellSpacing w:w="0" w:type="dxa"/>
        </w:trPr>
        <w:tc>
          <w:tcPr>
            <w:tcW w:w="0" w:type="auto"/>
            <w:shd w:val="clear" w:color="auto" w:fill="CCEEFF"/>
            <w:vAlign w:val="bottom"/>
            <w:hideMark/>
          </w:tcPr>
          <w:p w14:paraId="667F27BD" w14:textId="77777777" w:rsidR="00236301" w:rsidRDefault="00265296">
            <w:pPr>
              <w:pStyle w:val="NormalWeb"/>
              <w:spacing w:before="0" w:beforeAutospacing="0" w:after="0" w:afterAutospacing="0"/>
              <w:jc w:val="both"/>
              <w:rPr>
                <w:sz w:val="20"/>
                <w:szCs w:val="20"/>
              </w:rPr>
            </w:pPr>
            <w:r>
              <w:rPr>
                <w:sz w:val="20"/>
                <w:szCs w:val="20"/>
              </w:rPr>
              <w:t xml:space="preserve">ITEM 14. </w:t>
            </w:r>
          </w:p>
        </w:tc>
        <w:tc>
          <w:tcPr>
            <w:tcW w:w="0" w:type="auto"/>
            <w:shd w:val="clear" w:color="auto" w:fill="CCEEFF"/>
            <w:vAlign w:val="bottom"/>
            <w:hideMark/>
          </w:tcPr>
          <w:p w14:paraId="37246297" w14:textId="77777777" w:rsidR="00236301" w:rsidRDefault="00265296">
            <w:pPr>
              <w:pStyle w:val="NormalWeb"/>
              <w:spacing w:before="0" w:beforeAutospacing="0" w:after="0" w:afterAutospacing="0"/>
              <w:jc w:val="both"/>
              <w:rPr>
                <w:sz w:val="20"/>
                <w:szCs w:val="20"/>
              </w:rPr>
            </w:pPr>
            <w:r>
              <w:rPr>
                <w:sz w:val="20"/>
                <w:szCs w:val="20"/>
              </w:rPr>
              <w:t>Principal Accountant Fees and Services</w:t>
            </w:r>
          </w:p>
        </w:tc>
        <w:tc>
          <w:tcPr>
            <w:tcW w:w="0" w:type="auto"/>
            <w:shd w:val="clear" w:color="auto" w:fill="CCEEFF"/>
            <w:vAlign w:val="bottom"/>
            <w:hideMark/>
          </w:tcPr>
          <w:p w14:paraId="09E70809" w14:textId="77777777" w:rsidR="00236301" w:rsidRDefault="00236301">
            <w:pPr>
              <w:rPr>
                <w:sz w:val="20"/>
                <w:szCs w:val="20"/>
              </w:rPr>
            </w:pPr>
          </w:p>
        </w:tc>
        <w:tc>
          <w:tcPr>
            <w:tcW w:w="0" w:type="auto"/>
            <w:shd w:val="clear" w:color="auto" w:fill="CCEEFF"/>
            <w:vAlign w:val="bottom"/>
            <w:hideMark/>
          </w:tcPr>
          <w:p w14:paraId="7F2BF830" w14:textId="77777777" w:rsidR="00236301" w:rsidRDefault="00236301">
            <w:pPr>
              <w:spacing w:beforeAutospacing="1" w:afterAutospacing="1"/>
              <w:jc w:val="both"/>
              <w:rPr>
                <w:rFonts w:eastAsia="Times New Roman"/>
                <w:sz w:val="20"/>
                <w:szCs w:val="20"/>
              </w:rPr>
            </w:pPr>
          </w:p>
        </w:tc>
        <w:tc>
          <w:tcPr>
            <w:tcW w:w="0" w:type="auto"/>
            <w:shd w:val="clear" w:color="auto" w:fill="CCEEFF"/>
            <w:vAlign w:val="bottom"/>
            <w:hideMark/>
          </w:tcPr>
          <w:p w14:paraId="54DD4F1C" w14:textId="77777777" w:rsidR="00236301" w:rsidRDefault="00265296">
            <w:pPr>
              <w:pStyle w:val="NormalWeb"/>
              <w:spacing w:before="0" w:beforeAutospacing="0" w:after="0" w:afterAutospacing="0"/>
              <w:jc w:val="right"/>
              <w:rPr>
                <w:sz w:val="20"/>
                <w:szCs w:val="20"/>
              </w:rPr>
            </w:pPr>
            <w:r>
              <w:rPr>
                <w:sz w:val="20"/>
                <w:szCs w:val="20"/>
              </w:rPr>
              <w:t>19</w:t>
            </w:r>
          </w:p>
        </w:tc>
        <w:tc>
          <w:tcPr>
            <w:tcW w:w="0" w:type="auto"/>
            <w:shd w:val="clear" w:color="auto" w:fill="CCEEFF"/>
            <w:vAlign w:val="bottom"/>
            <w:hideMark/>
          </w:tcPr>
          <w:p w14:paraId="4930C0CF" w14:textId="77777777" w:rsidR="00236301" w:rsidRDefault="00236301">
            <w:pPr>
              <w:rPr>
                <w:sz w:val="20"/>
                <w:szCs w:val="20"/>
              </w:rPr>
            </w:pPr>
          </w:p>
        </w:tc>
      </w:tr>
      <w:tr w:rsidR="00236301" w14:paraId="6D043B5D" w14:textId="77777777">
        <w:trPr>
          <w:divId w:val="1459840797"/>
          <w:trHeight w:val="150"/>
          <w:tblCellSpacing w:w="0" w:type="dxa"/>
        </w:trPr>
        <w:tc>
          <w:tcPr>
            <w:tcW w:w="0" w:type="auto"/>
            <w:shd w:val="clear" w:color="auto" w:fill="FFFFFF"/>
            <w:vAlign w:val="bottom"/>
            <w:hideMark/>
          </w:tcPr>
          <w:p w14:paraId="32F6AA9B"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3BFBD39A"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46F185E0"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3AA9AE6E"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1A957373" w14:textId="77777777" w:rsidR="00236301" w:rsidRDefault="00265296">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14:paraId="727AD32C" w14:textId="77777777" w:rsidR="00236301" w:rsidRDefault="00236301">
            <w:pPr>
              <w:rPr>
                <w:sz w:val="20"/>
                <w:szCs w:val="20"/>
              </w:rPr>
            </w:pPr>
          </w:p>
        </w:tc>
      </w:tr>
      <w:tr w:rsidR="00236301" w14:paraId="255945EF" w14:textId="77777777">
        <w:trPr>
          <w:divId w:val="1459840797"/>
          <w:trHeight w:val="150"/>
          <w:tblCellSpacing w:w="0" w:type="dxa"/>
        </w:trPr>
        <w:tc>
          <w:tcPr>
            <w:tcW w:w="0" w:type="auto"/>
            <w:shd w:val="clear" w:color="auto" w:fill="FFFFFF"/>
            <w:vAlign w:val="bottom"/>
            <w:hideMark/>
          </w:tcPr>
          <w:p w14:paraId="56664CB4" w14:textId="77777777" w:rsidR="00236301" w:rsidRDefault="00265296">
            <w:pPr>
              <w:pStyle w:val="NormalWeb"/>
              <w:spacing w:before="0" w:beforeAutospacing="0" w:after="0" w:afterAutospacing="0"/>
              <w:jc w:val="both"/>
              <w:rPr>
                <w:sz w:val="20"/>
                <w:szCs w:val="20"/>
              </w:rPr>
            </w:pPr>
            <w:r>
              <w:rPr>
                <w:b/>
                <w:bCs/>
                <w:sz w:val="20"/>
                <w:szCs w:val="20"/>
              </w:rPr>
              <w:lastRenderedPageBreak/>
              <w:t>PART IV</w:t>
            </w:r>
          </w:p>
        </w:tc>
        <w:tc>
          <w:tcPr>
            <w:tcW w:w="0" w:type="auto"/>
            <w:shd w:val="clear" w:color="auto" w:fill="FFFFFF"/>
            <w:vAlign w:val="bottom"/>
            <w:hideMark/>
          </w:tcPr>
          <w:p w14:paraId="2D998137" w14:textId="77777777" w:rsidR="00236301" w:rsidRDefault="00236301">
            <w:pPr>
              <w:rPr>
                <w:sz w:val="20"/>
                <w:szCs w:val="20"/>
              </w:rPr>
            </w:pPr>
          </w:p>
        </w:tc>
        <w:tc>
          <w:tcPr>
            <w:tcW w:w="0" w:type="auto"/>
            <w:shd w:val="clear" w:color="auto" w:fill="FFFFFF"/>
            <w:vAlign w:val="bottom"/>
            <w:hideMark/>
          </w:tcPr>
          <w:p w14:paraId="74FEDD10"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7073B6F4" w14:textId="77777777" w:rsidR="00236301" w:rsidRDefault="00236301">
            <w:pPr>
              <w:spacing w:beforeAutospacing="1" w:afterAutospacing="1"/>
              <w:jc w:val="both"/>
              <w:rPr>
                <w:rFonts w:eastAsia="Times New Roman"/>
                <w:sz w:val="20"/>
                <w:szCs w:val="20"/>
              </w:rPr>
            </w:pPr>
          </w:p>
        </w:tc>
        <w:tc>
          <w:tcPr>
            <w:tcW w:w="0" w:type="auto"/>
            <w:shd w:val="clear" w:color="auto" w:fill="FFFFFF"/>
            <w:vAlign w:val="bottom"/>
            <w:hideMark/>
          </w:tcPr>
          <w:p w14:paraId="223EB07E" w14:textId="77777777" w:rsidR="00236301" w:rsidRDefault="00265296">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14:paraId="5A05A35E" w14:textId="77777777" w:rsidR="00236301" w:rsidRDefault="00236301">
            <w:pPr>
              <w:rPr>
                <w:sz w:val="20"/>
                <w:szCs w:val="20"/>
              </w:rPr>
            </w:pPr>
          </w:p>
        </w:tc>
      </w:tr>
      <w:tr w:rsidR="00236301" w14:paraId="16541B24" w14:textId="77777777">
        <w:trPr>
          <w:divId w:val="1459840797"/>
          <w:tblCellSpacing w:w="0" w:type="dxa"/>
        </w:trPr>
        <w:tc>
          <w:tcPr>
            <w:tcW w:w="0" w:type="auto"/>
            <w:vAlign w:val="center"/>
            <w:hideMark/>
          </w:tcPr>
          <w:p w14:paraId="6CDCB42B"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vAlign w:val="center"/>
            <w:hideMark/>
          </w:tcPr>
          <w:p w14:paraId="69F8C75C"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vAlign w:val="center"/>
            <w:hideMark/>
          </w:tcPr>
          <w:p w14:paraId="08050A70"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vAlign w:val="center"/>
            <w:hideMark/>
          </w:tcPr>
          <w:p w14:paraId="446E2163"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vAlign w:val="center"/>
            <w:hideMark/>
          </w:tcPr>
          <w:p w14:paraId="50039D5E"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vAlign w:val="center"/>
            <w:hideMark/>
          </w:tcPr>
          <w:p w14:paraId="35B90726" w14:textId="77777777" w:rsidR="00236301" w:rsidRDefault="00265296">
            <w:pPr>
              <w:pStyle w:val="NormalWeb"/>
              <w:spacing w:before="0" w:beforeAutospacing="0" w:after="0" w:afterAutospacing="0"/>
              <w:jc w:val="both"/>
              <w:rPr>
                <w:sz w:val="20"/>
                <w:szCs w:val="20"/>
              </w:rPr>
            </w:pPr>
            <w:r>
              <w:rPr>
                <w:sz w:val="20"/>
                <w:szCs w:val="20"/>
              </w:rPr>
              <w:t> </w:t>
            </w:r>
          </w:p>
        </w:tc>
      </w:tr>
      <w:tr w:rsidR="00236301" w14:paraId="78FF7B53" w14:textId="77777777">
        <w:trPr>
          <w:divId w:val="1459840797"/>
          <w:trHeight w:val="150"/>
          <w:tblCellSpacing w:w="0" w:type="dxa"/>
        </w:trPr>
        <w:tc>
          <w:tcPr>
            <w:tcW w:w="0" w:type="auto"/>
            <w:shd w:val="clear" w:color="auto" w:fill="CCEEFF"/>
            <w:vAlign w:val="bottom"/>
            <w:hideMark/>
          </w:tcPr>
          <w:p w14:paraId="33A201DB" w14:textId="77777777" w:rsidR="00236301" w:rsidRDefault="00265296">
            <w:pPr>
              <w:pStyle w:val="NormalWeb"/>
              <w:spacing w:before="0" w:beforeAutospacing="0" w:after="0" w:afterAutospacing="0"/>
              <w:jc w:val="both"/>
              <w:rPr>
                <w:sz w:val="20"/>
                <w:szCs w:val="20"/>
              </w:rPr>
            </w:pPr>
            <w:r>
              <w:rPr>
                <w:sz w:val="20"/>
                <w:szCs w:val="20"/>
              </w:rPr>
              <w:t xml:space="preserve">ITEM 15. </w:t>
            </w:r>
          </w:p>
        </w:tc>
        <w:tc>
          <w:tcPr>
            <w:tcW w:w="0" w:type="auto"/>
            <w:shd w:val="clear" w:color="auto" w:fill="CCEEFF"/>
            <w:vAlign w:val="bottom"/>
            <w:hideMark/>
          </w:tcPr>
          <w:p w14:paraId="692DF6DD" w14:textId="77777777" w:rsidR="00236301" w:rsidRDefault="00265296">
            <w:pPr>
              <w:pStyle w:val="NormalWeb"/>
              <w:spacing w:before="0" w:beforeAutospacing="0" w:after="0" w:afterAutospacing="0"/>
              <w:jc w:val="both"/>
              <w:rPr>
                <w:sz w:val="20"/>
                <w:szCs w:val="20"/>
              </w:rPr>
            </w:pPr>
            <w:r>
              <w:rPr>
                <w:sz w:val="20"/>
                <w:szCs w:val="20"/>
              </w:rPr>
              <w:t>Exhibits and Financial Statement Schedules</w:t>
            </w:r>
          </w:p>
        </w:tc>
        <w:tc>
          <w:tcPr>
            <w:tcW w:w="0" w:type="auto"/>
            <w:shd w:val="clear" w:color="auto" w:fill="CCEEFF"/>
            <w:vAlign w:val="bottom"/>
            <w:hideMark/>
          </w:tcPr>
          <w:p w14:paraId="236460FE" w14:textId="77777777" w:rsidR="00236301" w:rsidRDefault="00236301">
            <w:pPr>
              <w:rPr>
                <w:sz w:val="20"/>
                <w:szCs w:val="20"/>
              </w:rPr>
            </w:pPr>
          </w:p>
        </w:tc>
        <w:tc>
          <w:tcPr>
            <w:tcW w:w="0" w:type="auto"/>
            <w:shd w:val="clear" w:color="auto" w:fill="CCEEFF"/>
            <w:vAlign w:val="bottom"/>
            <w:hideMark/>
          </w:tcPr>
          <w:p w14:paraId="5CE9A88B" w14:textId="77777777" w:rsidR="00236301" w:rsidRDefault="00236301">
            <w:pPr>
              <w:spacing w:beforeAutospacing="1" w:afterAutospacing="1"/>
              <w:jc w:val="both"/>
              <w:rPr>
                <w:rFonts w:eastAsia="Times New Roman"/>
                <w:sz w:val="20"/>
                <w:szCs w:val="20"/>
              </w:rPr>
            </w:pPr>
          </w:p>
        </w:tc>
        <w:tc>
          <w:tcPr>
            <w:tcW w:w="0" w:type="auto"/>
            <w:shd w:val="clear" w:color="auto" w:fill="CCEEFF"/>
            <w:vAlign w:val="bottom"/>
            <w:hideMark/>
          </w:tcPr>
          <w:p w14:paraId="0AF3C626" w14:textId="77777777" w:rsidR="00236301" w:rsidRDefault="00265296">
            <w:pPr>
              <w:pStyle w:val="NormalWeb"/>
              <w:spacing w:before="0" w:beforeAutospacing="0" w:after="0" w:afterAutospacing="0"/>
              <w:jc w:val="right"/>
              <w:rPr>
                <w:sz w:val="20"/>
                <w:szCs w:val="20"/>
              </w:rPr>
            </w:pPr>
            <w:r>
              <w:rPr>
                <w:sz w:val="20"/>
                <w:szCs w:val="20"/>
              </w:rPr>
              <w:t>21</w:t>
            </w:r>
          </w:p>
        </w:tc>
        <w:tc>
          <w:tcPr>
            <w:tcW w:w="0" w:type="auto"/>
            <w:shd w:val="clear" w:color="auto" w:fill="CCEEFF"/>
            <w:vAlign w:val="bottom"/>
            <w:hideMark/>
          </w:tcPr>
          <w:p w14:paraId="450557A0" w14:textId="77777777" w:rsidR="00236301" w:rsidRDefault="00236301">
            <w:pPr>
              <w:rPr>
                <w:sz w:val="20"/>
                <w:szCs w:val="20"/>
              </w:rPr>
            </w:pPr>
          </w:p>
        </w:tc>
      </w:tr>
      <w:tr w:rsidR="00236301" w14:paraId="3150E30A" w14:textId="77777777">
        <w:trPr>
          <w:divId w:val="1459840797"/>
          <w:tblCellSpacing w:w="0" w:type="dxa"/>
        </w:trPr>
        <w:tc>
          <w:tcPr>
            <w:tcW w:w="0" w:type="auto"/>
            <w:shd w:val="clear" w:color="auto" w:fill="FFFFFF"/>
            <w:vAlign w:val="center"/>
            <w:hideMark/>
          </w:tcPr>
          <w:p w14:paraId="7C2B160F"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BFA47D8" w14:textId="77777777" w:rsidR="00236301" w:rsidRDefault="00265296">
            <w:pPr>
              <w:pStyle w:val="NormalWeb"/>
              <w:spacing w:before="0" w:beforeAutospacing="0" w:after="0" w:afterAutospacing="0"/>
              <w:jc w:val="both"/>
              <w:rPr>
                <w:sz w:val="20"/>
                <w:szCs w:val="20"/>
              </w:rPr>
            </w:pPr>
            <w:r>
              <w:rPr>
                <w:sz w:val="20"/>
                <w:szCs w:val="20"/>
              </w:rPr>
              <w:t>Signatures</w:t>
            </w:r>
          </w:p>
        </w:tc>
        <w:tc>
          <w:tcPr>
            <w:tcW w:w="0" w:type="auto"/>
            <w:shd w:val="clear" w:color="auto" w:fill="FFFFFF"/>
            <w:vAlign w:val="center"/>
            <w:hideMark/>
          </w:tcPr>
          <w:p w14:paraId="6BA2EFD3"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4D760FE" w14:textId="77777777" w:rsidR="00236301" w:rsidRDefault="00265296">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5B0ED7B" w14:textId="72CA00B3" w:rsidR="00236301" w:rsidRDefault="00265296" w:rsidP="0011057E">
            <w:pPr>
              <w:pStyle w:val="NormalWeb"/>
              <w:spacing w:before="0" w:beforeAutospacing="0" w:after="0" w:afterAutospacing="0"/>
              <w:jc w:val="right"/>
              <w:rPr>
                <w:sz w:val="20"/>
                <w:szCs w:val="20"/>
              </w:rPr>
            </w:pPr>
            <w:r>
              <w:rPr>
                <w:sz w:val="20"/>
                <w:szCs w:val="20"/>
              </w:rPr>
              <w:t>2</w:t>
            </w:r>
            <w:r w:rsidR="0011057E">
              <w:rPr>
                <w:sz w:val="20"/>
                <w:szCs w:val="20"/>
              </w:rPr>
              <w:t>3</w:t>
            </w:r>
          </w:p>
        </w:tc>
        <w:tc>
          <w:tcPr>
            <w:tcW w:w="0" w:type="auto"/>
            <w:shd w:val="clear" w:color="auto" w:fill="FFFFFF"/>
            <w:vAlign w:val="center"/>
            <w:hideMark/>
          </w:tcPr>
          <w:p w14:paraId="5F934F2A" w14:textId="77777777" w:rsidR="00236301" w:rsidRDefault="00265296">
            <w:pPr>
              <w:pStyle w:val="NormalWeb"/>
              <w:spacing w:before="0" w:beforeAutospacing="0" w:after="0" w:afterAutospacing="0"/>
              <w:jc w:val="both"/>
              <w:rPr>
                <w:sz w:val="20"/>
                <w:szCs w:val="20"/>
              </w:rPr>
            </w:pPr>
            <w:r>
              <w:rPr>
                <w:sz w:val="20"/>
                <w:szCs w:val="20"/>
              </w:rPr>
              <w:t> </w:t>
            </w:r>
          </w:p>
        </w:tc>
      </w:tr>
      <w:tr w:rsidR="00236301" w14:paraId="34B23D3B" w14:textId="77777777">
        <w:trPr>
          <w:divId w:val="1459840797"/>
          <w:trHeight w:val="150"/>
          <w:tblCellSpacing w:w="0" w:type="dxa"/>
        </w:trPr>
        <w:tc>
          <w:tcPr>
            <w:tcW w:w="0" w:type="auto"/>
            <w:shd w:val="clear" w:color="auto" w:fill="CCEEFF"/>
            <w:vAlign w:val="bottom"/>
            <w:hideMark/>
          </w:tcPr>
          <w:p w14:paraId="0722B5E0" w14:textId="77777777" w:rsidR="00236301" w:rsidRDefault="00236301">
            <w:pPr>
              <w:rPr>
                <w:sz w:val="20"/>
                <w:szCs w:val="20"/>
              </w:rPr>
            </w:pPr>
          </w:p>
        </w:tc>
        <w:tc>
          <w:tcPr>
            <w:tcW w:w="0" w:type="auto"/>
            <w:shd w:val="clear" w:color="auto" w:fill="CCEEFF"/>
            <w:vAlign w:val="bottom"/>
            <w:hideMark/>
          </w:tcPr>
          <w:p w14:paraId="59A8118A" w14:textId="77777777" w:rsidR="00236301" w:rsidRDefault="00265296">
            <w:pPr>
              <w:pStyle w:val="NormalWeb"/>
              <w:spacing w:before="0" w:beforeAutospacing="0" w:after="0" w:afterAutospacing="0"/>
              <w:jc w:val="both"/>
              <w:rPr>
                <w:sz w:val="20"/>
                <w:szCs w:val="20"/>
              </w:rPr>
            </w:pPr>
            <w:r>
              <w:rPr>
                <w:sz w:val="20"/>
                <w:szCs w:val="20"/>
              </w:rPr>
              <w:t>Exhibit F: Financial Statements and Schedules</w:t>
            </w:r>
          </w:p>
        </w:tc>
        <w:tc>
          <w:tcPr>
            <w:tcW w:w="0" w:type="auto"/>
            <w:shd w:val="clear" w:color="auto" w:fill="CCEEFF"/>
            <w:vAlign w:val="bottom"/>
            <w:hideMark/>
          </w:tcPr>
          <w:p w14:paraId="1FB5B9B2" w14:textId="77777777" w:rsidR="00236301" w:rsidRDefault="00236301">
            <w:pPr>
              <w:rPr>
                <w:sz w:val="20"/>
                <w:szCs w:val="20"/>
              </w:rPr>
            </w:pPr>
          </w:p>
        </w:tc>
        <w:tc>
          <w:tcPr>
            <w:tcW w:w="0" w:type="auto"/>
            <w:shd w:val="clear" w:color="auto" w:fill="CCEEFF"/>
            <w:vAlign w:val="bottom"/>
            <w:hideMark/>
          </w:tcPr>
          <w:p w14:paraId="19A19DFC" w14:textId="77777777" w:rsidR="00236301" w:rsidRDefault="00236301">
            <w:pPr>
              <w:spacing w:beforeAutospacing="1" w:afterAutospacing="1"/>
              <w:jc w:val="both"/>
              <w:rPr>
                <w:rFonts w:eastAsia="Times New Roman"/>
                <w:sz w:val="20"/>
                <w:szCs w:val="20"/>
              </w:rPr>
            </w:pPr>
          </w:p>
        </w:tc>
        <w:tc>
          <w:tcPr>
            <w:tcW w:w="0" w:type="auto"/>
            <w:shd w:val="clear" w:color="auto" w:fill="CCEEFF"/>
            <w:vAlign w:val="bottom"/>
            <w:hideMark/>
          </w:tcPr>
          <w:p w14:paraId="6836887D" w14:textId="218DF1CF" w:rsidR="00236301" w:rsidRDefault="00265296" w:rsidP="0011057E">
            <w:pPr>
              <w:pStyle w:val="NormalWeb"/>
              <w:spacing w:before="0" w:beforeAutospacing="0" w:after="0" w:afterAutospacing="0"/>
              <w:jc w:val="right"/>
              <w:rPr>
                <w:sz w:val="20"/>
                <w:szCs w:val="20"/>
              </w:rPr>
            </w:pPr>
            <w:r>
              <w:rPr>
                <w:sz w:val="20"/>
                <w:szCs w:val="20"/>
              </w:rPr>
              <w:t>2</w:t>
            </w:r>
            <w:r w:rsidR="0011057E">
              <w:rPr>
                <w:sz w:val="20"/>
                <w:szCs w:val="20"/>
              </w:rPr>
              <w:t>4</w:t>
            </w:r>
          </w:p>
        </w:tc>
        <w:tc>
          <w:tcPr>
            <w:tcW w:w="0" w:type="auto"/>
            <w:shd w:val="clear" w:color="auto" w:fill="CCEEFF"/>
            <w:vAlign w:val="bottom"/>
            <w:hideMark/>
          </w:tcPr>
          <w:p w14:paraId="0F1F093E" w14:textId="77777777" w:rsidR="00236301" w:rsidRDefault="00236301">
            <w:pPr>
              <w:rPr>
                <w:sz w:val="20"/>
                <w:szCs w:val="20"/>
              </w:rPr>
            </w:pPr>
          </w:p>
        </w:tc>
      </w:tr>
    </w:tbl>
    <w:p w14:paraId="40713A49" w14:textId="77777777" w:rsidR="00236301" w:rsidRDefault="00265296">
      <w:pPr>
        <w:pStyle w:val="NormalWeb"/>
        <w:spacing w:after="240" w:afterAutospacing="0"/>
        <w:jc w:val="center"/>
        <w:divId w:val="1459840797"/>
      </w:pPr>
      <w:r>
        <w:rPr>
          <w:b/>
          <w:bCs/>
          <w:sz w:val="20"/>
          <w:szCs w:val="20"/>
        </w:rPr>
        <w:t>Cautionary Language Regarding Forward-Looking Statements and Industry Data</w:t>
      </w:r>
    </w:p>
    <w:p w14:paraId="52D5DC35" w14:textId="77777777" w:rsidR="00236301" w:rsidRDefault="00265296">
      <w:pPr>
        <w:pStyle w:val="NormalWeb"/>
        <w:spacing w:after="240" w:afterAutospacing="0"/>
        <w:divId w:val="1459840797"/>
      </w:pPr>
      <w:r>
        <w:rPr>
          <w:sz w:val="20"/>
          <w:szCs w:val="20"/>
        </w:rPr>
        <w:t>This Annual Report on Form 10-K contains “forward-looking statements”. Forward-looking statements are based upon our current assumptions, expectations and beliefs concerning future developments and their potential effect on our business. In some cases, you can identify forward-looking statements by the following words: “may,” “could,” “would,” “should,” “expect,” “intend,” “plan,” “anticipate,” “believe,” “approximately,” “estimate,” “predict,” “project,” “potential” or the negative of these terms or other comparable terminology, although the absence of these words does not necessarily mean that a statement is not forward-looking. This information may involve known and unknown risks, uncertainties and other factors which may cause our actual results, performance or achievements to be materially different from the future results, performance or achievements expressed or implied by any forward-looking statements.</w:t>
      </w:r>
    </w:p>
    <w:p w14:paraId="716DC75A" w14:textId="77777777" w:rsidR="00236301" w:rsidRDefault="00265296">
      <w:pPr>
        <w:pStyle w:val="NormalWeb"/>
        <w:spacing w:after="240" w:afterAutospacing="0"/>
        <w:divId w:val="1459840797"/>
      </w:pPr>
      <w:r>
        <w:rPr>
          <w:sz w:val="20"/>
          <w:szCs w:val="20"/>
        </w:rPr>
        <w:t>Factors that may cause or contribute actual results to differ from these forward-looking statements include, but are not limited to, the following:</w:t>
      </w:r>
    </w:p>
    <w:p w14:paraId="1B85A954" w14:textId="77777777" w:rsidR="00236301" w:rsidRDefault="00265296">
      <w:pPr>
        <w:pStyle w:val="NormalWeb"/>
        <w:spacing w:after="240" w:afterAutospacing="0"/>
        <w:divId w:val="1459840797"/>
      </w:pPr>
      <w:r>
        <w:rPr>
          <w:sz w:val="20"/>
          <w:szCs w:val="20"/>
        </w:rPr>
        <w:t xml:space="preserve">• all the risks inherent in the owning, buying, leasing, selling, or </w:t>
      </w:r>
      <w:r w:rsidR="001C3936">
        <w:rPr>
          <w:sz w:val="20"/>
          <w:szCs w:val="20"/>
        </w:rPr>
        <w:t>developing</w:t>
      </w:r>
      <w:r>
        <w:rPr>
          <w:sz w:val="20"/>
          <w:szCs w:val="20"/>
        </w:rPr>
        <w:t xml:space="preserve"> real estate or the real estate business;</w:t>
      </w:r>
    </w:p>
    <w:p w14:paraId="71BDC910" w14:textId="77777777" w:rsidR="00236301" w:rsidRDefault="00265296">
      <w:pPr>
        <w:pStyle w:val="NormalWeb"/>
        <w:spacing w:after="240" w:afterAutospacing="0"/>
        <w:divId w:val="1459840797"/>
      </w:pPr>
      <w:r>
        <w:rPr>
          <w:sz w:val="20"/>
          <w:szCs w:val="20"/>
        </w:rPr>
        <w:t xml:space="preserve">• </w:t>
      </w:r>
      <w:proofErr w:type="gramStart"/>
      <w:r>
        <w:rPr>
          <w:sz w:val="20"/>
          <w:szCs w:val="20"/>
        </w:rPr>
        <w:t>the</w:t>
      </w:r>
      <w:proofErr w:type="gramEnd"/>
      <w:r>
        <w:rPr>
          <w:sz w:val="20"/>
          <w:szCs w:val="20"/>
        </w:rPr>
        <w:t xml:space="preserve"> Company’s absence of significant sales or sales revenues, which make it difficult to predict future performance;</w:t>
      </w:r>
    </w:p>
    <w:p w14:paraId="18D76AF1" w14:textId="77777777" w:rsidR="00236301" w:rsidRDefault="00265296">
      <w:pPr>
        <w:pStyle w:val="NormalWeb"/>
        <w:spacing w:after="240" w:afterAutospacing="0"/>
        <w:divId w:val="1459840797"/>
      </w:pPr>
      <w:r>
        <w:rPr>
          <w:sz w:val="20"/>
          <w:szCs w:val="20"/>
        </w:rPr>
        <w:t>• the need to make multiple assumptions in preparing forecasts and projections of any kind, and significant difficulties in predicting and forecasting accurately the expenses likely to be incurred and the revenues likely to be generated in the Company’s future operations;</w:t>
      </w:r>
    </w:p>
    <w:p w14:paraId="1B2E6A68" w14:textId="77777777" w:rsidR="00236301" w:rsidRDefault="00265296">
      <w:pPr>
        <w:pStyle w:val="NormalWeb"/>
        <w:divId w:val="1459840797"/>
      </w:pPr>
      <w:r>
        <w:rPr>
          <w:sz w:val="20"/>
          <w:szCs w:val="20"/>
        </w:rPr>
        <w:t xml:space="preserve">• </w:t>
      </w:r>
      <w:proofErr w:type="gramStart"/>
      <w:r>
        <w:rPr>
          <w:sz w:val="20"/>
          <w:szCs w:val="20"/>
        </w:rPr>
        <w:t>significant</w:t>
      </w:r>
      <w:proofErr w:type="gramEnd"/>
      <w:r>
        <w:rPr>
          <w:sz w:val="20"/>
          <w:szCs w:val="20"/>
        </w:rPr>
        <w:t xml:space="preserve"> competition in the real estate leasing and development business;</w:t>
      </w:r>
    </w:p>
    <w:p w14:paraId="5EB4DCDD" w14:textId="77777777" w:rsidR="00236301" w:rsidRDefault="00265296">
      <w:pPr>
        <w:pStyle w:val="NormalWeb"/>
        <w:divId w:val="1459840797"/>
      </w:pPr>
      <w:r>
        <w:rPr>
          <w:sz w:val="20"/>
          <w:szCs w:val="20"/>
        </w:rPr>
        <w:t xml:space="preserve">• </w:t>
      </w:r>
      <w:proofErr w:type="gramStart"/>
      <w:r>
        <w:rPr>
          <w:sz w:val="20"/>
          <w:szCs w:val="20"/>
        </w:rPr>
        <w:t>the</w:t>
      </w:r>
      <w:proofErr w:type="gramEnd"/>
      <w:r>
        <w:rPr>
          <w:sz w:val="20"/>
          <w:szCs w:val="20"/>
        </w:rPr>
        <w:t xml:space="preserve"> risk that the Company will have difficulties executing its intended business plan;</w:t>
      </w:r>
    </w:p>
    <w:p w14:paraId="5B89F641" w14:textId="77777777" w:rsidR="00236301" w:rsidRDefault="00265296">
      <w:pPr>
        <w:pStyle w:val="NormalWeb"/>
        <w:divId w:val="1459840797"/>
      </w:pPr>
      <w:r>
        <w:rPr>
          <w:sz w:val="20"/>
          <w:szCs w:val="20"/>
        </w:rPr>
        <w:t xml:space="preserve">• </w:t>
      </w:r>
      <w:proofErr w:type="gramStart"/>
      <w:r>
        <w:rPr>
          <w:sz w:val="20"/>
          <w:szCs w:val="20"/>
        </w:rPr>
        <w:t>the</w:t>
      </w:r>
      <w:proofErr w:type="gramEnd"/>
      <w:r>
        <w:rPr>
          <w:sz w:val="20"/>
          <w:szCs w:val="20"/>
        </w:rPr>
        <w:t xml:space="preserve"> risk that the Company’s sole source of revenues may discontinue leasing, become insolvent, or not renew its relationship with the Company;</w:t>
      </w:r>
      <w:r>
        <w:rPr>
          <w:sz w:val="20"/>
          <w:szCs w:val="20"/>
        </w:rPr>
        <w:br/>
      </w:r>
      <w:r>
        <w:rPr>
          <w:sz w:val="20"/>
          <w:szCs w:val="20"/>
        </w:rPr>
        <w:br/>
      </w:r>
      <w:r>
        <w:rPr>
          <w:sz w:val="20"/>
          <w:szCs w:val="20"/>
        </w:rPr>
        <w:br/>
        <w:t>• potential barriers, risks, uncertainties and obstacles to the Company’s business plans;</w:t>
      </w:r>
    </w:p>
    <w:p w14:paraId="56B91200" w14:textId="77777777" w:rsidR="00236301" w:rsidRDefault="00265296">
      <w:pPr>
        <w:pStyle w:val="NormalWeb"/>
        <w:divId w:val="1459840797"/>
      </w:pPr>
      <w:r>
        <w:rPr>
          <w:sz w:val="20"/>
          <w:szCs w:val="20"/>
        </w:rPr>
        <w:t>• risks associated with the tightening or other adverse changes in the overall capital and credit markets and decreased availability of investment capital and/or credit, bank financing or other debt financing as and when needed or at favorable terms including fixed and/or low interest rates; and</w:t>
      </w:r>
    </w:p>
    <w:p w14:paraId="14F4638B" w14:textId="77777777" w:rsidR="00236301" w:rsidRDefault="00265296">
      <w:pPr>
        <w:pStyle w:val="NormalWeb"/>
        <w:spacing w:after="240" w:afterAutospacing="0"/>
        <w:divId w:val="1459840797"/>
      </w:pPr>
      <w:r>
        <w:rPr>
          <w:sz w:val="20"/>
          <w:szCs w:val="20"/>
        </w:rPr>
        <w:t xml:space="preserve">• </w:t>
      </w:r>
      <w:proofErr w:type="gramStart"/>
      <w:r>
        <w:rPr>
          <w:sz w:val="20"/>
          <w:szCs w:val="20"/>
        </w:rPr>
        <w:t>other</w:t>
      </w:r>
      <w:proofErr w:type="gramEnd"/>
      <w:r>
        <w:rPr>
          <w:sz w:val="20"/>
          <w:szCs w:val="20"/>
        </w:rPr>
        <w:t xml:space="preserve"> risks over which we have no control.</w:t>
      </w:r>
    </w:p>
    <w:p w14:paraId="47B258AD" w14:textId="77777777" w:rsidR="00EC58C6" w:rsidRDefault="00084F74" w:rsidP="00EC58C6">
      <w:pPr>
        <w:pStyle w:val="NormalWeb"/>
        <w:divId w:val="1459840797"/>
      </w:pPr>
      <w:hyperlink w:anchor="toc" w:history="1">
        <w:r w:rsidR="00EC58C6">
          <w:rPr>
            <w:rStyle w:val="Hyperlink"/>
            <w:b/>
            <w:bCs/>
            <w:sz w:val="20"/>
            <w:szCs w:val="20"/>
          </w:rPr>
          <w:t>Return to Table of Contents</w:t>
        </w:r>
      </w:hyperlink>
    </w:p>
    <w:p w14:paraId="55EB4B44" w14:textId="3EB355AE" w:rsidR="00EC58C6" w:rsidRPr="00EC58C6" w:rsidRDefault="00EC58C6" w:rsidP="00EC58C6">
      <w:pPr>
        <w:pStyle w:val="NormalWeb"/>
        <w:divId w:val="1459840797"/>
      </w:pPr>
      <w:r>
        <w:rPr>
          <w:b/>
          <w:bCs/>
          <w:sz w:val="20"/>
          <w:szCs w:val="20"/>
        </w:rPr>
        <w:t>1</w:t>
      </w:r>
      <w:r w:rsidR="00084F74">
        <w:rPr>
          <w:rFonts w:eastAsia="Times New Roman"/>
        </w:rPr>
        <w:pict w14:anchorId="0CEBA8AB">
          <v:rect id="_x0000_i1029" style="width:.05pt;height:1pt" o:hralign="center" o:hrstd="t" o:hrnoshade="t" o:hr="t" fillcolor="blue" stroked="f"/>
        </w:pict>
      </w:r>
    </w:p>
    <w:p w14:paraId="7E9B814B" w14:textId="77777777" w:rsidR="00236301" w:rsidRDefault="00265296">
      <w:pPr>
        <w:pStyle w:val="NormalWeb"/>
        <w:spacing w:after="240" w:afterAutospacing="0"/>
        <w:divId w:val="1459840797"/>
      </w:pPr>
      <w:r>
        <w:rPr>
          <w:sz w:val="20"/>
          <w:szCs w:val="20"/>
        </w:rPr>
        <w:t>All forward-looking statements speak only as of the date of this report. We undertake no obligation to update any forward-looking statements or other information contained herein. Stockholders and potential investors should not place undue reliance on these forward-looking statements. Although we believe that our plans, intentions and expectations reflected in or suggested by the forward-looking statements in this report are reasonable, we cannot assure stockholders and potential investors that these plans, intentions or expectations will be achieved. These cautionary statements qualify all forward-looking statements attributable to us or persons acting on our behalf.</w:t>
      </w:r>
    </w:p>
    <w:p w14:paraId="2EBC041F" w14:textId="77777777" w:rsidR="00236301" w:rsidRDefault="00265296">
      <w:pPr>
        <w:pStyle w:val="NormalWeb"/>
        <w:divId w:val="1459840797"/>
      </w:pPr>
      <w:r>
        <w:rPr>
          <w:sz w:val="20"/>
          <w:szCs w:val="20"/>
        </w:rPr>
        <w:t>Information regarding market and industry statistics contained in this report is included based on information available to us that we believe is accurate. It is generally based on academic and other publications that are not produced for purposes of securities offerings or economic analysis. Forecasts and other forward-looking information obtained from these sources are subject to the same qualifications and the additional uncertainties accompanying any estimates of future market size, revenue and market acceptance of products and services. Except as required by U.S. federal securities laws, we have no obligation to update forward-looking information to reflect actual results or changes in assumptions or other factors that could affect those statements.</w:t>
      </w:r>
    </w:p>
    <w:p w14:paraId="7DF6E60F" w14:textId="77777777" w:rsidR="00236301" w:rsidRDefault="00265296">
      <w:pPr>
        <w:pStyle w:val="NormalWeb"/>
        <w:divId w:val="1459840797"/>
      </w:pPr>
      <w:r>
        <w:rPr>
          <w:rFonts w:ascii="Arial" w:hAnsi="Arial" w:cs="Arial"/>
          <w:b/>
          <w:bCs/>
          <w:sz w:val="36"/>
          <w:szCs w:val="36"/>
        </w:rPr>
        <w:t>PART I</w:t>
      </w:r>
    </w:p>
    <w:p w14:paraId="03E4D4A0" w14:textId="77777777" w:rsidR="00236301" w:rsidRDefault="00265296">
      <w:pPr>
        <w:pStyle w:val="NormalWeb"/>
        <w:divId w:val="1459840797"/>
      </w:pPr>
      <w:bookmarkStart w:id="2" w:name="#item1"/>
      <w:bookmarkEnd w:id="2"/>
      <w:r>
        <w:rPr>
          <w:b/>
          <w:bCs/>
          <w:i/>
          <w:iCs/>
        </w:rPr>
        <w:t>ITEM 1- DESCRIPTION OF BUSINESS</w:t>
      </w:r>
    </w:p>
    <w:p w14:paraId="127BC7D4" w14:textId="77777777" w:rsidR="00236301" w:rsidRDefault="00265296">
      <w:pPr>
        <w:pStyle w:val="NormalWeb"/>
        <w:divId w:val="1459840797"/>
      </w:pPr>
      <w:r>
        <w:rPr>
          <w:b/>
          <w:bCs/>
          <w:sz w:val="20"/>
          <w:szCs w:val="20"/>
        </w:rPr>
        <w:t>GENERAL:</w:t>
      </w:r>
    </w:p>
    <w:p w14:paraId="31ADDADF" w14:textId="77777777" w:rsidR="00236301" w:rsidRDefault="00265296">
      <w:pPr>
        <w:pStyle w:val="NormalWeb"/>
        <w:divId w:val="1459840797"/>
      </w:pPr>
      <w:r>
        <w:rPr>
          <w:sz w:val="20"/>
          <w:szCs w:val="20"/>
        </w:rPr>
        <w:t>Advanced Oxygen Technologies, Inc. ("Advanced Oxygen Technologies", "AOXY", or the "Company") sole operations are derived from its wholly owned subsidiary Anton Nielsen Vojens, ApS ("ANV"). ANV is a Danish company that owns commercial real estate in Vojens, Denmark. ANV's revenues are derived solely from the lease revenue from its real estate. StatOil AS leases the facility from ANV. The lease expires in 2026.</w:t>
      </w:r>
    </w:p>
    <w:p w14:paraId="75B26218" w14:textId="77777777" w:rsidR="00236301" w:rsidRDefault="00265296">
      <w:pPr>
        <w:pStyle w:val="NormalWeb"/>
        <w:divId w:val="1459840797"/>
      </w:pPr>
      <w:r>
        <w:rPr>
          <w:sz w:val="20"/>
          <w:szCs w:val="20"/>
        </w:rPr>
        <w:t>AOXY, incorporated in Delaware in 1981 under the name Aquanautics Corporation, was, from 1985 until May 1995, a development stage specialty materials company producing new oxygen control technologies. From May of 1995 through December of 1997 AOXY had minimal operations and was seeking funding for operations and companies to which it could merge or acquire. In March of 1998 AOXY began operations in California. From 1998 through 2000, the business consisted of producing and selling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ANV.</w:t>
      </w:r>
    </w:p>
    <w:p w14:paraId="576A1EB0" w14:textId="77777777" w:rsidR="00236301" w:rsidRDefault="00265296">
      <w:pPr>
        <w:pStyle w:val="NormalWeb"/>
        <w:divId w:val="1459840797"/>
      </w:pPr>
      <w:r>
        <w:rPr>
          <w:b/>
          <w:bCs/>
          <w:sz w:val="20"/>
          <w:szCs w:val="20"/>
        </w:rPr>
        <w:t xml:space="preserve">HISTORY OF THE COMPANY: </w:t>
      </w:r>
    </w:p>
    <w:p w14:paraId="1D283C67" w14:textId="77777777" w:rsidR="00236301" w:rsidRDefault="00265296">
      <w:pPr>
        <w:pStyle w:val="NormalWeb"/>
        <w:divId w:val="1459840797"/>
      </w:pPr>
      <w:r>
        <w:rPr>
          <w:i/>
          <w:iCs/>
          <w:sz w:val="20"/>
          <w:szCs w:val="20"/>
        </w:rPr>
        <w:lastRenderedPageBreak/>
        <w:t>THE PATENT SALE</w:t>
      </w:r>
    </w:p>
    <w:p w14:paraId="2BA1F590" w14:textId="7FF9C058" w:rsidR="00236301" w:rsidRDefault="00265296">
      <w:pPr>
        <w:pStyle w:val="NormalWeb"/>
        <w:divId w:val="1459840797"/>
      </w:pPr>
      <w:r>
        <w:rPr>
          <w:sz w:val="20"/>
          <w:szCs w:val="20"/>
        </w:rPr>
        <w:t xml:space="preserve">On May 1, 1995, the Company sold its patents, and all related technology and intellectual property rights (collectively the "Patents Rights") to W. R. Grace &amp; Co. Conn., a Connecticut corporation ("Grace"). The price for the Patents Rights was $335,000, in cash, and a royalty until April 30, </w:t>
      </w:r>
      <w:r w:rsidR="005B4758">
        <w:rPr>
          <w:sz w:val="20"/>
          <w:szCs w:val="20"/>
        </w:rPr>
        <w:t>2007.</w:t>
      </w:r>
    </w:p>
    <w:p w14:paraId="7F566D5A" w14:textId="77777777" w:rsidR="00236301" w:rsidRDefault="00265296">
      <w:pPr>
        <w:pStyle w:val="NormalWeb"/>
        <w:divId w:val="1459840797"/>
      </w:pPr>
      <w:r>
        <w:rPr>
          <w:i/>
          <w:iCs/>
          <w:sz w:val="20"/>
          <w:szCs w:val="20"/>
        </w:rPr>
        <w:t>STOCK ACQUISITION AGREEMENT, 12/18/97</w:t>
      </w:r>
    </w:p>
    <w:p w14:paraId="31ADFFF2" w14:textId="77777777" w:rsidR="00236301" w:rsidRDefault="00265296">
      <w:pPr>
        <w:pStyle w:val="NormalWeb"/>
        <w:divId w:val="1459840797"/>
      </w:pPr>
      <w:r>
        <w:rPr>
          <w:sz w:val="20"/>
          <w:szCs w:val="20"/>
        </w:rPr>
        <w:t>Pursuant to a Stock Acquisition Agreement dated as of December 18, 1997, Advanced Oxygen Technologies, Inc. ("AOXY") has issued 23,750,00 shares of its common stock, par value $.01 per share for $60,000 cash plus consulting services rendered valued at $177,500, to Crossland, Ltd., ("Crossland"), Eastern Star, Ltd., ("Eastern Star"), Coastal Oil, Ltd. ("Coastal") and Crossland, Ltd. (Belize) ("CLB"). Crossland and Eastern Star, Ltd. are Bahamas corporations. Coastal Oil and CLB are Belize corporations.</w:t>
      </w:r>
      <w:r>
        <w:t xml:space="preserve"> </w:t>
      </w:r>
    </w:p>
    <w:p w14:paraId="7B40B044" w14:textId="77777777" w:rsidR="00236301" w:rsidRDefault="00084F74">
      <w:pPr>
        <w:pStyle w:val="NormalWeb"/>
        <w:divId w:val="1459840797"/>
      </w:pPr>
      <w:hyperlink w:anchor="toc" w:history="1">
        <w:r w:rsidR="00265296">
          <w:rPr>
            <w:rStyle w:val="Hyperlink"/>
            <w:b/>
            <w:bCs/>
            <w:sz w:val="20"/>
            <w:szCs w:val="20"/>
          </w:rPr>
          <w:t>Return to Table of Contents</w:t>
        </w:r>
      </w:hyperlink>
    </w:p>
    <w:p w14:paraId="7BB71A3C" w14:textId="77777777" w:rsidR="00236301" w:rsidRDefault="00265296">
      <w:pPr>
        <w:pStyle w:val="NormalWeb"/>
        <w:divId w:val="1459840797"/>
      </w:pPr>
      <w:r>
        <w:rPr>
          <w:b/>
          <w:bCs/>
          <w:sz w:val="20"/>
          <w:szCs w:val="20"/>
        </w:rPr>
        <w:t>2</w:t>
      </w:r>
    </w:p>
    <w:p w14:paraId="3A76619D" w14:textId="77777777" w:rsidR="00236301" w:rsidRDefault="00084F74">
      <w:pPr>
        <w:jc w:val="center"/>
        <w:divId w:val="1459840797"/>
        <w:rPr>
          <w:rFonts w:eastAsia="Times New Roman"/>
          <w:sz w:val="20"/>
          <w:szCs w:val="20"/>
        </w:rPr>
      </w:pPr>
      <w:r>
        <w:rPr>
          <w:rFonts w:eastAsia="Times New Roman"/>
          <w:sz w:val="20"/>
          <w:szCs w:val="20"/>
        </w:rPr>
        <w:pict w14:anchorId="4CB094A6">
          <v:rect id="_x0000_i1030" style="width:.05pt;height:1pt" o:hralign="center" o:hrstd="t" o:hrnoshade="t" o:hr="t" fillcolor="blue" stroked="f"/>
        </w:pict>
      </w:r>
    </w:p>
    <w:p w14:paraId="6A8B9A93" w14:textId="77777777" w:rsidR="00236301" w:rsidRDefault="00265296">
      <w:pPr>
        <w:pStyle w:val="NormalWeb"/>
        <w:divId w:val="1459840797"/>
      </w:pPr>
      <w:r>
        <w:rPr>
          <w:i/>
          <w:iCs/>
          <w:sz w:val="20"/>
          <w:szCs w:val="20"/>
        </w:rPr>
        <w:t>PURCHASE AGREEMENT, 12/18/97</w:t>
      </w:r>
    </w:p>
    <w:p w14:paraId="08B5F1BE" w14:textId="77777777" w:rsidR="00236301" w:rsidRDefault="00265296">
      <w:pPr>
        <w:pStyle w:val="NormalWeb"/>
        <w:divId w:val="1459840797"/>
      </w:pPr>
      <w:r>
        <w:rPr>
          <w:sz w:val="20"/>
          <w:szCs w:val="20"/>
        </w:rPr>
        <w:t>Pursuant to a Purchase Agreement dated as of December 18, 1997, CLB, Triton-International, Ltd., ("Triton"), a Bahamas corporation, and Robert E. Wolfe purchased an aggregate of 800,000 shares of AOXY's common stock from Edelson Technology Partners II, L.P. ("ETPII") for $10,000 cash. AOXY issued 450,000 shares of its capital stock to ETPII in exchange for consulting services to be rendered. The general partner of ETPII is Harry Edelson, Chairman of the Board and Chief Executive Officer of AOXY prior to the transactions resulting in the change of control (the "Transactions"). Prior to the Transactions Mr. Edelson directly or indirectly owned approximately 25% of the issued and outstanding common stock of AOXY, and following the completion of Mr. Edelson's consultancy he will own approximately 1.5%.</w:t>
      </w:r>
    </w:p>
    <w:tbl>
      <w:tblPr>
        <w:tblW w:w="7740" w:type="dxa"/>
        <w:tblCellSpacing w:w="0" w:type="dxa"/>
        <w:tblCellMar>
          <w:left w:w="0" w:type="dxa"/>
          <w:right w:w="0" w:type="dxa"/>
        </w:tblCellMar>
        <w:tblLook w:val="04A0" w:firstRow="1" w:lastRow="0" w:firstColumn="1" w:lastColumn="0" w:noHBand="0" w:noVBand="1"/>
      </w:tblPr>
      <w:tblGrid>
        <w:gridCol w:w="2554"/>
        <w:gridCol w:w="2477"/>
        <w:gridCol w:w="2709"/>
      </w:tblGrid>
      <w:tr w:rsidR="00236301" w14:paraId="453A1D7F" w14:textId="77777777">
        <w:trPr>
          <w:divId w:val="1459840797"/>
          <w:tblCellSpacing w:w="0" w:type="dxa"/>
        </w:trPr>
        <w:tc>
          <w:tcPr>
            <w:tcW w:w="1650" w:type="pct"/>
            <w:shd w:val="clear" w:color="auto" w:fill="CCEEFF"/>
            <w:hideMark/>
          </w:tcPr>
          <w:p w14:paraId="4707AE8F" w14:textId="77777777" w:rsidR="00236301" w:rsidRDefault="00265296">
            <w:pPr>
              <w:pStyle w:val="NormalWeb"/>
            </w:pPr>
            <w:r>
              <w:rPr>
                <w:b/>
                <w:bCs/>
                <w:sz w:val="20"/>
                <w:szCs w:val="20"/>
              </w:rPr>
              <w:t>Company/Individual</w:t>
            </w:r>
          </w:p>
        </w:tc>
        <w:tc>
          <w:tcPr>
            <w:tcW w:w="1600" w:type="pct"/>
            <w:shd w:val="clear" w:color="auto" w:fill="CCEEFF"/>
            <w:vAlign w:val="bottom"/>
            <w:hideMark/>
          </w:tcPr>
          <w:p w14:paraId="0CC0880F" w14:textId="77777777" w:rsidR="00236301" w:rsidRDefault="00265296">
            <w:pPr>
              <w:pStyle w:val="NormalWeb"/>
              <w:jc w:val="right"/>
            </w:pPr>
            <w:r>
              <w:rPr>
                <w:b/>
                <w:bCs/>
                <w:sz w:val="20"/>
                <w:szCs w:val="20"/>
              </w:rPr>
              <w:t>Number of Shares</w:t>
            </w:r>
          </w:p>
        </w:tc>
        <w:tc>
          <w:tcPr>
            <w:tcW w:w="1750" w:type="pct"/>
            <w:shd w:val="clear" w:color="auto" w:fill="CCEEFF"/>
            <w:vAlign w:val="bottom"/>
            <w:hideMark/>
          </w:tcPr>
          <w:p w14:paraId="51304E56" w14:textId="77777777" w:rsidR="00236301" w:rsidRDefault="00265296">
            <w:pPr>
              <w:pStyle w:val="NormalWeb"/>
              <w:jc w:val="right"/>
            </w:pPr>
            <w:r>
              <w:rPr>
                <w:b/>
                <w:bCs/>
                <w:sz w:val="20"/>
                <w:szCs w:val="20"/>
              </w:rPr>
              <w:t>Percent Ownership</w:t>
            </w:r>
          </w:p>
        </w:tc>
      </w:tr>
      <w:tr w:rsidR="00236301" w14:paraId="00E04623" w14:textId="77777777">
        <w:trPr>
          <w:divId w:val="1459840797"/>
          <w:tblCellSpacing w:w="0" w:type="dxa"/>
        </w:trPr>
        <w:tc>
          <w:tcPr>
            <w:tcW w:w="1650" w:type="pct"/>
            <w:shd w:val="clear" w:color="auto" w:fill="FFFFFF"/>
            <w:hideMark/>
          </w:tcPr>
          <w:p w14:paraId="618A6C53" w14:textId="77777777" w:rsidR="00236301" w:rsidRDefault="00265296">
            <w:pPr>
              <w:pStyle w:val="NormalWeb"/>
            </w:pPr>
            <w:r>
              <w:rPr>
                <w:sz w:val="20"/>
                <w:szCs w:val="20"/>
              </w:rPr>
              <w:t>Robert E. Wolfe</w:t>
            </w:r>
          </w:p>
        </w:tc>
        <w:tc>
          <w:tcPr>
            <w:tcW w:w="1600" w:type="pct"/>
            <w:shd w:val="clear" w:color="auto" w:fill="FFFFFF"/>
            <w:vAlign w:val="bottom"/>
            <w:hideMark/>
          </w:tcPr>
          <w:p w14:paraId="166A882B" w14:textId="77777777" w:rsidR="00236301" w:rsidRDefault="00265296">
            <w:pPr>
              <w:pStyle w:val="NormalWeb"/>
              <w:jc w:val="right"/>
            </w:pPr>
            <w:r>
              <w:rPr>
                <w:sz w:val="20"/>
                <w:szCs w:val="20"/>
              </w:rPr>
              <w:t>50,000</w:t>
            </w:r>
          </w:p>
        </w:tc>
        <w:tc>
          <w:tcPr>
            <w:tcW w:w="1750" w:type="pct"/>
            <w:shd w:val="clear" w:color="auto" w:fill="FFFFFF"/>
            <w:vAlign w:val="bottom"/>
            <w:hideMark/>
          </w:tcPr>
          <w:p w14:paraId="0FF68F33" w14:textId="77777777" w:rsidR="00236301" w:rsidRDefault="00265296">
            <w:pPr>
              <w:pStyle w:val="NormalWeb"/>
              <w:jc w:val="right"/>
            </w:pPr>
            <w:r>
              <w:rPr>
                <w:sz w:val="20"/>
                <w:szCs w:val="20"/>
              </w:rPr>
              <w:t>0.17%</w:t>
            </w:r>
          </w:p>
        </w:tc>
      </w:tr>
      <w:tr w:rsidR="00236301" w14:paraId="61200EBE" w14:textId="77777777">
        <w:trPr>
          <w:divId w:val="1459840797"/>
          <w:tblCellSpacing w:w="0" w:type="dxa"/>
        </w:trPr>
        <w:tc>
          <w:tcPr>
            <w:tcW w:w="1650" w:type="pct"/>
            <w:shd w:val="clear" w:color="auto" w:fill="CCEEFF"/>
            <w:hideMark/>
          </w:tcPr>
          <w:p w14:paraId="36EF5F71" w14:textId="77777777" w:rsidR="00236301" w:rsidRDefault="00265296">
            <w:pPr>
              <w:pStyle w:val="NormalWeb"/>
            </w:pPr>
            <w:r>
              <w:rPr>
                <w:sz w:val="20"/>
                <w:szCs w:val="20"/>
              </w:rPr>
              <w:t>Crossland (Belize)</w:t>
            </w:r>
          </w:p>
        </w:tc>
        <w:tc>
          <w:tcPr>
            <w:tcW w:w="1600" w:type="pct"/>
            <w:shd w:val="clear" w:color="auto" w:fill="CCEEFF"/>
            <w:vAlign w:val="bottom"/>
            <w:hideMark/>
          </w:tcPr>
          <w:p w14:paraId="182D4AC5" w14:textId="77777777" w:rsidR="00236301" w:rsidRDefault="00265296">
            <w:pPr>
              <w:pStyle w:val="NormalWeb"/>
              <w:jc w:val="right"/>
            </w:pPr>
            <w:r>
              <w:rPr>
                <w:sz w:val="20"/>
                <w:szCs w:val="20"/>
              </w:rPr>
              <w:t>6,312,500</w:t>
            </w:r>
          </w:p>
        </w:tc>
        <w:tc>
          <w:tcPr>
            <w:tcW w:w="1750" w:type="pct"/>
            <w:shd w:val="clear" w:color="auto" w:fill="CCEEFF"/>
            <w:vAlign w:val="bottom"/>
            <w:hideMark/>
          </w:tcPr>
          <w:p w14:paraId="1C9A28E8" w14:textId="77777777" w:rsidR="00236301" w:rsidRDefault="00265296">
            <w:pPr>
              <w:pStyle w:val="NormalWeb"/>
              <w:jc w:val="right"/>
            </w:pPr>
            <w:r>
              <w:rPr>
                <w:sz w:val="20"/>
                <w:szCs w:val="20"/>
              </w:rPr>
              <w:t>21.30%</w:t>
            </w:r>
          </w:p>
        </w:tc>
      </w:tr>
      <w:tr w:rsidR="00236301" w14:paraId="02436BE2" w14:textId="77777777">
        <w:trPr>
          <w:divId w:val="1459840797"/>
          <w:tblCellSpacing w:w="0" w:type="dxa"/>
        </w:trPr>
        <w:tc>
          <w:tcPr>
            <w:tcW w:w="1650" w:type="pct"/>
            <w:shd w:val="clear" w:color="auto" w:fill="FFFFFF"/>
            <w:hideMark/>
          </w:tcPr>
          <w:p w14:paraId="25E26D49" w14:textId="77777777" w:rsidR="00236301" w:rsidRDefault="00265296">
            <w:pPr>
              <w:pStyle w:val="NormalWeb"/>
            </w:pPr>
            <w:r>
              <w:rPr>
                <w:sz w:val="20"/>
                <w:szCs w:val="20"/>
              </w:rPr>
              <w:t>Triton International</w:t>
            </w:r>
          </w:p>
        </w:tc>
        <w:tc>
          <w:tcPr>
            <w:tcW w:w="1600" w:type="pct"/>
            <w:shd w:val="clear" w:color="auto" w:fill="FFFFFF"/>
            <w:vAlign w:val="bottom"/>
            <w:hideMark/>
          </w:tcPr>
          <w:p w14:paraId="7A875053" w14:textId="77777777" w:rsidR="00236301" w:rsidRDefault="00265296">
            <w:pPr>
              <w:pStyle w:val="NormalWeb"/>
              <w:jc w:val="right"/>
            </w:pPr>
            <w:r>
              <w:rPr>
                <w:sz w:val="20"/>
                <w:szCs w:val="20"/>
              </w:rPr>
              <w:t>375,000</w:t>
            </w:r>
          </w:p>
        </w:tc>
        <w:tc>
          <w:tcPr>
            <w:tcW w:w="1750" w:type="pct"/>
            <w:shd w:val="clear" w:color="auto" w:fill="FFFFFF"/>
            <w:vAlign w:val="bottom"/>
            <w:hideMark/>
          </w:tcPr>
          <w:p w14:paraId="342172F2" w14:textId="77777777" w:rsidR="00236301" w:rsidRDefault="00265296">
            <w:pPr>
              <w:pStyle w:val="NormalWeb"/>
              <w:jc w:val="right"/>
            </w:pPr>
            <w:r>
              <w:rPr>
                <w:sz w:val="20"/>
                <w:szCs w:val="20"/>
              </w:rPr>
              <w:t>1.26%</w:t>
            </w:r>
          </w:p>
        </w:tc>
      </w:tr>
      <w:tr w:rsidR="00236301" w14:paraId="776E4D4B" w14:textId="77777777">
        <w:trPr>
          <w:divId w:val="1459840797"/>
          <w:tblCellSpacing w:w="0" w:type="dxa"/>
        </w:trPr>
        <w:tc>
          <w:tcPr>
            <w:tcW w:w="1650" w:type="pct"/>
            <w:shd w:val="clear" w:color="auto" w:fill="CCEEFF"/>
            <w:hideMark/>
          </w:tcPr>
          <w:p w14:paraId="6F8E78E4" w14:textId="77777777" w:rsidR="00236301" w:rsidRDefault="00265296">
            <w:pPr>
              <w:pStyle w:val="NormalWeb"/>
            </w:pPr>
            <w:r>
              <w:rPr>
                <w:sz w:val="20"/>
                <w:szCs w:val="20"/>
              </w:rPr>
              <w:t>Coastal Oil, Ltd.</w:t>
            </w:r>
          </w:p>
        </w:tc>
        <w:tc>
          <w:tcPr>
            <w:tcW w:w="1600" w:type="pct"/>
            <w:shd w:val="clear" w:color="auto" w:fill="CCEEFF"/>
            <w:vAlign w:val="bottom"/>
            <w:hideMark/>
          </w:tcPr>
          <w:p w14:paraId="47C0C116" w14:textId="77777777" w:rsidR="00236301" w:rsidRDefault="00265296">
            <w:pPr>
              <w:pStyle w:val="NormalWeb"/>
              <w:jc w:val="right"/>
            </w:pPr>
            <w:r>
              <w:rPr>
                <w:sz w:val="20"/>
                <w:szCs w:val="20"/>
              </w:rPr>
              <w:t>5,937,500</w:t>
            </w:r>
          </w:p>
        </w:tc>
        <w:tc>
          <w:tcPr>
            <w:tcW w:w="1750" w:type="pct"/>
            <w:shd w:val="clear" w:color="auto" w:fill="CCEEFF"/>
            <w:vAlign w:val="bottom"/>
            <w:hideMark/>
          </w:tcPr>
          <w:p w14:paraId="48BC35F1" w14:textId="77777777" w:rsidR="00236301" w:rsidRDefault="00265296">
            <w:pPr>
              <w:pStyle w:val="NormalWeb"/>
              <w:jc w:val="right"/>
            </w:pPr>
            <w:r>
              <w:rPr>
                <w:sz w:val="20"/>
                <w:szCs w:val="20"/>
              </w:rPr>
              <w:t>20.03%</w:t>
            </w:r>
          </w:p>
        </w:tc>
      </w:tr>
      <w:tr w:rsidR="00236301" w14:paraId="4011B62E" w14:textId="77777777">
        <w:trPr>
          <w:divId w:val="1459840797"/>
          <w:tblCellSpacing w:w="0" w:type="dxa"/>
        </w:trPr>
        <w:tc>
          <w:tcPr>
            <w:tcW w:w="1650" w:type="pct"/>
            <w:shd w:val="clear" w:color="auto" w:fill="FFFFFF"/>
            <w:hideMark/>
          </w:tcPr>
          <w:p w14:paraId="5D9821EB" w14:textId="77777777" w:rsidR="00236301" w:rsidRDefault="00265296">
            <w:pPr>
              <w:pStyle w:val="NormalWeb"/>
            </w:pPr>
            <w:r>
              <w:rPr>
                <w:sz w:val="20"/>
                <w:szCs w:val="20"/>
              </w:rPr>
              <w:t>Crossland Ltd.</w:t>
            </w:r>
          </w:p>
        </w:tc>
        <w:tc>
          <w:tcPr>
            <w:tcW w:w="1600" w:type="pct"/>
            <w:shd w:val="clear" w:color="auto" w:fill="FFFFFF"/>
            <w:vAlign w:val="bottom"/>
            <w:hideMark/>
          </w:tcPr>
          <w:p w14:paraId="305A0EF6" w14:textId="77777777" w:rsidR="00236301" w:rsidRDefault="00265296">
            <w:pPr>
              <w:pStyle w:val="NormalWeb"/>
              <w:jc w:val="right"/>
            </w:pPr>
            <w:r>
              <w:rPr>
                <w:sz w:val="20"/>
                <w:szCs w:val="20"/>
              </w:rPr>
              <w:t>5,937,500</w:t>
            </w:r>
          </w:p>
        </w:tc>
        <w:tc>
          <w:tcPr>
            <w:tcW w:w="1750" w:type="pct"/>
            <w:shd w:val="clear" w:color="auto" w:fill="FFFFFF"/>
            <w:vAlign w:val="bottom"/>
            <w:hideMark/>
          </w:tcPr>
          <w:p w14:paraId="09FCBE00" w14:textId="77777777" w:rsidR="00236301" w:rsidRDefault="00265296">
            <w:pPr>
              <w:pStyle w:val="NormalWeb"/>
              <w:jc w:val="right"/>
            </w:pPr>
            <w:r>
              <w:rPr>
                <w:sz w:val="20"/>
                <w:szCs w:val="20"/>
              </w:rPr>
              <w:t>20.03%</w:t>
            </w:r>
          </w:p>
        </w:tc>
      </w:tr>
      <w:tr w:rsidR="00236301" w14:paraId="4907E40F" w14:textId="77777777">
        <w:trPr>
          <w:divId w:val="1459840797"/>
          <w:tblCellSpacing w:w="0" w:type="dxa"/>
        </w:trPr>
        <w:tc>
          <w:tcPr>
            <w:tcW w:w="1650" w:type="pct"/>
            <w:shd w:val="clear" w:color="auto" w:fill="CCEEFF"/>
            <w:hideMark/>
          </w:tcPr>
          <w:p w14:paraId="0286D4B0" w14:textId="77777777" w:rsidR="00236301" w:rsidRDefault="00265296">
            <w:pPr>
              <w:pStyle w:val="NormalWeb"/>
            </w:pPr>
            <w:r>
              <w:rPr>
                <w:sz w:val="20"/>
                <w:szCs w:val="20"/>
              </w:rPr>
              <w:t>Eastern Star, Ltd.</w:t>
            </w:r>
          </w:p>
        </w:tc>
        <w:tc>
          <w:tcPr>
            <w:tcW w:w="1600" w:type="pct"/>
            <w:shd w:val="clear" w:color="auto" w:fill="CCEEFF"/>
            <w:vAlign w:val="bottom"/>
            <w:hideMark/>
          </w:tcPr>
          <w:p w14:paraId="099A0C7A" w14:textId="77777777" w:rsidR="00236301" w:rsidRDefault="00265296">
            <w:pPr>
              <w:pStyle w:val="NormalWeb"/>
              <w:jc w:val="right"/>
            </w:pPr>
            <w:r>
              <w:rPr>
                <w:sz w:val="20"/>
                <w:szCs w:val="20"/>
              </w:rPr>
              <w:t>5,937,500</w:t>
            </w:r>
          </w:p>
        </w:tc>
        <w:tc>
          <w:tcPr>
            <w:tcW w:w="1750" w:type="pct"/>
            <w:shd w:val="clear" w:color="auto" w:fill="CCEEFF"/>
            <w:vAlign w:val="bottom"/>
            <w:hideMark/>
          </w:tcPr>
          <w:p w14:paraId="75DD6210" w14:textId="77777777" w:rsidR="00236301" w:rsidRDefault="00265296">
            <w:pPr>
              <w:pStyle w:val="NormalWeb"/>
              <w:jc w:val="right"/>
            </w:pPr>
            <w:r>
              <w:rPr>
                <w:sz w:val="20"/>
                <w:szCs w:val="20"/>
              </w:rPr>
              <w:t>20.03%</w:t>
            </w:r>
          </w:p>
        </w:tc>
      </w:tr>
    </w:tbl>
    <w:p w14:paraId="4EC4DF80" w14:textId="77777777" w:rsidR="00236301" w:rsidRDefault="00265296">
      <w:pPr>
        <w:pStyle w:val="NormalWeb"/>
        <w:divId w:val="1459840797"/>
      </w:pPr>
      <w:r>
        <w:t> </w:t>
      </w:r>
    </w:p>
    <w:p w14:paraId="668C08CF" w14:textId="77777777" w:rsidR="00236301" w:rsidRDefault="00265296">
      <w:pPr>
        <w:pStyle w:val="NormalWeb"/>
        <w:divId w:val="1459840797"/>
      </w:pPr>
      <w:r>
        <w:rPr>
          <w:i/>
          <w:iCs/>
          <w:sz w:val="20"/>
          <w:szCs w:val="20"/>
        </w:rPr>
        <w:t>ACQUISITION OR DISPOSITION OF ASSETS, 03/09/98.</w:t>
      </w:r>
    </w:p>
    <w:p w14:paraId="253AE217" w14:textId="751D7724" w:rsidR="00236301" w:rsidRDefault="00265296">
      <w:pPr>
        <w:pStyle w:val="NormalWeb"/>
        <w:divId w:val="1459840797"/>
      </w:pPr>
      <w:r>
        <w:rPr>
          <w:sz w:val="20"/>
          <w:szCs w:val="20"/>
        </w:rPr>
        <w:lastRenderedPageBreak/>
        <w:t>On March 9, 1998, pursuant to an Agreement for Purchase and Sale of Specified Business Assets, a Promissory Note, and a Security Agreement all dated March 9, 1998, Advanced Oxygen Technologies, Inc. (the "Company") purchased certain tangible and intangible assets (the "Assets") including goodwill and rights under certain contracts, from Integrated Marketing Agency, Inc., a California Corporation ("IMA"). The assets purchased from IMA consisted primarily of furniture, fixtures, equipment, computers, servers, software and databases previously used by IMA in its full service telemarketing business. The purchase price</w:t>
      </w:r>
      <w:r w:rsidR="00FD4B7A">
        <w:rPr>
          <w:sz w:val="20"/>
          <w:szCs w:val="20"/>
        </w:rPr>
        <w:t xml:space="preserve"> was</w:t>
      </w:r>
      <w:r>
        <w:rPr>
          <w:sz w:val="20"/>
          <w:szCs w:val="20"/>
        </w:rPr>
        <w:t xml:space="preserve"> $2,000,000.</w:t>
      </w:r>
    </w:p>
    <w:p w14:paraId="69F1EA7C" w14:textId="77777777" w:rsidR="00236301" w:rsidRDefault="00084F74">
      <w:pPr>
        <w:pStyle w:val="NormalWeb"/>
        <w:divId w:val="1459840797"/>
      </w:pPr>
      <w:hyperlink w:anchor="toc" w:history="1">
        <w:r w:rsidR="00265296">
          <w:rPr>
            <w:rStyle w:val="Hyperlink"/>
            <w:b/>
            <w:bCs/>
            <w:sz w:val="20"/>
            <w:szCs w:val="20"/>
          </w:rPr>
          <w:t>Return to Table of Contents</w:t>
        </w:r>
      </w:hyperlink>
    </w:p>
    <w:p w14:paraId="00BD8FFC" w14:textId="77777777" w:rsidR="00236301" w:rsidRDefault="00265296">
      <w:pPr>
        <w:pStyle w:val="NormalWeb"/>
        <w:divId w:val="1459840797"/>
      </w:pPr>
      <w:r>
        <w:rPr>
          <w:b/>
          <w:bCs/>
          <w:sz w:val="20"/>
          <w:szCs w:val="20"/>
        </w:rPr>
        <w:t>3</w:t>
      </w:r>
    </w:p>
    <w:p w14:paraId="03497078" w14:textId="77777777" w:rsidR="00236301" w:rsidRDefault="00084F74">
      <w:pPr>
        <w:jc w:val="center"/>
        <w:divId w:val="1459840797"/>
        <w:rPr>
          <w:rFonts w:eastAsia="Times New Roman"/>
          <w:sz w:val="20"/>
          <w:szCs w:val="20"/>
        </w:rPr>
      </w:pPr>
      <w:r>
        <w:rPr>
          <w:rFonts w:eastAsia="Times New Roman"/>
          <w:sz w:val="20"/>
          <w:szCs w:val="20"/>
        </w:rPr>
        <w:pict w14:anchorId="2D437095">
          <v:rect id="_x0000_i1031" style="width:.05pt;height:1pt" o:hralign="center" o:hrstd="t" o:hrnoshade="t" o:hr="t" fillcolor="blue" stroked="f"/>
        </w:pict>
      </w:r>
    </w:p>
    <w:p w14:paraId="09BF144E" w14:textId="77777777" w:rsidR="00236301" w:rsidRDefault="00265296">
      <w:pPr>
        <w:pStyle w:val="NormalWeb"/>
        <w:divId w:val="1459840797"/>
      </w:pPr>
      <w:r>
        <w:rPr>
          <w:i/>
          <w:iCs/>
          <w:sz w:val="20"/>
          <w:szCs w:val="20"/>
        </w:rPr>
        <w:t>PURCHASE AGREEMENT OF 1/29/99</w:t>
      </w:r>
    </w:p>
    <w:p w14:paraId="027AA74B" w14:textId="77777777" w:rsidR="00236301" w:rsidRDefault="00265296">
      <w:pPr>
        <w:pStyle w:val="NormalWeb"/>
        <w:divId w:val="1459840797"/>
      </w:pPr>
      <w:r>
        <w:rPr>
          <w:sz w:val="20"/>
          <w:szCs w:val="20"/>
        </w:rPr>
        <w:t>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w:t>
      </w:r>
    </w:p>
    <w:p w14:paraId="053DAD4B" w14:textId="77777777" w:rsidR="00236301" w:rsidRDefault="00265296">
      <w:pPr>
        <w:pStyle w:val="NormalWeb"/>
        <w:divId w:val="1459840797"/>
      </w:pPr>
      <w:r>
        <w:rPr>
          <w:i/>
          <w:iCs/>
          <w:sz w:val="20"/>
          <w:szCs w:val="20"/>
        </w:rPr>
        <w:t>ACQUISITION OR DISPOSITION OF ASSETS OF 03/05/2003</w:t>
      </w:r>
    </w:p>
    <w:p w14:paraId="2A2DC1EE" w14:textId="77777777" w:rsidR="00236301" w:rsidRDefault="00265296">
      <w:pPr>
        <w:pStyle w:val="NormalWeb"/>
        <w:divId w:val="1459840797"/>
      </w:pPr>
      <w:r>
        <w:rPr>
          <w:sz w:val="20"/>
          <w:szCs w:val="20"/>
        </w:rPr>
        <w:t>Pursuant to a stock acquisition agreement,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w:t>
      </w:r>
    </w:p>
    <w:p w14:paraId="38759D54" w14:textId="77777777" w:rsidR="00236301" w:rsidRDefault="00084F74">
      <w:pPr>
        <w:pStyle w:val="NormalWeb"/>
        <w:divId w:val="1459840797"/>
      </w:pPr>
      <w:hyperlink w:anchor="toc" w:history="1">
        <w:r w:rsidR="00265296">
          <w:rPr>
            <w:rStyle w:val="Hyperlink"/>
            <w:b/>
            <w:bCs/>
            <w:sz w:val="20"/>
            <w:szCs w:val="20"/>
          </w:rPr>
          <w:t>Return to Table of Contents</w:t>
        </w:r>
      </w:hyperlink>
    </w:p>
    <w:p w14:paraId="13217F80" w14:textId="77777777" w:rsidR="00236301" w:rsidRDefault="00265296">
      <w:pPr>
        <w:pStyle w:val="NormalWeb"/>
        <w:divId w:val="1459840797"/>
      </w:pPr>
      <w:r>
        <w:rPr>
          <w:b/>
          <w:bCs/>
          <w:sz w:val="20"/>
          <w:szCs w:val="20"/>
        </w:rPr>
        <w:t>4</w:t>
      </w:r>
    </w:p>
    <w:p w14:paraId="07251F21" w14:textId="77777777" w:rsidR="00236301" w:rsidRDefault="00084F74">
      <w:pPr>
        <w:jc w:val="center"/>
        <w:divId w:val="1459840797"/>
        <w:rPr>
          <w:rFonts w:eastAsia="Times New Roman"/>
          <w:sz w:val="20"/>
          <w:szCs w:val="20"/>
        </w:rPr>
      </w:pPr>
      <w:r>
        <w:rPr>
          <w:rFonts w:eastAsia="Times New Roman"/>
          <w:sz w:val="20"/>
          <w:szCs w:val="20"/>
        </w:rPr>
        <w:pict w14:anchorId="0F42DA86">
          <v:rect id="_x0000_i1032" style="width:.05pt;height:1pt" o:hralign="center" o:hrstd="t" o:hrnoshade="t" o:hr="t" fillcolor="blue" stroked="f"/>
        </w:pict>
      </w:r>
    </w:p>
    <w:p w14:paraId="37E459F3" w14:textId="77777777" w:rsidR="00236301" w:rsidRDefault="00265296">
      <w:pPr>
        <w:pStyle w:val="NormalWeb"/>
        <w:divId w:val="1459840797"/>
      </w:pPr>
      <w:r>
        <w:rPr>
          <w:i/>
          <w:iCs/>
          <w:sz w:val="20"/>
          <w:szCs w:val="20"/>
        </w:rPr>
        <w:t>MOBILIGROUP ApS MERGER AGREEMENT OF 04/ 23/2005</w:t>
      </w:r>
    </w:p>
    <w:p w14:paraId="4E5B86FC" w14:textId="77777777" w:rsidR="00236301" w:rsidRDefault="00265296">
      <w:pPr>
        <w:pStyle w:val="NormalWeb"/>
        <w:divId w:val="1459840797"/>
      </w:pPr>
      <w:r>
        <w:rPr>
          <w:sz w:val="20"/>
          <w:szCs w:val="20"/>
        </w:rPr>
        <w:lastRenderedPageBreak/>
        <w:t>Pursuant to a merger agreement attached hereto as exhibit I, ("Merger Agreement"), on April 23, 2005 Mobile Group Inc., ("</w:t>
      </w:r>
      <w:r w:rsidR="001C3936">
        <w:rPr>
          <w:sz w:val="20"/>
          <w:szCs w:val="20"/>
        </w:rPr>
        <w:t>Mobile “a</w:t>
      </w:r>
      <w:r>
        <w:rPr>
          <w:sz w:val="20"/>
          <w:szCs w:val="20"/>
        </w:rPr>
        <w:t xml:space="preserve"> formerly wholly owned subsidiary of Advanced Oxygen Technologies, Inc. acquired 100% of the issued and outstanding stock of Mobiligroup, ApS in exchange for 800 shares of Mobile representing 80% of the issued and outstanding shares of Mobile.</w:t>
      </w:r>
    </w:p>
    <w:p w14:paraId="5A2896AB" w14:textId="77777777" w:rsidR="00236301" w:rsidRDefault="00265296">
      <w:pPr>
        <w:pStyle w:val="NormalWeb"/>
        <w:divId w:val="1459840797"/>
      </w:pPr>
      <w:r>
        <w:rPr>
          <w:i/>
          <w:iCs/>
          <w:sz w:val="20"/>
          <w:szCs w:val="20"/>
        </w:rPr>
        <w:t>SALE OF IP SERVICE: STOCK ACQUISITION AGREEMENT OF 04/27/2005</w:t>
      </w:r>
    </w:p>
    <w:p w14:paraId="0D6574A6" w14:textId="26D0B985" w:rsidR="00236301" w:rsidRDefault="00265296" w:rsidP="00E85934">
      <w:pPr>
        <w:pStyle w:val="NormalWeb"/>
        <w:divId w:val="1459840797"/>
      </w:pPr>
      <w:r>
        <w:rPr>
          <w:sz w:val="20"/>
          <w:szCs w:val="20"/>
        </w:rPr>
        <w:t xml:space="preserve">Pursuant to a stock acquisition agreement, on April 27, 2005 Advanced Oxygen Technologies, Inc. sold 100.00% of the stock of IP Service ApS to Securas, Ltd. 7 Stewards Court, Carlisle Close, Kingston </w:t>
      </w:r>
      <w:proofErr w:type="gramStart"/>
      <w:r>
        <w:rPr>
          <w:sz w:val="20"/>
          <w:szCs w:val="20"/>
        </w:rPr>
        <w:t>Upon</w:t>
      </w:r>
      <w:proofErr w:type="gramEnd"/>
      <w:r>
        <w:rPr>
          <w:sz w:val="20"/>
          <w:szCs w:val="20"/>
        </w:rPr>
        <w:t xml:space="preserve"> Thames, Surrey KT2 7AU, United Kingdom ("SecurAs")</w:t>
      </w:r>
      <w:r w:rsidR="00E85934">
        <w:rPr>
          <w:sz w:val="20"/>
          <w:szCs w:val="20"/>
        </w:rPr>
        <w:t>.</w:t>
      </w:r>
    </w:p>
    <w:p w14:paraId="0838B191" w14:textId="77777777" w:rsidR="00236301" w:rsidRDefault="00084F74">
      <w:pPr>
        <w:pStyle w:val="NormalWeb"/>
        <w:divId w:val="1459840797"/>
      </w:pPr>
      <w:hyperlink w:anchor="toc" w:history="1">
        <w:r w:rsidR="00265296">
          <w:rPr>
            <w:rStyle w:val="Hyperlink"/>
            <w:b/>
            <w:bCs/>
            <w:sz w:val="20"/>
            <w:szCs w:val="20"/>
          </w:rPr>
          <w:t>Return to Table of Contents</w:t>
        </w:r>
      </w:hyperlink>
    </w:p>
    <w:p w14:paraId="0200B011" w14:textId="77777777" w:rsidR="00236301" w:rsidRDefault="00265296">
      <w:pPr>
        <w:pStyle w:val="NormalWeb"/>
        <w:divId w:val="1459840797"/>
      </w:pPr>
      <w:r>
        <w:rPr>
          <w:b/>
          <w:bCs/>
          <w:sz w:val="20"/>
          <w:szCs w:val="20"/>
        </w:rPr>
        <w:t>5</w:t>
      </w:r>
    </w:p>
    <w:p w14:paraId="6F6F2BFA" w14:textId="77777777" w:rsidR="00236301" w:rsidRDefault="00084F74">
      <w:pPr>
        <w:jc w:val="center"/>
        <w:divId w:val="1459840797"/>
        <w:rPr>
          <w:rFonts w:eastAsia="Times New Roman"/>
          <w:sz w:val="20"/>
          <w:szCs w:val="20"/>
        </w:rPr>
      </w:pPr>
      <w:r>
        <w:rPr>
          <w:rFonts w:eastAsia="Times New Roman"/>
          <w:sz w:val="20"/>
          <w:szCs w:val="20"/>
        </w:rPr>
        <w:pict w14:anchorId="12C60AB8">
          <v:rect id="_x0000_i1033" style="width:.05pt;height:1pt" o:hralign="center" o:hrstd="t" o:hrnoshade="t" o:hr="t" fillcolor="blue" stroked="f"/>
        </w:pict>
      </w:r>
    </w:p>
    <w:p w14:paraId="5D0FC039" w14:textId="77777777" w:rsidR="00236301" w:rsidRDefault="00265296">
      <w:pPr>
        <w:pStyle w:val="NormalWeb"/>
        <w:divId w:val="1459840797"/>
      </w:pPr>
      <w:r>
        <w:rPr>
          <w:i/>
          <w:iCs/>
          <w:sz w:val="20"/>
          <w:szCs w:val="20"/>
        </w:rPr>
        <w:t>PURCHASE OF ANTON NIELSEN VOJENS, ApS: STOCK ACQUISITION AGREEMENT OF FEBRUARY 3, 2006</w:t>
      </w:r>
    </w:p>
    <w:p w14:paraId="404E2A64" w14:textId="77777777" w:rsidR="00236301" w:rsidRDefault="00265296">
      <w:pPr>
        <w:pStyle w:val="NormalWeb"/>
        <w:divId w:val="1459840797"/>
      </w:pPr>
      <w:r>
        <w:rPr>
          <w:sz w:val="20"/>
          <w:szCs w:val="20"/>
        </w:rPr>
        <w:t>Pursuant to a stock acquisition agreement on February 3, 2006 Advanced Oxygen Technologies, Inc. ("AOXY") purchased 100.00% of the stock of Anton Nielsen Vojens ApS ("ANV"), a Danish company from Borkwood Development Ltd. (a current shareholder of AOXY) for Six Hundred and Fifty Thousand US Dollars. The transaction was financed as follows:</w:t>
      </w:r>
    </w:p>
    <w:p w14:paraId="11BD1672" w14:textId="77777777" w:rsidR="00236301" w:rsidRDefault="00265296">
      <w:pPr>
        <w:pStyle w:val="NormalWeb"/>
        <w:divId w:val="1459840797"/>
      </w:pPr>
      <w:r>
        <w:rPr>
          <w:sz w:val="20"/>
          <w:szCs w:val="20"/>
        </w:rPr>
        <w:t xml:space="preserve">1) AOXY executed a promissory note ("Note") for $650,000, payable to the sellers of ANV ("Sellers") payable and amortized monthly and carrying </w:t>
      </w:r>
      <w:proofErr w:type="spellStart"/>
      <w:proofErr w:type="gramStart"/>
      <w:r>
        <w:rPr>
          <w:sz w:val="20"/>
          <w:szCs w:val="20"/>
        </w:rPr>
        <w:t>a</w:t>
      </w:r>
      <w:proofErr w:type="spellEnd"/>
      <w:proofErr w:type="gramEnd"/>
      <w:r>
        <w:rPr>
          <w:sz w:val="20"/>
          <w:szCs w:val="20"/>
        </w:rPr>
        <w:t xml:space="preserve">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w:t>
      </w:r>
    </w:p>
    <w:p w14:paraId="1E12DE45" w14:textId="77777777" w:rsidR="00236301" w:rsidRDefault="00265296">
      <w:pPr>
        <w:pStyle w:val="NormalWeb"/>
        <w:divId w:val="1459840797"/>
      </w:pPr>
      <w:r>
        <w:rPr>
          <w:sz w:val="20"/>
          <w:szCs w:val="20"/>
        </w:rPr>
        <w:t xml:space="preserve">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t>
      </w:r>
      <w:r w:rsidR="001C3936">
        <w:rPr>
          <w:sz w:val="20"/>
          <w:szCs w:val="20"/>
        </w:rPr>
        <w:t>whichever</w:t>
      </w:r>
      <w:r>
        <w:rPr>
          <w:sz w:val="20"/>
          <w:szCs w:val="20"/>
        </w:rPr>
        <w:t xml:space="preserve"> is greater, divided by the previous ten day closing price of AOXY as quoted on the national exchange, or b) Fifteen million shares, </w:t>
      </w:r>
      <w:r w:rsidR="001C3936">
        <w:rPr>
          <w:sz w:val="20"/>
          <w:szCs w:val="20"/>
        </w:rPr>
        <w:t>whichever</w:t>
      </w:r>
      <w:r>
        <w:rPr>
          <w:sz w:val="20"/>
          <w:szCs w:val="20"/>
        </w:rPr>
        <w:t xml:space="preserve"> is lesser. The Sellers must demand such conversion with a notice of 1 month.</w:t>
      </w:r>
    </w:p>
    <w:p w14:paraId="0D5617C8" w14:textId="77777777" w:rsidR="00236301" w:rsidRDefault="00265296">
      <w:pPr>
        <w:pStyle w:val="NormalWeb"/>
        <w:divId w:val="1459840797"/>
      </w:pPr>
      <w:r>
        <w:rPr>
          <w:i/>
          <w:iCs/>
          <w:sz w:val="20"/>
          <w:szCs w:val="20"/>
        </w:rPr>
        <w:t>SUBDIVISION AND SALE OF REAL ESTATE OF MARCH 3, 2006</w:t>
      </w:r>
    </w:p>
    <w:p w14:paraId="3ADAFD51" w14:textId="77777777" w:rsidR="00236301" w:rsidRDefault="00265296">
      <w:pPr>
        <w:pStyle w:val="NormalWeb"/>
        <w:divId w:val="1459840797"/>
      </w:pPr>
      <w:r>
        <w:rPr>
          <w:sz w:val="20"/>
          <w:szCs w:val="20"/>
        </w:rPr>
        <w:t>Pursuant to an acquisition agreement attached hereto as exhibit I (Danish original) and Exhibit II (English Translation) ("Acquisition Agreement"), on March 3, 2006 Anton Nielsen Vojens ApS ("ANV"), a wholly owned subsidiary of Advanced Oxygen Technologies, Inc. ("AOXY") entered into an agreement to sub divide and sell a 3,300 M2 portion of its Vojens City property ('Property") for Two Million Three hundred Thou</w:t>
      </w:r>
      <w:r w:rsidR="001C3936">
        <w:rPr>
          <w:sz w:val="20"/>
          <w:szCs w:val="20"/>
        </w:rPr>
        <w:t>sand Danish Krone (2.300.000 DKK</w:t>
      </w:r>
      <w:r>
        <w:rPr>
          <w:sz w:val="20"/>
          <w:szCs w:val="20"/>
        </w:rPr>
        <w:t>) to Ejendomsselskabet Ostergade 67 ApS, a Danish company ("EO"). Under the terms of the Acquisition Agreement: EO purchased the Property in an as is condition, and was responsible for all costs of the transaction including but not limited to: sub division costs, legal, financial, 1/2 the filing costs, deed transfer costs (ANV was responsible for the survey costs and 1/2 the filing costs).</w:t>
      </w:r>
    </w:p>
    <w:p w14:paraId="4E6710E4" w14:textId="2AD42566" w:rsidR="00236301" w:rsidRDefault="00265296">
      <w:pPr>
        <w:pStyle w:val="NormalWeb"/>
        <w:divId w:val="1459840797"/>
      </w:pPr>
      <w:r>
        <w:rPr>
          <w:i/>
          <w:iCs/>
          <w:sz w:val="20"/>
          <w:szCs w:val="20"/>
        </w:rPr>
        <w:lastRenderedPageBreak/>
        <w:t>CHANGES IN REGISTRANT'S CERTIFYING ACCOUNTANT</w:t>
      </w:r>
    </w:p>
    <w:p w14:paraId="0DFB59DD" w14:textId="658797DD" w:rsidR="00236301" w:rsidRDefault="00E85934">
      <w:pPr>
        <w:pStyle w:val="NormalWeb"/>
        <w:divId w:val="1459840797"/>
      </w:pPr>
      <w:r>
        <w:rPr>
          <w:sz w:val="20"/>
          <w:szCs w:val="20"/>
        </w:rPr>
        <w:t>On August 05, 2016 the Company has engaged Sadler, Gibb &amp; Associates, LLC, 2455 E. Parleys Way, Suite 320, Salt Lake City, UT 84109, (801)783-2960 ("New Accountants") as its certified accounting firm/out</w:t>
      </w:r>
      <w:r w:rsidR="00F43AFF">
        <w:rPr>
          <w:sz w:val="20"/>
          <w:szCs w:val="20"/>
        </w:rPr>
        <w:t>side auditor from its Danish au</w:t>
      </w:r>
      <w:r>
        <w:rPr>
          <w:sz w:val="20"/>
          <w:szCs w:val="20"/>
        </w:rPr>
        <w:t xml:space="preserve">ditors CHR. Mortensen Revisionsfirma.   </w:t>
      </w:r>
      <w:r w:rsidR="00265296">
        <w:rPr>
          <w:sz w:val="20"/>
          <w:szCs w:val="20"/>
        </w:rPr>
        <w:t>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14:paraId="7EB31E84" w14:textId="77777777" w:rsidR="00236301" w:rsidRDefault="00084F74">
      <w:pPr>
        <w:pStyle w:val="NormalWeb"/>
        <w:divId w:val="1459840797"/>
      </w:pPr>
      <w:hyperlink w:anchor="toc" w:history="1">
        <w:r w:rsidR="00265296">
          <w:rPr>
            <w:rStyle w:val="Hyperlink"/>
            <w:b/>
            <w:bCs/>
            <w:sz w:val="20"/>
            <w:szCs w:val="20"/>
          </w:rPr>
          <w:t>Return to Table of Contents</w:t>
        </w:r>
      </w:hyperlink>
    </w:p>
    <w:p w14:paraId="38A6A6BD" w14:textId="77777777" w:rsidR="00236301" w:rsidRDefault="00265296">
      <w:pPr>
        <w:pStyle w:val="NormalWeb"/>
        <w:divId w:val="1459840797"/>
      </w:pPr>
      <w:r>
        <w:rPr>
          <w:b/>
          <w:bCs/>
          <w:sz w:val="20"/>
          <w:szCs w:val="20"/>
        </w:rPr>
        <w:t>6</w:t>
      </w:r>
    </w:p>
    <w:p w14:paraId="6C577301" w14:textId="77777777" w:rsidR="00236301" w:rsidRDefault="00084F74">
      <w:pPr>
        <w:jc w:val="center"/>
        <w:divId w:val="1459840797"/>
        <w:rPr>
          <w:rFonts w:eastAsia="Times New Roman"/>
          <w:sz w:val="20"/>
          <w:szCs w:val="20"/>
        </w:rPr>
      </w:pPr>
      <w:r>
        <w:rPr>
          <w:rFonts w:eastAsia="Times New Roman"/>
          <w:sz w:val="20"/>
          <w:szCs w:val="20"/>
        </w:rPr>
        <w:pict w14:anchorId="5295E59F">
          <v:rect id="_x0000_i1034" style="width:.05pt;height:1pt" o:hralign="center" o:hrstd="t" o:hrnoshade="t" o:hr="t" fillcolor="blue" stroked="f"/>
        </w:pict>
      </w:r>
    </w:p>
    <w:p w14:paraId="5F5DA01C" w14:textId="77777777" w:rsidR="007350CD" w:rsidRDefault="007350CD">
      <w:pPr>
        <w:pStyle w:val="NormalWeb"/>
        <w:divId w:val="1459840797"/>
        <w:rPr>
          <w:sz w:val="20"/>
          <w:szCs w:val="20"/>
        </w:rPr>
      </w:pPr>
      <w:r>
        <w:rPr>
          <w:i/>
          <w:iCs/>
          <w:sz w:val="20"/>
          <w:szCs w:val="20"/>
        </w:rPr>
        <w:t>CHANGE IN ADDRESS OF COMPANY, MARCH 5, 2009</w:t>
      </w:r>
      <w:r>
        <w:rPr>
          <w:i/>
          <w:iCs/>
          <w:sz w:val="20"/>
          <w:szCs w:val="20"/>
        </w:rPr>
        <w:br/>
      </w:r>
      <w:r>
        <w:rPr>
          <w:sz w:val="20"/>
          <w:szCs w:val="20"/>
        </w:rPr>
        <w:br/>
        <w:t>The Company's location, and location of books and records has changed from Advanced Oxygen Technologies, Inc. C/O Crossfield Inc. 100 Maiden Lane, Suite 2003, New York, NY 10038 to Advanced Oxygen Technologies, Inc. c/o Crossfield, Inc</w:t>
      </w:r>
      <w:proofErr w:type="gramStart"/>
      <w:r>
        <w:rPr>
          <w:sz w:val="20"/>
          <w:szCs w:val="20"/>
        </w:rPr>
        <w:t>. ,</w:t>
      </w:r>
      <w:proofErr w:type="gramEnd"/>
      <w:r>
        <w:rPr>
          <w:sz w:val="20"/>
          <w:szCs w:val="20"/>
        </w:rPr>
        <w:t xml:space="preserve"> 653 VT Route 12A, PO Box 189 Randolph, VT 05060 Telephone (212)-727-7085, Fax (802)-332-6100. This location is collocated with a related business of the president, Robert E. Wolfe.</w:t>
      </w:r>
    </w:p>
    <w:p w14:paraId="74DEADFB" w14:textId="25D42951" w:rsidR="00236301" w:rsidRDefault="00265296">
      <w:pPr>
        <w:pStyle w:val="NormalWeb"/>
        <w:divId w:val="1459840797"/>
      </w:pPr>
      <w:r>
        <w:rPr>
          <w:b/>
          <w:bCs/>
          <w:sz w:val="20"/>
          <w:szCs w:val="20"/>
        </w:rPr>
        <w:t>COMPANY OBJECTIVE AND MISSION:</w:t>
      </w:r>
    </w:p>
    <w:p w14:paraId="1DC55E90" w14:textId="77777777" w:rsidR="00236301" w:rsidRDefault="00265296">
      <w:pPr>
        <w:pStyle w:val="NormalWeb"/>
        <w:divId w:val="1459840797"/>
      </w:pPr>
      <w:r>
        <w:rPr>
          <w:sz w:val="20"/>
          <w:szCs w:val="20"/>
        </w:rPr>
        <w:t xml:space="preserve">The Company currently shares its location with a related company of the President of the Company. The Company owns 100% of a subsidiary, Anton Nielsen Vojens, ApS ("ANV"). ANV owns and leases commercial real estate to StatOil AS, a Danish company. The lease expires in 2026. Through this lease, the Company believes that the operations of ANV will continue to produce revenues. </w:t>
      </w:r>
    </w:p>
    <w:p w14:paraId="45ADEE3E" w14:textId="77777777" w:rsidR="00236301" w:rsidRDefault="00265296">
      <w:pPr>
        <w:pStyle w:val="NormalWeb"/>
        <w:divId w:val="1459840797"/>
      </w:pPr>
      <w:r>
        <w:rPr>
          <w:sz w:val="20"/>
          <w:szCs w:val="20"/>
        </w:rPr>
        <w:t>The Company continues its efforts to raise capital to support operations and growth, and is actively searching acquisitions or mergers with another company that would complement the Company and increase its earnings potential.</w:t>
      </w:r>
    </w:p>
    <w:p w14:paraId="3C99ACF2" w14:textId="77777777" w:rsidR="00236301" w:rsidRDefault="00265296">
      <w:pPr>
        <w:pStyle w:val="NormalWeb"/>
        <w:divId w:val="1459840797"/>
      </w:pPr>
      <w:r>
        <w:rPr>
          <w:b/>
          <w:bCs/>
          <w:sz w:val="20"/>
          <w:szCs w:val="20"/>
        </w:rPr>
        <w:t>COMPETITION:</w:t>
      </w:r>
    </w:p>
    <w:p w14:paraId="6E8C9362" w14:textId="0F9226F4" w:rsidR="00236301" w:rsidRDefault="00265296">
      <w:pPr>
        <w:pStyle w:val="NormalWeb"/>
        <w:divId w:val="1459840797"/>
      </w:pPr>
      <w:r>
        <w:rPr>
          <w:sz w:val="20"/>
          <w:szCs w:val="20"/>
        </w:rPr>
        <w:t xml:space="preserve">The Company's subsidiary ANV revenues are currently derived from </w:t>
      </w:r>
      <w:r w:rsidR="00227821">
        <w:rPr>
          <w:sz w:val="20"/>
          <w:szCs w:val="20"/>
        </w:rPr>
        <w:t>its</w:t>
      </w:r>
      <w:r>
        <w:rPr>
          <w:sz w:val="20"/>
          <w:szCs w:val="20"/>
        </w:rPr>
        <w:t xml:space="preserve"> lease revenues of its commercial real estate holding. With the global changes in the economies during the year ended June 30, 2016, the Company's' direct competition would be other vacant commercial real estate entities. The Company believes that there are no identifiable direct competitors. </w:t>
      </w:r>
    </w:p>
    <w:p w14:paraId="21FEFDC8" w14:textId="77777777" w:rsidR="00236301" w:rsidRDefault="00265296">
      <w:pPr>
        <w:pStyle w:val="NormalWeb"/>
        <w:divId w:val="1459840797"/>
      </w:pPr>
      <w:r>
        <w:rPr>
          <w:b/>
          <w:bCs/>
          <w:sz w:val="20"/>
          <w:szCs w:val="20"/>
        </w:rPr>
        <w:t>CUSTOMERS:</w:t>
      </w:r>
    </w:p>
    <w:p w14:paraId="4E5A99C7" w14:textId="77777777" w:rsidR="00236301" w:rsidRDefault="00265296">
      <w:pPr>
        <w:pStyle w:val="NormalWeb"/>
        <w:divId w:val="1459840797"/>
      </w:pPr>
      <w:r>
        <w:rPr>
          <w:sz w:val="20"/>
          <w:szCs w:val="20"/>
        </w:rPr>
        <w:lastRenderedPageBreak/>
        <w:t xml:space="preserve">The Company's subsidiary ANV currently has one customer, StatOil AS., Copenhagen Denmark. </w:t>
      </w:r>
    </w:p>
    <w:p w14:paraId="04CA4302" w14:textId="77777777" w:rsidR="00236301" w:rsidRDefault="00265296">
      <w:pPr>
        <w:pStyle w:val="NormalWeb"/>
        <w:divId w:val="1459840797"/>
      </w:pPr>
      <w:r>
        <w:rPr>
          <w:b/>
          <w:bCs/>
          <w:sz w:val="20"/>
          <w:szCs w:val="20"/>
        </w:rPr>
        <w:t>EMPLOYEES:</w:t>
      </w:r>
    </w:p>
    <w:p w14:paraId="5E7963CA" w14:textId="77777777" w:rsidR="00236301" w:rsidRDefault="00265296">
      <w:pPr>
        <w:pStyle w:val="NormalWeb"/>
        <w:divId w:val="1459840797"/>
      </w:pPr>
      <w:r>
        <w:rPr>
          <w:sz w:val="20"/>
          <w:szCs w:val="20"/>
        </w:rPr>
        <w:t xml:space="preserve">As of June 30, 2016 the Company had a total of 1 employee. </w:t>
      </w:r>
    </w:p>
    <w:p w14:paraId="71F621D5" w14:textId="77777777" w:rsidR="00236301" w:rsidRDefault="00084F74">
      <w:pPr>
        <w:pStyle w:val="NormalWeb"/>
        <w:divId w:val="1459840797"/>
      </w:pPr>
      <w:hyperlink w:anchor="toc" w:history="1">
        <w:r w:rsidR="00265296">
          <w:rPr>
            <w:rStyle w:val="Hyperlink"/>
            <w:b/>
            <w:bCs/>
            <w:sz w:val="20"/>
            <w:szCs w:val="20"/>
          </w:rPr>
          <w:t>Return to Table of Contents</w:t>
        </w:r>
      </w:hyperlink>
    </w:p>
    <w:p w14:paraId="0A7CE656" w14:textId="77777777" w:rsidR="00236301" w:rsidRDefault="00265296">
      <w:pPr>
        <w:pStyle w:val="NormalWeb"/>
        <w:divId w:val="1459840797"/>
      </w:pPr>
      <w:r>
        <w:rPr>
          <w:b/>
          <w:bCs/>
          <w:sz w:val="20"/>
          <w:szCs w:val="20"/>
        </w:rPr>
        <w:t>7</w:t>
      </w:r>
      <w:r>
        <w:t xml:space="preserve"> </w:t>
      </w:r>
    </w:p>
    <w:p w14:paraId="749D31C1" w14:textId="77777777" w:rsidR="00236301" w:rsidRDefault="00084F74">
      <w:pPr>
        <w:jc w:val="center"/>
        <w:divId w:val="1459840797"/>
        <w:rPr>
          <w:rFonts w:eastAsia="Times New Roman"/>
          <w:sz w:val="20"/>
          <w:szCs w:val="20"/>
        </w:rPr>
      </w:pPr>
      <w:r>
        <w:rPr>
          <w:rFonts w:eastAsia="Times New Roman"/>
          <w:sz w:val="20"/>
          <w:szCs w:val="20"/>
        </w:rPr>
        <w:pict w14:anchorId="5B96E81E">
          <v:rect id="_x0000_i1035" style="width:.05pt;height:1pt" o:hralign="center" o:hrstd="t" o:hrnoshade="t" o:hr="t" fillcolor="blue" stroked="f"/>
        </w:pict>
      </w:r>
    </w:p>
    <w:p w14:paraId="4D8AA203" w14:textId="77777777" w:rsidR="00236301" w:rsidRDefault="00265296">
      <w:pPr>
        <w:pStyle w:val="NormalWeb"/>
        <w:divId w:val="1459840797"/>
      </w:pPr>
      <w:bookmarkStart w:id="3" w:name="#item1A"/>
      <w:bookmarkEnd w:id="3"/>
      <w:r>
        <w:rPr>
          <w:b/>
          <w:bCs/>
          <w:i/>
          <w:iCs/>
        </w:rPr>
        <w:t>ITEM 1A. RISK FACTORS</w:t>
      </w:r>
    </w:p>
    <w:p w14:paraId="5A763251" w14:textId="77777777" w:rsidR="00236301" w:rsidRDefault="00265296">
      <w:pPr>
        <w:pStyle w:val="NormalWeb"/>
        <w:spacing w:after="240" w:afterAutospacing="0"/>
        <w:divId w:val="1459840797"/>
      </w:pPr>
      <w:r>
        <w:rPr>
          <w:b/>
          <w:bCs/>
          <w:sz w:val="20"/>
          <w:szCs w:val="20"/>
        </w:rPr>
        <w:t>Risks Specific to Our Company</w:t>
      </w:r>
    </w:p>
    <w:p w14:paraId="0375367B" w14:textId="77777777" w:rsidR="00236301" w:rsidRDefault="00265296">
      <w:pPr>
        <w:pStyle w:val="NormalWeb"/>
        <w:divId w:val="1459840797"/>
      </w:pPr>
      <w:r>
        <w:rPr>
          <w:sz w:val="20"/>
          <w:szCs w:val="20"/>
        </w:rPr>
        <w:t>THE POTENTIAL PROFITABILITY OF COMMERCIAL REAL ESTATE VENTURES DEPENDS UPON FACTORS BEYOND THE CONTROL OF OUR COMPANY.</w:t>
      </w:r>
    </w:p>
    <w:p w14:paraId="42B7B31F" w14:textId="77777777" w:rsidR="00236301" w:rsidRDefault="00265296">
      <w:pPr>
        <w:pStyle w:val="NormalWeb"/>
        <w:divId w:val="1459840797"/>
      </w:pPr>
      <w:r>
        <w:rPr>
          <w:sz w:val="20"/>
          <w:szCs w:val="20"/>
        </w:rPr>
        <w:t>The potential profitability of commercial real estate properties is dependent upon many factors beyond our control. For instance, world prices and markets for rents and leases of commercial properties are unpredictable, and respond to changes in domestic, international, political, social, and economic environments. Additionally, due to worldwide economic uncertainty, the availability and cost of funds for maintenance, repair, expansion and other expenses have become increasingly difficult, if not impossible, to project. These changes and events may materially affect our financial performance. These factors cannot be accurately predicted and the combination of these factors may result in our Company not receiving an adequate return on invested capital.</w:t>
      </w:r>
    </w:p>
    <w:p w14:paraId="1C5F8D12" w14:textId="77777777" w:rsidR="00236301" w:rsidRDefault="00265296">
      <w:pPr>
        <w:pStyle w:val="NormalWeb"/>
        <w:divId w:val="1459840797"/>
      </w:pPr>
      <w:r>
        <w:rPr>
          <w:i/>
          <w:iCs/>
          <w:sz w:val="20"/>
          <w:szCs w:val="20"/>
        </w:rPr>
        <w:t>WE ARE SUBJECT TO RISKS ASSOCIATED WITH FOREIGN CURRENCY</w:t>
      </w:r>
    </w:p>
    <w:p w14:paraId="18B3B918" w14:textId="77777777" w:rsidR="00236301" w:rsidRDefault="00265296">
      <w:pPr>
        <w:pStyle w:val="NormalWeb"/>
        <w:divId w:val="1459840797"/>
      </w:pPr>
      <w:r>
        <w:rPr>
          <w:sz w:val="20"/>
          <w:szCs w:val="20"/>
        </w:rPr>
        <w:t>ANV is a Danish company with operations only in Denmark. During the year ended June 30, 2016 and 2015, foreign revenues accounted for 100% of our total revenue. As a result, we are subject to risks associated with generating revenue in multiple countries, including:</w:t>
      </w:r>
    </w:p>
    <w:p w14:paraId="41D0811F" w14:textId="77777777" w:rsidR="00236301" w:rsidRDefault="00265296">
      <w:pPr>
        <w:pStyle w:val="NormalWeb"/>
        <w:divId w:val="1459840797"/>
      </w:pPr>
      <w:r>
        <w:rPr>
          <w:sz w:val="20"/>
          <w:szCs w:val="20"/>
        </w:rPr>
        <w:t>· increased time, effort and attention of our management to manage our foreign operations;</w:t>
      </w:r>
    </w:p>
    <w:p w14:paraId="76F64CF6" w14:textId="77777777" w:rsidR="00236301" w:rsidRDefault="00265296">
      <w:pPr>
        <w:pStyle w:val="NormalWeb"/>
        <w:divId w:val="1459840797"/>
      </w:pPr>
      <w:r>
        <w:rPr>
          <w:sz w:val="20"/>
          <w:szCs w:val="20"/>
        </w:rPr>
        <w:t xml:space="preserve">· </w:t>
      </w:r>
      <w:proofErr w:type="gramStart"/>
      <w:r>
        <w:rPr>
          <w:sz w:val="20"/>
          <w:szCs w:val="20"/>
        </w:rPr>
        <w:t>balance</w:t>
      </w:r>
      <w:proofErr w:type="gramEnd"/>
      <w:r>
        <w:rPr>
          <w:sz w:val="20"/>
          <w:szCs w:val="20"/>
        </w:rPr>
        <w:t xml:space="preserve"> sheet fluctuations.</w:t>
      </w:r>
    </w:p>
    <w:p w14:paraId="61F37D3D" w14:textId="77777777" w:rsidR="00236301" w:rsidRDefault="00265296">
      <w:pPr>
        <w:pStyle w:val="NormalWeb"/>
        <w:divId w:val="1459840797"/>
      </w:pPr>
      <w:r>
        <w:rPr>
          <w:sz w:val="20"/>
          <w:szCs w:val="20"/>
        </w:rPr>
        <w:t xml:space="preserve">· </w:t>
      </w:r>
      <w:proofErr w:type="gramStart"/>
      <w:r>
        <w:rPr>
          <w:sz w:val="20"/>
          <w:szCs w:val="20"/>
        </w:rPr>
        <w:t>currency</w:t>
      </w:r>
      <w:proofErr w:type="gramEnd"/>
      <w:r>
        <w:rPr>
          <w:sz w:val="20"/>
          <w:szCs w:val="20"/>
        </w:rPr>
        <w:t xml:space="preserve"> devaluations and fluctuations in currency exchange rates, including impacts of transactions in various currencies and translation of various currencies into dollars for U.S. reporting and financial covenant compliance purposes;</w:t>
      </w:r>
    </w:p>
    <w:p w14:paraId="5518815F" w14:textId="77777777" w:rsidR="00236301" w:rsidRDefault="00265296">
      <w:pPr>
        <w:pStyle w:val="NormalWeb"/>
        <w:divId w:val="1459840797"/>
      </w:pPr>
      <w:r>
        <w:rPr>
          <w:sz w:val="20"/>
          <w:szCs w:val="20"/>
        </w:rPr>
        <w:lastRenderedPageBreak/>
        <w:t xml:space="preserve">· </w:t>
      </w:r>
      <w:proofErr w:type="gramStart"/>
      <w:r>
        <w:rPr>
          <w:sz w:val="20"/>
          <w:szCs w:val="20"/>
        </w:rPr>
        <w:t>language</w:t>
      </w:r>
      <w:proofErr w:type="gramEnd"/>
      <w:r>
        <w:rPr>
          <w:sz w:val="20"/>
          <w:szCs w:val="20"/>
        </w:rPr>
        <w:t xml:space="preserve"> barriers and other difficulties in staffing and managing foreign operations;</w:t>
      </w:r>
    </w:p>
    <w:p w14:paraId="28280F27" w14:textId="77777777" w:rsidR="00236301" w:rsidRDefault="00265296">
      <w:pPr>
        <w:pStyle w:val="NormalWeb"/>
        <w:divId w:val="1459840797"/>
      </w:pPr>
      <w:r>
        <w:rPr>
          <w:sz w:val="20"/>
          <w:szCs w:val="20"/>
        </w:rPr>
        <w:t xml:space="preserve">· </w:t>
      </w:r>
      <w:proofErr w:type="gramStart"/>
      <w:r>
        <w:rPr>
          <w:sz w:val="20"/>
          <w:szCs w:val="20"/>
        </w:rPr>
        <w:t>longer</w:t>
      </w:r>
      <w:proofErr w:type="gramEnd"/>
      <w:r>
        <w:rPr>
          <w:sz w:val="20"/>
          <w:szCs w:val="20"/>
        </w:rPr>
        <w:t xml:space="preserve"> customer payment cycles and greater difficulties in collecting accounts receivable;</w:t>
      </w:r>
    </w:p>
    <w:p w14:paraId="23DA0564" w14:textId="77777777" w:rsidR="00236301" w:rsidRDefault="00265296">
      <w:pPr>
        <w:pStyle w:val="NormalWeb"/>
        <w:divId w:val="1459840797"/>
      </w:pPr>
      <w:r>
        <w:rPr>
          <w:sz w:val="20"/>
          <w:szCs w:val="20"/>
        </w:rPr>
        <w:t xml:space="preserve">· </w:t>
      </w:r>
      <w:proofErr w:type="gramStart"/>
      <w:r>
        <w:rPr>
          <w:sz w:val="20"/>
          <w:szCs w:val="20"/>
        </w:rPr>
        <w:t>uncertainties</w:t>
      </w:r>
      <w:proofErr w:type="gramEnd"/>
      <w:r>
        <w:rPr>
          <w:sz w:val="20"/>
          <w:szCs w:val="20"/>
        </w:rPr>
        <w:t xml:space="preserve"> of laws and enforcement relating to the protection of property;</w:t>
      </w:r>
    </w:p>
    <w:p w14:paraId="7E0D85F8" w14:textId="77777777" w:rsidR="00236301" w:rsidRDefault="00265296">
      <w:pPr>
        <w:pStyle w:val="NormalWeb"/>
        <w:divId w:val="1459840797"/>
      </w:pPr>
      <w:r>
        <w:rPr>
          <w:sz w:val="20"/>
          <w:szCs w:val="20"/>
        </w:rPr>
        <w:t xml:space="preserve">· </w:t>
      </w:r>
      <w:proofErr w:type="gramStart"/>
      <w:r>
        <w:rPr>
          <w:sz w:val="20"/>
          <w:szCs w:val="20"/>
        </w:rPr>
        <w:t>imposition</w:t>
      </w:r>
      <w:proofErr w:type="gramEnd"/>
      <w:r>
        <w:rPr>
          <w:sz w:val="20"/>
          <w:szCs w:val="20"/>
        </w:rPr>
        <w:t xml:space="preserve"> of or increases in currency exchange controls, including imposition of or increases in limitations on conversion of various currencies into U.S. dollars;</w:t>
      </w:r>
    </w:p>
    <w:p w14:paraId="67D98795" w14:textId="77777777" w:rsidR="00236301" w:rsidRDefault="00265296">
      <w:pPr>
        <w:pStyle w:val="NormalWeb"/>
        <w:divId w:val="1459840797"/>
      </w:pPr>
      <w:r>
        <w:rPr>
          <w:sz w:val="20"/>
          <w:szCs w:val="20"/>
        </w:rPr>
        <w:t xml:space="preserve">· </w:t>
      </w:r>
      <w:proofErr w:type="gramStart"/>
      <w:r>
        <w:rPr>
          <w:sz w:val="20"/>
          <w:szCs w:val="20"/>
        </w:rPr>
        <w:t>imposition</w:t>
      </w:r>
      <w:proofErr w:type="gramEnd"/>
      <w:r>
        <w:rPr>
          <w:sz w:val="20"/>
          <w:szCs w:val="20"/>
        </w:rPr>
        <w:t xml:space="preserve"> of or increases in revenue, income or earnings taxes and withholding and other taxes;</w:t>
      </w:r>
    </w:p>
    <w:p w14:paraId="1F334F26" w14:textId="77777777" w:rsidR="00236301" w:rsidRDefault="00265296">
      <w:pPr>
        <w:pStyle w:val="NormalWeb"/>
        <w:divId w:val="1459840797"/>
      </w:pPr>
      <w:r>
        <w:rPr>
          <w:sz w:val="20"/>
          <w:szCs w:val="20"/>
        </w:rPr>
        <w:t xml:space="preserve">· </w:t>
      </w:r>
      <w:proofErr w:type="gramStart"/>
      <w:r>
        <w:rPr>
          <w:sz w:val="20"/>
          <w:szCs w:val="20"/>
        </w:rPr>
        <w:t>imposition</w:t>
      </w:r>
      <w:proofErr w:type="gramEnd"/>
      <w:r>
        <w:rPr>
          <w:sz w:val="20"/>
          <w:szCs w:val="20"/>
        </w:rPr>
        <w:t xml:space="preserve"> of or increases in investment or trade restrictions and other restrictions or requirements by non-U.S. Governments;</w:t>
      </w:r>
    </w:p>
    <w:p w14:paraId="0E702D7D" w14:textId="77777777" w:rsidR="00236301" w:rsidRDefault="00265296">
      <w:pPr>
        <w:pStyle w:val="NormalWeb"/>
        <w:divId w:val="1459840797"/>
      </w:pPr>
      <w:r>
        <w:rPr>
          <w:sz w:val="20"/>
          <w:szCs w:val="20"/>
        </w:rPr>
        <w:t>· inability to definitively determine or satisfy legal requirements, inability to effectively enforce contract or legal rights and inability to obtain complete financial or other information under local legal, judicial, regulatory, disclosure and other systems; and</w:t>
      </w:r>
    </w:p>
    <w:p w14:paraId="008DCF3C" w14:textId="77777777" w:rsidR="00236301" w:rsidRDefault="00265296">
      <w:pPr>
        <w:pStyle w:val="NormalWeb"/>
        <w:divId w:val="1459840797"/>
      </w:pPr>
      <w:r>
        <w:rPr>
          <w:sz w:val="20"/>
          <w:szCs w:val="20"/>
        </w:rPr>
        <w:t xml:space="preserve">· </w:t>
      </w:r>
      <w:proofErr w:type="gramStart"/>
      <w:r>
        <w:rPr>
          <w:sz w:val="20"/>
          <w:szCs w:val="20"/>
        </w:rPr>
        <w:t>nationalization</w:t>
      </w:r>
      <w:proofErr w:type="gramEnd"/>
      <w:r>
        <w:rPr>
          <w:sz w:val="20"/>
          <w:szCs w:val="20"/>
        </w:rPr>
        <w:t xml:space="preserve"> and other risks, which could result from a change in government or other political, social or economic instability.</w:t>
      </w:r>
    </w:p>
    <w:p w14:paraId="5B53D476" w14:textId="77777777" w:rsidR="00236301" w:rsidRDefault="00265296">
      <w:pPr>
        <w:pStyle w:val="NormalWeb"/>
        <w:divId w:val="1459840797"/>
      </w:pPr>
      <w:r>
        <w:rPr>
          <w:i/>
          <w:iCs/>
          <w:sz w:val="20"/>
          <w:szCs w:val="20"/>
        </w:rPr>
        <w:t>WE ARE SUBJECT TO RISKS ASSOCIATED WITH OPERATIONS THAT HAVE A CONCENTRATION OF CUSTOMERS</w:t>
      </w:r>
    </w:p>
    <w:p w14:paraId="3A0A9E64" w14:textId="77777777" w:rsidR="00236301" w:rsidRDefault="00265296">
      <w:pPr>
        <w:pStyle w:val="NormalWeb"/>
        <w:divId w:val="1459840797"/>
      </w:pPr>
      <w:r>
        <w:rPr>
          <w:sz w:val="20"/>
          <w:szCs w:val="20"/>
        </w:rPr>
        <w:t xml:space="preserve">ANV has only one customer. There is no guarantee that this customer will remain solvent, and or continue with the Company in the same manner as it is now. As such, if the Company were to </w:t>
      </w:r>
      <w:r w:rsidR="00227821">
        <w:rPr>
          <w:sz w:val="20"/>
          <w:szCs w:val="20"/>
        </w:rPr>
        <w:t>lose</w:t>
      </w:r>
      <w:r>
        <w:rPr>
          <w:sz w:val="20"/>
          <w:szCs w:val="20"/>
        </w:rPr>
        <w:t xml:space="preserve"> this customer, 100% of its revenues would be lost.</w:t>
      </w:r>
    </w:p>
    <w:p w14:paraId="446B3A5E" w14:textId="77777777" w:rsidR="00236301" w:rsidRDefault="00265296">
      <w:pPr>
        <w:pStyle w:val="NormalWeb"/>
        <w:divId w:val="1459840797"/>
      </w:pPr>
      <w:r>
        <w:rPr>
          <w:i/>
          <w:iCs/>
          <w:sz w:val="20"/>
          <w:szCs w:val="20"/>
        </w:rPr>
        <w:t>IN THE FUTURE, WE MAY NEED TO OBTAIN ADDITIONAL FINANCING TO FUND OUR OPERATIONS AND TO ACQUIRE ADDITIONAL BUSINESSES</w:t>
      </w:r>
    </w:p>
    <w:p w14:paraId="60AB1265" w14:textId="77777777" w:rsidR="00236301" w:rsidRDefault="00265296">
      <w:pPr>
        <w:pStyle w:val="NormalWeb"/>
        <w:divId w:val="1459840797"/>
      </w:pPr>
      <w:r>
        <w:rPr>
          <w:sz w:val="20"/>
          <w:szCs w:val="20"/>
        </w:rPr>
        <w:t>In the future, we may need to obtain additional financing to fund our operations and to acquire additional businesses. There is no guarantee that we will be able to raise additional capital.</w:t>
      </w:r>
    </w:p>
    <w:p w14:paraId="1DED9C43" w14:textId="77777777" w:rsidR="00236301" w:rsidRDefault="00265296">
      <w:pPr>
        <w:pStyle w:val="NormalWeb"/>
        <w:divId w:val="1459840797"/>
      </w:pPr>
      <w:r>
        <w:rPr>
          <w:i/>
          <w:iCs/>
          <w:sz w:val="20"/>
          <w:szCs w:val="20"/>
        </w:rPr>
        <w:t>EFFORTS TO COMPLY WITH RECENTLY ENACTED CHANGES IN SECURITIES LAWS AND REGULATIONS HAVE REQUIRED SUBSTANTIAL FINANCIAL AND PERSONNEL RESOURCES AND WE STILL MAY FAIL TO COMPLY</w:t>
      </w:r>
    </w:p>
    <w:p w14:paraId="3F907B93" w14:textId="77777777" w:rsidR="00236301" w:rsidRDefault="00265296">
      <w:pPr>
        <w:pStyle w:val="NormalWeb"/>
        <w:divId w:val="1459840797"/>
      </w:pPr>
      <w:r>
        <w:rPr>
          <w:sz w:val="20"/>
          <w:szCs w:val="20"/>
        </w:rPr>
        <w:t xml:space="preserve">Pursuant to Section 404 of the Sarbanes-Oxley Act of 2002, the SEC adopted rules requiring public companies to include a report of management on our internal controls over consolidated financial reporting in our annual reports on Form 10-K. In addition, the independent registered public accounting firm auditing our consolidated financial statements must attest to and report on management’s assessment of, and the effectiveness of our internal controls over financial reporting. This requirement was to first apply for management’s assessment in our annual report on Form 10-KSB for our fiscal year ending June 30, 2008, and for the independent registered public accounting firm’s assessment for fiscal year ended June 30, 2008. Depending on a number of variables and the significant </w:t>
      </w:r>
      <w:r>
        <w:rPr>
          <w:sz w:val="20"/>
          <w:szCs w:val="20"/>
        </w:rPr>
        <w:lastRenderedPageBreak/>
        <w:t>resources required to comply, uncertainty exists regarding our ability to continue to comply with these rules even though the Company may have complied in the past.</w:t>
      </w:r>
    </w:p>
    <w:p w14:paraId="24E189F3" w14:textId="77777777" w:rsidR="00236301" w:rsidRDefault="00265296">
      <w:pPr>
        <w:pStyle w:val="NormalWeb"/>
        <w:divId w:val="1459840797"/>
      </w:pPr>
      <w:r>
        <w:rPr>
          <w:sz w:val="20"/>
          <w:szCs w:val="20"/>
        </w:rPr>
        <w:t>Pursuant to interactive data rules adopted in Securities Act Release No. 9002 (Jan. 30, 2009) and further accepted, there is uncertainty whether the Company will be able to comply with the stated rules as they are phased in, if the Company is able to initially comply, and whether the Company will continue to be able to do so .</w:t>
      </w:r>
    </w:p>
    <w:p w14:paraId="7B75F70E" w14:textId="77777777" w:rsidR="00236301" w:rsidRDefault="00265296">
      <w:pPr>
        <w:pStyle w:val="NormalWeb"/>
        <w:divId w:val="1459840797"/>
      </w:pPr>
      <w:r>
        <w:rPr>
          <w:i/>
          <w:iCs/>
          <w:sz w:val="20"/>
          <w:szCs w:val="20"/>
        </w:rPr>
        <w:t>PROVISIONS OF OUR CORPORATE DOCUMENTS AND DELAWARE CORPORATE LAW MAY DETER A THIRD PARTY FROM ACQUIRING OUR COMPANY</w:t>
      </w:r>
    </w:p>
    <w:p w14:paraId="7793D4BC" w14:textId="77777777" w:rsidR="00236301" w:rsidRDefault="00084F74">
      <w:pPr>
        <w:pStyle w:val="NormalWeb"/>
        <w:divId w:val="1459840797"/>
      </w:pPr>
      <w:hyperlink w:anchor="toc" w:history="1">
        <w:r w:rsidR="00265296">
          <w:rPr>
            <w:rStyle w:val="Hyperlink"/>
            <w:b/>
            <w:bCs/>
            <w:sz w:val="20"/>
            <w:szCs w:val="20"/>
          </w:rPr>
          <w:t>Return to Table of Contents</w:t>
        </w:r>
      </w:hyperlink>
    </w:p>
    <w:p w14:paraId="7D552BDA" w14:textId="77777777" w:rsidR="00236301" w:rsidRDefault="00265296">
      <w:pPr>
        <w:pStyle w:val="NormalWeb"/>
        <w:divId w:val="1459840797"/>
      </w:pPr>
      <w:r>
        <w:rPr>
          <w:b/>
          <w:bCs/>
          <w:sz w:val="20"/>
          <w:szCs w:val="20"/>
        </w:rPr>
        <w:t>8</w:t>
      </w:r>
      <w:r>
        <w:t xml:space="preserve"> </w:t>
      </w:r>
    </w:p>
    <w:p w14:paraId="47803844" w14:textId="77777777" w:rsidR="00236301" w:rsidRDefault="00084F74">
      <w:pPr>
        <w:jc w:val="center"/>
        <w:divId w:val="1459840797"/>
        <w:rPr>
          <w:rFonts w:eastAsia="Times New Roman"/>
          <w:sz w:val="20"/>
          <w:szCs w:val="20"/>
        </w:rPr>
      </w:pPr>
      <w:r>
        <w:rPr>
          <w:rFonts w:eastAsia="Times New Roman"/>
          <w:sz w:val="20"/>
          <w:szCs w:val="20"/>
        </w:rPr>
        <w:pict w14:anchorId="47539B31">
          <v:rect id="_x0000_i1036" style="width:.05pt;height:1pt" o:hralign="center" o:hrstd="t" o:hrnoshade="t" o:hr="t" fillcolor="blue" stroked="f"/>
        </w:pict>
      </w:r>
    </w:p>
    <w:p w14:paraId="1CFB5C1A" w14:textId="77777777" w:rsidR="00236301" w:rsidRDefault="00265296">
      <w:pPr>
        <w:pStyle w:val="NormalWeb"/>
        <w:divId w:val="1459840797"/>
      </w:pPr>
      <w:r>
        <w:rPr>
          <w:sz w:val="20"/>
          <w:szCs w:val="20"/>
        </w:rPr>
        <w:t>Provisions of our articles of incorporation and our bylaws, authorize our Board of Directors to, among other things, issue preferred stock and fix the rights, preferences, privileges and restrictions of such shares without any further vote, approval or action by our stockholders. Our Board could take actions that could discourage a third party from attempting to acquire control of us and that could make it more difficult for a third party to acquire us. Our Board could take such actions even if our stockholders consider a change in control to be in their best interests.</w:t>
      </w:r>
    </w:p>
    <w:p w14:paraId="72090B4A" w14:textId="77777777" w:rsidR="00236301" w:rsidRDefault="00265296">
      <w:pPr>
        <w:pStyle w:val="NormalWeb"/>
        <w:divId w:val="1459840797"/>
      </w:pPr>
      <w:r>
        <w:rPr>
          <w:i/>
          <w:iCs/>
          <w:sz w:val="20"/>
          <w:szCs w:val="20"/>
        </w:rPr>
        <w:t>WE PLAN TO GROW OUR BUSINESS THROUGH ACQUISITIONS AND JOINT VENTURES, WHICH WILL RESULT IN OUR INCURRING SIGNIFICANT COSTS</w:t>
      </w:r>
    </w:p>
    <w:p w14:paraId="6002F869" w14:textId="77777777" w:rsidR="00236301" w:rsidRDefault="00265296">
      <w:pPr>
        <w:pStyle w:val="NormalWeb"/>
        <w:divId w:val="1459840797"/>
      </w:pPr>
      <w:r>
        <w:rPr>
          <w:sz w:val="20"/>
          <w:szCs w:val="20"/>
        </w:rPr>
        <w:t>The acquisition of new businesses is costly, such new businesses may not enhance our financial condition, and we may face difficulties and be unsuccessful in integrating new businesses. The resources expended in identifying, negotiating and structuring acquisitions and joint ventures may be significant and may not result in any transactions. Any future acquisitions will be subject to a number of challenges in integrating new operations into our existing operations, including but not limited to:</w:t>
      </w:r>
    </w:p>
    <w:p w14:paraId="6D00CEF3" w14:textId="77777777" w:rsidR="00236301" w:rsidRDefault="00265296">
      <w:pPr>
        <w:pStyle w:val="NormalWeb"/>
        <w:divId w:val="1459840797"/>
      </w:pPr>
      <w:r>
        <w:rPr>
          <w:sz w:val="20"/>
          <w:szCs w:val="20"/>
        </w:rPr>
        <w:t xml:space="preserve">· </w:t>
      </w:r>
      <w:proofErr w:type="gramStart"/>
      <w:r>
        <w:rPr>
          <w:sz w:val="20"/>
          <w:szCs w:val="20"/>
        </w:rPr>
        <w:t>diversion</w:t>
      </w:r>
      <w:proofErr w:type="gramEnd"/>
      <w:r>
        <w:rPr>
          <w:sz w:val="20"/>
          <w:szCs w:val="20"/>
        </w:rPr>
        <w:t xml:space="preserve"> of management time and resources;</w:t>
      </w:r>
    </w:p>
    <w:p w14:paraId="53103551" w14:textId="77777777" w:rsidR="00236301" w:rsidRDefault="00265296">
      <w:pPr>
        <w:pStyle w:val="NormalWeb"/>
        <w:divId w:val="1459840797"/>
      </w:pPr>
      <w:r>
        <w:rPr>
          <w:sz w:val="20"/>
          <w:szCs w:val="20"/>
        </w:rPr>
        <w:t xml:space="preserve">· </w:t>
      </w:r>
      <w:proofErr w:type="gramStart"/>
      <w:r>
        <w:rPr>
          <w:sz w:val="20"/>
          <w:szCs w:val="20"/>
        </w:rPr>
        <w:t>difficulty</w:t>
      </w:r>
      <w:proofErr w:type="gramEnd"/>
      <w:r>
        <w:rPr>
          <w:sz w:val="20"/>
          <w:szCs w:val="20"/>
        </w:rPr>
        <w:t xml:space="preserve"> of assimilating the operations and personnel of the acquired companies;</w:t>
      </w:r>
    </w:p>
    <w:p w14:paraId="2FDA33C7" w14:textId="77777777" w:rsidR="00236301" w:rsidRDefault="00265296">
      <w:pPr>
        <w:pStyle w:val="NormalWeb"/>
        <w:divId w:val="1459840797"/>
      </w:pPr>
      <w:r>
        <w:rPr>
          <w:sz w:val="20"/>
          <w:szCs w:val="20"/>
        </w:rPr>
        <w:t xml:space="preserve">· </w:t>
      </w:r>
      <w:proofErr w:type="gramStart"/>
      <w:r>
        <w:rPr>
          <w:sz w:val="20"/>
          <w:szCs w:val="20"/>
        </w:rPr>
        <w:t>potential</w:t>
      </w:r>
      <w:proofErr w:type="gramEnd"/>
      <w:r>
        <w:rPr>
          <w:sz w:val="20"/>
          <w:szCs w:val="20"/>
        </w:rPr>
        <w:t xml:space="preserve"> disruption of our ongoing business;</w:t>
      </w:r>
    </w:p>
    <w:p w14:paraId="61011A7B" w14:textId="77777777" w:rsidR="00236301" w:rsidRDefault="00265296">
      <w:pPr>
        <w:pStyle w:val="NormalWeb"/>
        <w:divId w:val="1459840797"/>
      </w:pPr>
      <w:r>
        <w:rPr>
          <w:sz w:val="20"/>
          <w:szCs w:val="20"/>
        </w:rPr>
        <w:t xml:space="preserve">· </w:t>
      </w:r>
      <w:proofErr w:type="gramStart"/>
      <w:r>
        <w:rPr>
          <w:sz w:val="20"/>
          <w:szCs w:val="20"/>
        </w:rPr>
        <w:t>difficulties</w:t>
      </w:r>
      <w:proofErr w:type="gramEnd"/>
      <w:r>
        <w:rPr>
          <w:sz w:val="20"/>
          <w:szCs w:val="20"/>
        </w:rPr>
        <w:t xml:space="preserve"> in maintaining uniform standards, controls, procedures and policies;</w:t>
      </w:r>
    </w:p>
    <w:p w14:paraId="0261BB93" w14:textId="77777777" w:rsidR="00236301" w:rsidRDefault="00265296">
      <w:pPr>
        <w:pStyle w:val="NormalWeb"/>
        <w:divId w:val="1459840797"/>
      </w:pPr>
      <w:r>
        <w:rPr>
          <w:sz w:val="20"/>
          <w:szCs w:val="20"/>
        </w:rPr>
        <w:lastRenderedPageBreak/>
        <w:t xml:space="preserve">· </w:t>
      </w:r>
      <w:proofErr w:type="gramStart"/>
      <w:r>
        <w:rPr>
          <w:sz w:val="20"/>
          <w:szCs w:val="20"/>
        </w:rPr>
        <w:t>impairment</w:t>
      </w:r>
      <w:proofErr w:type="gramEnd"/>
      <w:r>
        <w:rPr>
          <w:sz w:val="20"/>
          <w:szCs w:val="20"/>
        </w:rPr>
        <w:t xml:space="preserve"> of relationships with employees and customers as a result of any integration of new management personnel; and</w:t>
      </w:r>
    </w:p>
    <w:p w14:paraId="7A65B68A" w14:textId="77777777" w:rsidR="00236301" w:rsidRDefault="00265296">
      <w:pPr>
        <w:pStyle w:val="NormalWeb"/>
        <w:divId w:val="1459840797"/>
      </w:pPr>
      <w:r>
        <w:rPr>
          <w:sz w:val="20"/>
          <w:szCs w:val="20"/>
        </w:rPr>
        <w:t xml:space="preserve">· </w:t>
      </w:r>
      <w:proofErr w:type="gramStart"/>
      <w:r>
        <w:rPr>
          <w:sz w:val="20"/>
          <w:szCs w:val="20"/>
        </w:rPr>
        <w:t>potential</w:t>
      </w:r>
      <w:proofErr w:type="gramEnd"/>
      <w:r>
        <w:rPr>
          <w:sz w:val="20"/>
          <w:szCs w:val="20"/>
        </w:rPr>
        <w:t xml:space="preserve"> unknown liabilities associated with acquired businesses</w:t>
      </w:r>
    </w:p>
    <w:p w14:paraId="2B18B88F" w14:textId="77777777" w:rsidR="00236301" w:rsidRDefault="00265296">
      <w:pPr>
        <w:pStyle w:val="NormalWeb"/>
        <w:divId w:val="1459840797"/>
      </w:pPr>
      <w:r>
        <w:t> </w:t>
      </w:r>
    </w:p>
    <w:p w14:paraId="6E6D0A0E" w14:textId="77777777" w:rsidR="00236301" w:rsidRDefault="00265296">
      <w:pPr>
        <w:pStyle w:val="NormalWeb"/>
        <w:divId w:val="1459840797"/>
      </w:pPr>
      <w:r>
        <w:rPr>
          <w:b/>
          <w:bCs/>
          <w:sz w:val="20"/>
          <w:szCs w:val="20"/>
        </w:rPr>
        <w:t>Risks Specific to Our Industry</w:t>
      </w:r>
    </w:p>
    <w:p w14:paraId="6827BF8F" w14:textId="77777777" w:rsidR="00236301" w:rsidRDefault="00265296">
      <w:pPr>
        <w:pStyle w:val="NormalWeb"/>
        <w:divId w:val="1459840797"/>
      </w:pPr>
      <w:r>
        <w:rPr>
          <w:i/>
          <w:iCs/>
          <w:sz w:val="20"/>
          <w:szCs w:val="20"/>
        </w:rPr>
        <w:t>WE ARE SUBJECT TO RISKS ASSOCIATED WITH GLOBAL DECLINE IN REAL ESTATE</w:t>
      </w:r>
    </w:p>
    <w:p w14:paraId="57ECB02F" w14:textId="77777777" w:rsidR="00236301" w:rsidRDefault="00265296">
      <w:pPr>
        <w:pStyle w:val="NormalWeb"/>
        <w:divId w:val="1459840797"/>
      </w:pPr>
      <w:r>
        <w:rPr>
          <w:sz w:val="20"/>
          <w:szCs w:val="20"/>
        </w:rPr>
        <w:t xml:space="preserve">ANV, the Company's subsidiary has only one commercial real estate property. There is no guarantee that the demand for rental of this property will continue and potentially this would affect the Company's performance. </w:t>
      </w:r>
    </w:p>
    <w:p w14:paraId="2E2FCFBF" w14:textId="77777777" w:rsidR="00236301" w:rsidRDefault="00265296">
      <w:pPr>
        <w:pStyle w:val="NormalWeb"/>
        <w:spacing w:after="240" w:afterAutospacing="0"/>
        <w:divId w:val="1459840797"/>
      </w:pPr>
      <w:r>
        <w:rPr>
          <w:b/>
          <w:bCs/>
          <w:sz w:val="20"/>
          <w:szCs w:val="20"/>
        </w:rPr>
        <w:t>Risks Related to Our Securities</w:t>
      </w:r>
    </w:p>
    <w:p w14:paraId="7B418F9A" w14:textId="77777777" w:rsidR="00236301" w:rsidRDefault="00265296">
      <w:pPr>
        <w:pStyle w:val="NormalWeb"/>
        <w:spacing w:after="240" w:afterAutospacing="0"/>
        <w:divId w:val="1459840797"/>
      </w:pPr>
      <w:r>
        <w:rPr>
          <w:sz w:val="20"/>
          <w:szCs w:val="20"/>
        </w:rPr>
        <w:t>OUR COMMON STOCK IS SUBJECT TO THE “PENNY STOCK” RULES OF THE SEC AND THE TRADING MARKET IN OUR SECURITIES IS LIMITED, WHICH MAKES TRANSACTIONS IN OUR STOCK CUMBERSOME AND MAY REDUCE THE VALUE OF AN INVESTMENT IN OUR STOCK.</w:t>
      </w:r>
    </w:p>
    <w:p w14:paraId="1D2EF026" w14:textId="77777777" w:rsidR="00236301" w:rsidRDefault="00265296">
      <w:pPr>
        <w:pStyle w:val="NormalWeb"/>
        <w:spacing w:after="240" w:afterAutospacing="0"/>
        <w:divId w:val="1459840797"/>
      </w:pPr>
      <w:r>
        <w:rPr>
          <w:sz w:val="20"/>
          <w:szCs w:val="20"/>
        </w:rPr>
        <w:t>The Securities and Exchange Commission has adopted Rule 15g-9 which establishes the definition of a “penny stock,” for the purposes relevant to us, as any equity security that has a market price of less than $5.00 per share or with an exercise price of less than $5.00 per share, subject to certain exceptions. For any transaction involving a penny stock, unless exempt, the rules require: that a broker or dealer approve a person’s account for transactions in penny stocks; and the broker or dealer receive from the investor a written agreement to the transaction, setting forth the identity and quantity of the penny stock to be purchased.</w:t>
      </w:r>
    </w:p>
    <w:p w14:paraId="2CBF962E" w14:textId="77777777" w:rsidR="00236301" w:rsidRDefault="00265296">
      <w:pPr>
        <w:pStyle w:val="NormalWeb"/>
        <w:spacing w:after="240" w:afterAutospacing="0"/>
        <w:divId w:val="1459840797"/>
      </w:pPr>
      <w:r>
        <w:rPr>
          <w:sz w:val="20"/>
          <w:szCs w:val="20"/>
        </w:rPr>
        <w:t>In order to approve a person’s account for transactions in penny stocks, the broker or dealer must: obtain financial information and investment experience objectives of the person; and make a reasonable determination that the transactions in penny stocks are suitable for that person and the person has sufficient knowledge and experience in financial matters to be capable of evaluating the risks of transactions in penny stocks.</w:t>
      </w:r>
    </w:p>
    <w:p w14:paraId="4CF13B47" w14:textId="77777777" w:rsidR="00236301" w:rsidRDefault="00265296">
      <w:pPr>
        <w:pStyle w:val="NormalWeb"/>
        <w:divId w:val="1459840797"/>
      </w:pPr>
      <w:r>
        <w:rPr>
          <w:sz w:val="20"/>
          <w:szCs w:val="20"/>
        </w:rPr>
        <w:t>The broker or dealer must also deliver, prior to any transaction in a penny stock, a disclosure schedule prescribed by the Commission relating to the penny stock market, which, in highlight form: sets forth the basis on which the broker or dealer made the suitability determination; and that the broker or dealer received a signed, written agreement from the investor prior to the transaction.</w:t>
      </w:r>
    </w:p>
    <w:p w14:paraId="5D7BE117" w14:textId="77777777" w:rsidR="00236301" w:rsidRDefault="00265296">
      <w:pPr>
        <w:pStyle w:val="NormalWeb"/>
        <w:divId w:val="1459840797"/>
      </w:pPr>
      <w:r>
        <w:rPr>
          <w:sz w:val="20"/>
          <w:szCs w:val="20"/>
        </w:rPr>
        <w:t>Generally, brokers may be less willing to execute transactions in securities subject to the “penny stock” rules. This may make it more difficult for investors to dispose of our common stock and cause a decline in the market value of our stock.</w:t>
      </w:r>
    </w:p>
    <w:p w14:paraId="74772870" w14:textId="77777777" w:rsidR="00236301" w:rsidRDefault="00265296">
      <w:pPr>
        <w:pStyle w:val="NormalWeb"/>
        <w:divId w:val="1459840797"/>
      </w:pPr>
      <w:r>
        <w:rPr>
          <w:sz w:val="20"/>
          <w:szCs w:val="20"/>
        </w:rPr>
        <w:t xml:space="preserve">Disclosure also has to be made about the risks of investing in penny stocks in both public offerings and in secondary trading and about the commissions payable to both the broker-dealer and the registered representative, current quotations for the securities and the rights and remedies available to an investor in cases of </w:t>
      </w:r>
      <w:r>
        <w:rPr>
          <w:sz w:val="20"/>
          <w:szCs w:val="20"/>
        </w:rPr>
        <w:lastRenderedPageBreak/>
        <w:t>fraud in penny stock transactions. Finally, monthly statements have to be sent disclosing recent price information for the penny stock held in the account and information on the limited market in penny stocks.</w:t>
      </w:r>
    </w:p>
    <w:p w14:paraId="1A573EE9" w14:textId="77777777" w:rsidR="00236301" w:rsidRDefault="00265296">
      <w:pPr>
        <w:pStyle w:val="NormalWeb"/>
        <w:divId w:val="1459840797"/>
      </w:pPr>
      <w:bookmarkStart w:id="4" w:name="#item1B"/>
      <w:bookmarkEnd w:id="4"/>
      <w:r>
        <w:rPr>
          <w:b/>
          <w:bCs/>
          <w:i/>
          <w:iCs/>
        </w:rPr>
        <w:t>ITEM 1B. UNRESOLVED STAFF COMMENTS</w:t>
      </w:r>
    </w:p>
    <w:p w14:paraId="20152B9E" w14:textId="77777777" w:rsidR="00236301" w:rsidRDefault="00265296">
      <w:pPr>
        <w:pStyle w:val="NormalWeb"/>
        <w:divId w:val="1459840797"/>
      </w:pPr>
      <w:r>
        <w:rPr>
          <w:sz w:val="20"/>
          <w:szCs w:val="20"/>
        </w:rPr>
        <w:t>There are none.</w:t>
      </w:r>
    </w:p>
    <w:p w14:paraId="6736FE00" w14:textId="77777777" w:rsidR="00236301" w:rsidRDefault="00084F74">
      <w:pPr>
        <w:pStyle w:val="NormalWeb"/>
        <w:divId w:val="1459840797"/>
      </w:pPr>
      <w:hyperlink w:anchor="toc" w:history="1">
        <w:r w:rsidR="00265296">
          <w:rPr>
            <w:rStyle w:val="Hyperlink"/>
            <w:b/>
            <w:bCs/>
            <w:sz w:val="20"/>
            <w:szCs w:val="20"/>
          </w:rPr>
          <w:t>Return to Table of Contents</w:t>
        </w:r>
      </w:hyperlink>
    </w:p>
    <w:p w14:paraId="43BB2948" w14:textId="77777777" w:rsidR="00236301" w:rsidRDefault="00265296">
      <w:pPr>
        <w:pStyle w:val="NormalWeb"/>
        <w:divId w:val="1459840797"/>
      </w:pPr>
      <w:r>
        <w:rPr>
          <w:b/>
          <w:bCs/>
          <w:sz w:val="20"/>
          <w:szCs w:val="20"/>
        </w:rPr>
        <w:t>9</w:t>
      </w:r>
      <w:r>
        <w:t xml:space="preserve"> </w:t>
      </w:r>
    </w:p>
    <w:p w14:paraId="7E2B7C7B" w14:textId="77777777" w:rsidR="00236301" w:rsidRDefault="00084F74">
      <w:pPr>
        <w:jc w:val="center"/>
        <w:divId w:val="1459840797"/>
        <w:rPr>
          <w:rFonts w:eastAsia="Times New Roman"/>
          <w:sz w:val="20"/>
          <w:szCs w:val="20"/>
        </w:rPr>
      </w:pPr>
      <w:r>
        <w:rPr>
          <w:rFonts w:eastAsia="Times New Roman"/>
          <w:sz w:val="20"/>
          <w:szCs w:val="20"/>
        </w:rPr>
        <w:pict w14:anchorId="6D758DE6">
          <v:rect id="_x0000_i1037" style="width:.05pt;height:1pt" o:hralign="center" o:hrstd="t" o:hrnoshade="t" o:hr="t" fillcolor="blue" stroked="f"/>
        </w:pict>
      </w:r>
    </w:p>
    <w:p w14:paraId="655365E7" w14:textId="77777777" w:rsidR="00236301" w:rsidRDefault="00265296">
      <w:pPr>
        <w:pStyle w:val="NormalWeb"/>
        <w:divId w:val="1459840797"/>
      </w:pPr>
      <w:bookmarkStart w:id="5" w:name="#item2"/>
      <w:bookmarkEnd w:id="5"/>
      <w:r>
        <w:rPr>
          <w:b/>
          <w:bCs/>
          <w:i/>
          <w:iCs/>
        </w:rPr>
        <w:t>ITEM 2. DESCRIPTION OF PROPERTY</w:t>
      </w:r>
    </w:p>
    <w:p w14:paraId="4B794C6C" w14:textId="77777777" w:rsidR="00236301" w:rsidRDefault="00265296">
      <w:pPr>
        <w:pStyle w:val="NormalWeb"/>
        <w:divId w:val="1459840797"/>
      </w:pPr>
      <w:r>
        <w:rPr>
          <w:sz w:val="20"/>
          <w:szCs w:val="20"/>
        </w:rPr>
        <w:t xml:space="preserve">The assets of the Company consist of its wholly owned subsidiary, Anton Nielsen Vojens, ApS ("ANV") whose sole asset is commercial real estate in Vojens, Denmark. The commercial real estate is leased to StatOil, AS until 2026. The property is land only and is a 750 square meter parcel currently used as a fuel station and is located at Ostergade 67, 6500 Vojens Denmark. </w:t>
      </w:r>
    </w:p>
    <w:p w14:paraId="0775AE98" w14:textId="77777777" w:rsidR="00236301" w:rsidRDefault="00265296">
      <w:pPr>
        <w:pStyle w:val="NormalWeb"/>
        <w:divId w:val="1459840797"/>
      </w:pPr>
      <w:bookmarkStart w:id="6" w:name="#item3"/>
      <w:bookmarkEnd w:id="6"/>
      <w:r>
        <w:rPr>
          <w:b/>
          <w:bCs/>
          <w:i/>
          <w:iCs/>
        </w:rPr>
        <w:t>ITEM 3. LEGAL PROCEEDINGS</w:t>
      </w:r>
    </w:p>
    <w:p w14:paraId="7385BAFA" w14:textId="77777777" w:rsidR="005C5EA1" w:rsidRDefault="00265296">
      <w:pPr>
        <w:pStyle w:val="NormalWeb"/>
        <w:divId w:val="1459840797"/>
        <w:rPr>
          <w:sz w:val="20"/>
          <w:szCs w:val="20"/>
        </w:rPr>
      </w:pPr>
      <w:r>
        <w:rPr>
          <w:sz w:val="20"/>
          <w:szCs w:val="20"/>
        </w:rPr>
        <w:t xml:space="preserve">During the period ending June 30, 2016, the pending or threatened legal actions as follows: </w:t>
      </w:r>
    </w:p>
    <w:p w14:paraId="48B7AB26" w14:textId="6C62F876" w:rsidR="00236301" w:rsidRDefault="00265296">
      <w:pPr>
        <w:pStyle w:val="NormalWeb"/>
        <w:divId w:val="1459840797"/>
      </w:pPr>
      <w:r>
        <w:rPr>
          <w:sz w:val="20"/>
          <w:szCs w:val="20"/>
        </w:rPr>
        <w:t>None</w:t>
      </w:r>
    </w:p>
    <w:p w14:paraId="216BFFFC" w14:textId="77777777" w:rsidR="00236301" w:rsidRDefault="00265296">
      <w:pPr>
        <w:pStyle w:val="NormalWeb"/>
        <w:divId w:val="1459840797"/>
      </w:pPr>
      <w:bookmarkStart w:id="7" w:name="#item4"/>
      <w:bookmarkEnd w:id="7"/>
      <w:r>
        <w:rPr>
          <w:b/>
          <w:bCs/>
          <w:i/>
          <w:iCs/>
        </w:rPr>
        <w:t>ITEM 4: MINE SAFETY DISCLOSURES.</w:t>
      </w:r>
      <w:r>
        <w:rPr>
          <w:b/>
          <w:bCs/>
          <w:i/>
          <w:iCs/>
        </w:rPr>
        <w:br/>
      </w:r>
      <w:r>
        <w:rPr>
          <w:b/>
          <w:bCs/>
          <w:i/>
          <w:iCs/>
        </w:rPr>
        <w:br/>
      </w:r>
      <w:r>
        <w:rPr>
          <w:sz w:val="20"/>
          <w:szCs w:val="20"/>
        </w:rPr>
        <w:t>Not applicable.</w:t>
      </w:r>
    </w:p>
    <w:p w14:paraId="474839CB" w14:textId="77777777" w:rsidR="00236301" w:rsidRDefault="00265296">
      <w:pPr>
        <w:pStyle w:val="NormalWeb"/>
        <w:divId w:val="1459840797"/>
      </w:pPr>
      <w:r>
        <w:rPr>
          <w:b/>
          <w:bCs/>
          <w:sz w:val="36"/>
          <w:szCs w:val="36"/>
        </w:rPr>
        <w:t>PART II</w:t>
      </w:r>
    </w:p>
    <w:p w14:paraId="38DDF305" w14:textId="77777777" w:rsidR="00236301" w:rsidRDefault="00265296">
      <w:pPr>
        <w:pStyle w:val="NormalWeb"/>
        <w:divId w:val="1459840797"/>
      </w:pPr>
      <w:bookmarkStart w:id="8" w:name="#item5"/>
      <w:bookmarkEnd w:id="8"/>
      <w:r>
        <w:rPr>
          <w:b/>
          <w:bCs/>
          <w:i/>
          <w:iCs/>
        </w:rPr>
        <w:t>ITEM 5. MARKET OF COMMON EQUITY, RELATED STOCKHOLDER MATTERS AND SMALL BUSINESS ISSUER PURCHASES OF EQUITY SECURITIES.</w:t>
      </w:r>
    </w:p>
    <w:p w14:paraId="35C0CB3A" w14:textId="77777777" w:rsidR="00236301" w:rsidRDefault="00265296">
      <w:pPr>
        <w:pStyle w:val="NormalWeb"/>
        <w:divId w:val="1459840797"/>
      </w:pPr>
      <w:r>
        <w:rPr>
          <w:sz w:val="20"/>
          <w:szCs w:val="20"/>
        </w:rPr>
        <w:lastRenderedPageBreak/>
        <w:t>The Company's Common Stock is traded on the Over-The-Counter Pink. The following table sets forth the range of high and low bid quotations on the Common Stock for the quarterly periods indicated, as reported by the National Quotation Bureau, Inc. The quotations are inter-dealer prices without retail mark-ups, mark downs or commissions and may not represent actual transactions.</w:t>
      </w:r>
    </w:p>
    <w:tbl>
      <w:tblPr>
        <w:tblW w:w="9570" w:type="dxa"/>
        <w:tblCellSpacing w:w="0" w:type="dxa"/>
        <w:tblCellMar>
          <w:left w:w="0" w:type="dxa"/>
          <w:right w:w="0" w:type="dxa"/>
        </w:tblCellMar>
        <w:tblLook w:val="04A0" w:firstRow="1" w:lastRow="0" w:firstColumn="1" w:lastColumn="0" w:noHBand="0" w:noVBand="1"/>
      </w:tblPr>
      <w:tblGrid>
        <w:gridCol w:w="4498"/>
        <w:gridCol w:w="1914"/>
        <w:gridCol w:w="3158"/>
      </w:tblGrid>
      <w:tr w:rsidR="00236301" w14:paraId="5E7EB452" w14:textId="77777777">
        <w:trPr>
          <w:divId w:val="1459840797"/>
          <w:tblCellSpacing w:w="0" w:type="dxa"/>
        </w:trPr>
        <w:tc>
          <w:tcPr>
            <w:tcW w:w="2350" w:type="pct"/>
            <w:shd w:val="clear" w:color="auto" w:fill="FFFFFF"/>
            <w:vAlign w:val="center"/>
            <w:hideMark/>
          </w:tcPr>
          <w:p w14:paraId="404143B1" w14:textId="77777777" w:rsidR="00236301" w:rsidRDefault="00265296">
            <w:pPr>
              <w:pStyle w:val="NormalWeb"/>
            </w:pPr>
            <w:r>
              <w:rPr>
                <w:b/>
                <w:bCs/>
                <w:sz w:val="20"/>
                <w:szCs w:val="20"/>
              </w:rPr>
              <w:t>Fiscal Year Ended June 30, 2016</w:t>
            </w:r>
          </w:p>
        </w:tc>
        <w:tc>
          <w:tcPr>
            <w:tcW w:w="1000" w:type="pct"/>
            <w:shd w:val="clear" w:color="auto" w:fill="FFFFFF"/>
            <w:vAlign w:val="center"/>
            <w:hideMark/>
          </w:tcPr>
          <w:p w14:paraId="22CEAC0D" w14:textId="77777777" w:rsidR="00236301" w:rsidRDefault="00265296">
            <w:pPr>
              <w:pStyle w:val="NormalWeb"/>
              <w:jc w:val="right"/>
            </w:pPr>
            <w:r>
              <w:rPr>
                <w:b/>
                <w:bCs/>
                <w:sz w:val="20"/>
                <w:szCs w:val="20"/>
              </w:rPr>
              <w:t>High</w:t>
            </w:r>
          </w:p>
        </w:tc>
        <w:tc>
          <w:tcPr>
            <w:tcW w:w="1650" w:type="pct"/>
            <w:shd w:val="clear" w:color="auto" w:fill="FFFFFF"/>
            <w:vAlign w:val="center"/>
            <w:hideMark/>
          </w:tcPr>
          <w:p w14:paraId="6DAB44E3" w14:textId="77777777" w:rsidR="00236301" w:rsidRDefault="00265296">
            <w:pPr>
              <w:pStyle w:val="NormalWeb"/>
              <w:jc w:val="right"/>
            </w:pPr>
            <w:r>
              <w:rPr>
                <w:b/>
                <w:bCs/>
                <w:sz w:val="20"/>
                <w:szCs w:val="20"/>
              </w:rPr>
              <w:t>Low</w:t>
            </w:r>
          </w:p>
        </w:tc>
      </w:tr>
      <w:tr w:rsidR="00236301" w14:paraId="37D1641B" w14:textId="77777777">
        <w:trPr>
          <w:divId w:val="1459840797"/>
          <w:tblCellSpacing w:w="0" w:type="dxa"/>
        </w:trPr>
        <w:tc>
          <w:tcPr>
            <w:tcW w:w="2350" w:type="pct"/>
            <w:shd w:val="clear" w:color="auto" w:fill="CCEEFF"/>
            <w:vAlign w:val="center"/>
            <w:hideMark/>
          </w:tcPr>
          <w:p w14:paraId="3DD8915F" w14:textId="77777777" w:rsidR="00236301" w:rsidRDefault="00265296">
            <w:pPr>
              <w:pStyle w:val="NormalWeb"/>
            </w:pPr>
            <w:r>
              <w:rPr>
                <w:sz w:val="20"/>
                <w:szCs w:val="20"/>
              </w:rPr>
              <w:t>First Quarter</w:t>
            </w:r>
          </w:p>
        </w:tc>
        <w:tc>
          <w:tcPr>
            <w:tcW w:w="1000" w:type="pct"/>
            <w:shd w:val="clear" w:color="auto" w:fill="CCEEFF"/>
            <w:vAlign w:val="center"/>
            <w:hideMark/>
          </w:tcPr>
          <w:p w14:paraId="384DAC59" w14:textId="77777777" w:rsidR="00236301" w:rsidRDefault="00265296">
            <w:pPr>
              <w:pStyle w:val="NormalWeb"/>
              <w:jc w:val="right"/>
            </w:pPr>
            <w:r>
              <w:rPr>
                <w:sz w:val="20"/>
                <w:szCs w:val="20"/>
              </w:rPr>
              <w:t>0.080</w:t>
            </w:r>
          </w:p>
        </w:tc>
        <w:tc>
          <w:tcPr>
            <w:tcW w:w="1650" w:type="pct"/>
            <w:shd w:val="clear" w:color="auto" w:fill="CCEEFF"/>
            <w:vAlign w:val="center"/>
            <w:hideMark/>
          </w:tcPr>
          <w:p w14:paraId="16D9AD13" w14:textId="77777777" w:rsidR="00236301" w:rsidRDefault="00265296">
            <w:pPr>
              <w:pStyle w:val="NormalWeb"/>
              <w:jc w:val="right"/>
            </w:pPr>
            <w:r>
              <w:rPr>
                <w:sz w:val="20"/>
                <w:szCs w:val="20"/>
              </w:rPr>
              <w:t>0.060</w:t>
            </w:r>
          </w:p>
        </w:tc>
      </w:tr>
      <w:tr w:rsidR="00236301" w14:paraId="7603CCB0" w14:textId="77777777">
        <w:trPr>
          <w:divId w:val="1459840797"/>
          <w:tblCellSpacing w:w="0" w:type="dxa"/>
        </w:trPr>
        <w:tc>
          <w:tcPr>
            <w:tcW w:w="2350" w:type="pct"/>
            <w:shd w:val="clear" w:color="auto" w:fill="FFFFFF"/>
            <w:vAlign w:val="center"/>
            <w:hideMark/>
          </w:tcPr>
          <w:p w14:paraId="76FA2E1B" w14:textId="77777777" w:rsidR="00236301" w:rsidRDefault="00265296">
            <w:pPr>
              <w:pStyle w:val="NormalWeb"/>
            </w:pPr>
            <w:r>
              <w:rPr>
                <w:sz w:val="20"/>
                <w:szCs w:val="20"/>
              </w:rPr>
              <w:t>Second Quarter</w:t>
            </w:r>
          </w:p>
        </w:tc>
        <w:tc>
          <w:tcPr>
            <w:tcW w:w="1000" w:type="pct"/>
            <w:shd w:val="clear" w:color="auto" w:fill="FFFFFF"/>
            <w:vAlign w:val="center"/>
            <w:hideMark/>
          </w:tcPr>
          <w:p w14:paraId="76C7BAE4" w14:textId="77777777" w:rsidR="00236301" w:rsidRDefault="00265296">
            <w:pPr>
              <w:pStyle w:val="NormalWeb"/>
              <w:jc w:val="right"/>
            </w:pPr>
            <w:r>
              <w:rPr>
                <w:sz w:val="20"/>
                <w:szCs w:val="20"/>
              </w:rPr>
              <w:t>0.011</w:t>
            </w:r>
          </w:p>
        </w:tc>
        <w:tc>
          <w:tcPr>
            <w:tcW w:w="1650" w:type="pct"/>
            <w:shd w:val="clear" w:color="auto" w:fill="FFFFFF"/>
            <w:vAlign w:val="center"/>
            <w:hideMark/>
          </w:tcPr>
          <w:p w14:paraId="6759AB0C" w14:textId="77777777" w:rsidR="00236301" w:rsidRDefault="00265296">
            <w:pPr>
              <w:pStyle w:val="NormalWeb"/>
              <w:jc w:val="right"/>
            </w:pPr>
            <w:r>
              <w:rPr>
                <w:sz w:val="20"/>
                <w:szCs w:val="20"/>
              </w:rPr>
              <w:t>0.050</w:t>
            </w:r>
          </w:p>
        </w:tc>
      </w:tr>
      <w:tr w:rsidR="00236301" w14:paraId="7900C72A" w14:textId="77777777">
        <w:trPr>
          <w:divId w:val="1459840797"/>
          <w:tblCellSpacing w:w="0" w:type="dxa"/>
        </w:trPr>
        <w:tc>
          <w:tcPr>
            <w:tcW w:w="2350" w:type="pct"/>
            <w:shd w:val="clear" w:color="auto" w:fill="CCEEFF"/>
            <w:vAlign w:val="center"/>
            <w:hideMark/>
          </w:tcPr>
          <w:p w14:paraId="0AD07A45" w14:textId="77777777" w:rsidR="00236301" w:rsidRDefault="00265296">
            <w:pPr>
              <w:pStyle w:val="NormalWeb"/>
            </w:pPr>
            <w:r>
              <w:rPr>
                <w:sz w:val="20"/>
                <w:szCs w:val="20"/>
              </w:rPr>
              <w:t>Third Quarter</w:t>
            </w:r>
          </w:p>
        </w:tc>
        <w:tc>
          <w:tcPr>
            <w:tcW w:w="1000" w:type="pct"/>
            <w:shd w:val="clear" w:color="auto" w:fill="CCEEFF"/>
            <w:vAlign w:val="center"/>
            <w:hideMark/>
          </w:tcPr>
          <w:p w14:paraId="7AEF6621" w14:textId="77777777" w:rsidR="00236301" w:rsidRDefault="00265296">
            <w:pPr>
              <w:pStyle w:val="NormalWeb"/>
              <w:jc w:val="right"/>
            </w:pPr>
            <w:r>
              <w:rPr>
                <w:sz w:val="20"/>
                <w:szCs w:val="20"/>
              </w:rPr>
              <w:t>0.1229</w:t>
            </w:r>
          </w:p>
        </w:tc>
        <w:tc>
          <w:tcPr>
            <w:tcW w:w="1650" w:type="pct"/>
            <w:shd w:val="clear" w:color="auto" w:fill="CCEEFF"/>
            <w:vAlign w:val="center"/>
            <w:hideMark/>
          </w:tcPr>
          <w:p w14:paraId="4D2E019D" w14:textId="77777777" w:rsidR="00236301" w:rsidRDefault="00265296">
            <w:pPr>
              <w:pStyle w:val="NormalWeb"/>
              <w:jc w:val="right"/>
            </w:pPr>
            <w:r>
              <w:rPr>
                <w:sz w:val="20"/>
                <w:szCs w:val="20"/>
              </w:rPr>
              <w:t>0.070</w:t>
            </w:r>
          </w:p>
        </w:tc>
      </w:tr>
      <w:tr w:rsidR="00236301" w14:paraId="74C9981B" w14:textId="77777777">
        <w:trPr>
          <w:divId w:val="1459840797"/>
          <w:tblCellSpacing w:w="0" w:type="dxa"/>
        </w:trPr>
        <w:tc>
          <w:tcPr>
            <w:tcW w:w="2350" w:type="pct"/>
            <w:shd w:val="clear" w:color="auto" w:fill="FFFFFF"/>
            <w:vAlign w:val="center"/>
            <w:hideMark/>
          </w:tcPr>
          <w:p w14:paraId="2DE57C03" w14:textId="77777777" w:rsidR="00236301" w:rsidRDefault="00265296">
            <w:pPr>
              <w:pStyle w:val="NormalWeb"/>
            </w:pPr>
            <w:r>
              <w:rPr>
                <w:sz w:val="20"/>
                <w:szCs w:val="20"/>
              </w:rPr>
              <w:t>Fourth Quarter</w:t>
            </w:r>
          </w:p>
        </w:tc>
        <w:tc>
          <w:tcPr>
            <w:tcW w:w="1000" w:type="pct"/>
            <w:shd w:val="clear" w:color="auto" w:fill="FFFFFF"/>
            <w:vAlign w:val="center"/>
            <w:hideMark/>
          </w:tcPr>
          <w:p w14:paraId="57D34C57" w14:textId="77777777" w:rsidR="00236301" w:rsidRDefault="00265296">
            <w:pPr>
              <w:pStyle w:val="NormalWeb"/>
              <w:jc w:val="right"/>
            </w:pPr>
            <w:r>
              <w:rPr>
                <w:sz w:val="20"/>
                <w:szCs w:val="20"/>
              </w:rPr>
              <w:t>0.150</w:t>
            </w:r>
          </w:p>
        </w:tc>
        <w:tc>
          <w:tcPr>
            <w:tcW w:w="1650" w:type="pct"/>
            <w:shd w:val="clear" w:color="auto" w:fill="FFFFFF"/>
            <w:vAlign w:val="center"/>
            <w:hideMark/>
          </w:tcPr>
          <w:p w14:paraId="602489DC" w14:textId="77777777" w:rsidR="00236301" w:rsidRDefault="00265296">
            <w:pPr>
              <w:pStyle w:val="NormalWeb"/>
              <w:jc w:val="right"/>
            </w:pPr>
            <w:r>
              <w:rPr>
                <w:sz w:val="20"/>
                <w:szCs w:val="20"/>
              </w:rPr>
              <w:t>0.060</w:t>
            </w:r>
          </w:p>
        </w:tc>
      </w:tr>
      <w:tr w:rsidR="00236301" w14:paraId="0DC2DD6A" w14:textId="77777777">
        <w:trPr>
          <w:divId w:val="1459840797"/>
          <w:tblCellSpacing w:w="0" w:type="dxa"/>
        </w:trPr>
        <w:tc>
          <w:tcPr>
            <w:tcW w:w="2350" w:type="pct"/>
            <w:shd w:val="clear" w:color="auto" w:fill="CCEEFF"/>
            <w:vAlign w:val="center"/>
            <w:hideMark/>
          </w:tcPr>
          <w:p w14:paraId="74DD462E" w14:textId="77777777" w:rsidR="00236301" w:rsidRDefault="00265296">
            <w:pPr>
              <w:pStyle w:val="NormalWeb"/>
            </w:pPr>
            <w:r>
              <w:rPr>
                <w:b/>
                <w:bCs/>
                <w:sz w:val="20"/>
                <w:szCs w:val="20"/>
              </w:rPr>
              <w:t>Fiscal Year Ended June 30, 2015</w:t>
            </w:r>
          </w:p>
        </w:tc>
        <w:tc>
          <w:tcPr>
            <w:tcW w:w="1000" w:type="pct"/>
            <w:shd w:val="clear" w:color="auto" w:fill="CCEEFF"/>
            <w:vAlign w:val="center"/>
            <w:hideMark/>
          </w:tcPr>
          <w:p w14:paraId="67DA5502" w14:textId="77777777" w:rsidR="00236301" w:rsidRDefault="00265296">
            <w:pPr>
              <w:pStyle w:val="NormalWeb"/>
              <w:jc w:val="right"/>
            </w:pPr>
            <w:r>
              <w:rPr>
                <w:b/>
                <w:bCs/>
                <w:sz w:val="20"/>
                <w:szCs w:val="20"/>
              </w:rPr>
              <w:t>High</w:t>
            </w:r>
          </w:p>
        </w:tc>
        <w:tc>
          <w:tcPr>
            <w:tcW w:w="1650" w:type="pct"/>
            <w:shd w:val="clear" w:color="auto" w:fill="CCEEFF"/>
            <w:vAlign w:val="center"/>
            <w:hideMark/>
          </w:tcPr>
          <w:p w14:paraId="3DFC2922" w14:textId="77777777" w:rsidR="00236301" w:rsidRDefault="00265296">
            <w:pPr>
              <w:pStyle w:val="NormalWeb"/>
              <w:jc w:val="right"/>
            </w:pPr>
            <w:r>
              <w:rPr>
                <w:b/>
                <w:bCs/>
                <w:sz w:val="20"/>
                <w:szCs w:val="20"/>
              </w:rPr>
              <w:t>Low</w:t>
            </w:r>
          </w:p>
        </w:tc>
      </w:tr>
      <w:tr w:rsidR="00236301" w14:paraId="7DC08853" w14:textId="77777777">
        <w:trPr>
          <w:divId w:val="1459840797"/>
          <w:tblCellSpacing w:w="0" w:type="dxa"/>
        </w:trPr>
        <w:tc>
          <w:tcPr>
            <w:tcW w:w="2350" w:type="pct"/>
            <w:shd w:val="clear" w:color="auto" w:fill="FFFFFF"/>
            <w:vAlign w:val="center"/>
            <w:hideMark/>
          </w:tcPr>
          <w:p w14:paraId="07B4D9BE" w14:textId="77777777" w:rsidR="00236301" w:rsidRDefault="00265296">
            <w:pPr>
              <w:pStyle w:val="NormalWeb"/>
            </w:pPr>
            <w:r>
              <w:rPr>
                <w:sz w:val="20"/>
                <w:szCs w:val="20"/>
              </w:rPr>
              <w:t>First Quarter</w:t>
            </w:r>
          </w:p>
        </w:tc>
        <w:tc>
          <w:tcPr>
            <w:tcW w:w="1000" w:type="pct"/>
            <w:shd w:val="clear" w:color="auto" w:fill="FFFFFF"/>
            <w:vAlign w:val="center"/>
            <w:hideMark/>
          </w:tcPr>
          <w:p w14:paraId="40120446" w14:textId="77777777" w:rsidR="00236301" w:rsidRDefault="00265296">
            <w:pPr>
              <w:pStyle w:val="NormalWeb"/>
              <w:jc w:val="right"/>
            </w:pPr>
            <w:r>
              <w:rPr>
                <w:sz w:val="20"/>
                <w:szCs w:val="20"/>
              </w:rPr>
              <w:t>0.25</w:t>
            </w:r>
          </w:p>
        </w:tc>
        <w:tc>
          <w:tcPr>
            <w:tcW w:w="1650" w:type="pct"/>
            <w:shd w:val="clear" w:color="auto" w:fill="FFFFFF"/>
            <w:vAlign w:val="center"/>
            <w:hideMark/>
          </w:tcPr>
          <w:p w14:paraId="0E3AB864" w14:textId="77777777" w:rsidR="00236301" w:rsidRDefault="00265296">
            <w:pPr>
              <w:pStyle w:val="NormalWeb"/>
              <w:jc w:val="right"/>
            </w:pPr>
            <w:r>
              <w:rPr>
                <w:sz w:val="20"/>
                <w:szCs w:val="20"/>
              </w:rPr>
              <w:t>0.12</w:t>
            </w:r>
          </w:p>
        </w:tc>
      </w:tr>
      <w:tr w:rsidR="00236301" w14:paraId="0E935D5B" w14:textId="77777777">
        <w:trPr>
          <w:divId w:val="1459840797"/>
          <w:tblCellSpacing w:w="0" w:type="dxa"/>
        </w:trPr>
        <w:tc>
          <w:tcPr>
            <w:tcW w:w="2350" w:type="pct"/>
            <w:shd w:val="clear" w:color="auto" w:fill="CCEEFF"/>
            <w:vAlign w:val="center"/>
            <w:hideMark/>
          </w:tcPr>
          <w:p w14:paraId="5E3ADA9A" w14:textId="77777777" w:rsidR="00236301" w:rsidRDefault="00265296">
            <w:pPr>
              <w:pStyle w:val="NormalWeb"/>
            </w:pPr>
            <w:r>
              <w:rPr>
                <w:sz w:val="20"/>
                <w:szCs w:val="20"/>
              </w:rPr>
              <w:t>Second Quarter</w:t>
            </w:r>
          </w:p>
        </w:tc>
        <w:tc>
          <w:tcPr>
            <w:tcW w:w="1000" w:type="pct"/>
            <w:shd w:val="clear" w:color="auto" w:fill="CCEEFF"/>
            <w:vAlign w:val="center"/>
            <w:hideMark/>
          </w:tcPr>
          <w:p w14:paraId="12E128EE" w14:textId="77777777" w:rsidR="00236301" w:rsidRDefault="00265296" w:rsidP="00E0570E">
            <w:pPr>
              <w:pStyle w:val="NormalWeb"/>
              <w:jc w:val="right"/>
            </w:pPr>
            <w:r>
              <w:rPr>
                <w:sz w:val="20"/>
                <w:szCs w:val="20"/>
              </w:rPr>
              <w:t>0.</w:t>
            </w:r>
            <w:r w:rsidR="00E0570E">
              <w:rPr>
                <w:sz w:val="20"/>
                <w:szCs w:val="20"/>
              </w:rPr>
              <w:t>50</w:t>
            </w:r>
          </w:p>
        </w:tc>
        <w:tc>
          <w:tcPr>
            <w:tcW w:w="1650" w:type="pct"/>
            <w:shd w:val="clear" w:color="auto" w:fill="CCEEFF"/>
            <w:vAlign w:val="center"/>
            <w:hideMark/>
          </w:tcPr>
          <w:p w14:paraId="62EBE3E9" w14:textId="77777777" w:rsidR="00236301" w:rsidRDefault="00265296">
            <w:pPr>
              <w:pStyle w:val="NormalWeb"/>
              <w:jc w:val="right"/>
            </w:pPr>
            <w:r>
              <w:rPr>
                <w:sz w:val="20"/>
                <w:szCs w:val="20"/>
              </w:rPr>
              <w:t>0.10</w:t>
            </w:r>
          </w:p>
        </w:tc>
      </w:tr>
      <w:tr w:rsidR="00236301" w14:paraId="44F305B8" w14:textId="77777777">
        <w:trPr>
          <w:divId w:val="1459840797"/>
          <w:tblCellSpacing w:w="0" w:type="dxa"/>
        </w:trPr>
        <w:tc>
          <w:tcPr>
            <w:tcW w:w="2350" w:type="pct"/>
            <w:shd w:val="clear" w:color="auto" w:fill="FFFFFF"/>
            <w:vAlign w:val="center"/>
            <w:hideMark/>
          </w:tcPr>
          <w:p w14:paraId="46711B43" w14:textId="77777777" w:rsidR="00236301" w:rsidRDefault="00265296">
            <w:pPr>
              <w:pStyle w:val="NormalWeb"/>
            </w:pPr>
            <w:r>
              <w:rPr>
                <w:sz w:val="20"/>
                <w:szCs w:val="20"/>
              </w:rPr>
              <w:t>Third Quarter</w:t>
            </w:r>
          </w:p>
        </w:tc>
        <w:tc>
          <w:tcPr>
            <w:tcW w:w="1000" w:type="pct"/>
            <w:shd w:val="clear" w:color="auto" w:fill="FFFFFF"/>
            <w:vAlign w:val="center"/>
            <w:hideMark/>
          </w:tcPr>
          <w:p w14:paraId="7C2FC3CF" w14:textId="77777777" w:rsidR="00236301" w:rsidRDefault="00265296">
            <w:pPr>
              <w:pStyle w:val="NormalWeb"/>
              <w:jc w:val="right"/>
            </w:pPr>
            <w:r>
              <w:rPr>
                <w:sz w:val="20"/>
                <w:szCs w:val="20"/>
              </w:rPr>
              <w:t>0.35</w:t>
            </w:r>
          </w:p>
        </w:tc>
        <w:tc>
          <w:tcPr>
            <w:tcW w:w="1650" w:type="pct"/>
            <w:shd w:val="clear" w:color="auto" w:fill="FFFFFF"/>
            <w:vAlign w:val="center"/>
            <w:hideMark/>
          </w:tcPr>
          <w:p w14:paraId="4F77E0AC" w14:textId="77777777" w:rsidR="00236301" w:rsidRDefault="00265296">
            <w:pPr>
              <w:pStyle w:val="NormalWeb"/>
              <w:jc w:val="right"/>
            </w:pPr>
            <w:r>
              <w:rPr>
                <w:sz w:val="20"/>
                <w:szCs w:val="20"/>
              </w:rPr>
              <w:t>0.14</w:t>
            </w:r>
          </w:p>
        </w:tc>
      </w:tr>
      <w:tr w:rsidR="00236301" w14:paraId="08F58A08" w14:textId="77777777">
        <w:trPr>
          <w:divId w:val="1459840797"/>
          <w:tblCellSpacing w:w="0" w:type="dxa"/>
        </w:trPr>
        <w:tc>
          <w:tcPr>
            <w:tcW w:w="2350" w:type="pct"/>
            <w:shd w:val="clear" w:color="auto" w:fill="CCEEFF"/>
            <w:vAlign w:val="center"/>
            <w:hideMark/>
          </w:tcPr>
          <w:p w14:paraId="3A2F3883" w14:textId="77777777" w:rsidR="00236301" w:rsidRDefault="00265296">
            <w:pPr>
              <w:pStyle w:val="NormalWeb"/>
            </w:pPr>
            <w:r>
              <w:rPr>
                <w:sz w:val="20"/>
                <w:szCs w:val="20"/>
              </w:rPr>
              <w:t>Fourth Quarter</w:t>
            </w:r>
          </w:p>
        </w:tc>
        <w:tc>
          <w:tcPr>
            <w:tcW w:w="1000" w:type="pct"/>
            <w:shd w:val="clear" w:color="auto" w:fill="CCEEFF"/>
            <w:vAlign w:val="center"/>
            <w:hideMark/>
          </w:tcPr>
          <w:p w14:paraId="4097DD2B" w14:textId="77777777" w:rsidR="00236301" w:rsidRDefault="00265296">
            <w:pPr>
              <w:pStyle w:val="NormalWeb"/>
              <w:jc w:val="right"/>
            </w:pPr>
            <w:r>
              <w:rPr>
                <w:sz w:val="20"/>
                <w:szCs w:val="20"/>
              </w:rPr>
              <w:t>0.20</w:t>
            </w:r>
          </w:p>
        </w:tc>
        <w:tc>
          <w:tcPr>
            <w:tcW w:w="1650" w:type="pct"/>
            <w:shd w:val="clear" w:color="auto" w:fill="CCEEFF"/>
            <w:vAlign w:val="center"/>
            <w:hideMark/>
          </w:tcPr>
          <w:p w14:paraId="1D0CA3D3" w14:textId="77777777" w:rsidR="00236301" w:rsidRDefault="00265296">
            <w:pPr>
              <w:pStyle w:val="NormalWeb"/>
              <w:jc w:val="right"/>
            </w:pPr>
            <w:r>
              <w:rPr>
                <w:sz w:val="20"/>
                <w:szCs w:val="20"/>
              </w:rPr>
              <w:t>0.06</w:t>
            </w:r>
          </w:p>
        </w:tc>
      </w:tr>
      <w:tr w:rsidR="00236301" w14:paraId="3FB6D47A" w14:textId="77777777" w:rsidTr="000F0C9D">
        <w:trPr>
          <w:divId w:val="1459840797"/>
          <w:tblCellSpacing w:w="0" w:type="dxa"/>
        </w:trPr>
        <w:tc>
          <w:tcPr>
            <w:tcW w:w="2350" w:type="pct"/>
            <w:shd w:val="clear" w:color="auto" w:fill="FFFFFF"/>
            <w:vAlign w:val="center"/>
          </w:tcPr>
          <w:p w14:paraId="69753AE5" w14:textId="2B8B8215" w:rsidR="00236301" w:rsidRDefault="00236301">
            <w:pPr>
              <w:pStyle w:val="NormalWeb"/>
            </w:pPr>
          </w:p>
        </w:tc>
        <w:tc>
          <w:tcPr>
            <w:tcW w:w="1000" w:type="pct"/>
            <w:shd w:val="clear" w:color="auto" w:fill="FFFFFF"/>
            <w:vAlign w:val="center"/>
          </w:tcPr>
          <w:p w14:paraId="51614A84" w14:textId="220A21DE" w:rsidR="00236301" w:rsidRDefault="00236301">
            <w:pPr>
              <w:pStyle w:val="NormalWeb"/>
              <w:jc w:val="right"/>
            </w:pPr>
          </w:p>
        </w:tc>
        <w:tc>
          <w:tcPr>
            <w:tcW w:w="1650" w:type="pct"/>
            <w:shd w:val="clear" w:color="auto" w:fill="FFFFFF"/>
            <w:vAlign w:val="center"/>
          </w:tcPr>
          <w:p w14:paraId="1C74964D" w14:textId="79C20B00" w:rsidR="00236301" w:rsidRDefault="00236301">
            <w:pPr>
              <w:pStyle w:val="NormalWeb"/>
              <w:jc w:val="right"/>
            </w:pPr>
          </w:p>
        </w:tc>
      </w:tr>
    </w:tbl>
    <w:p w14:paraId="64021141" w14:textId="77777777" w:rsidR="00236301" w:rsidRDefault="00084F74">
      <w:pPr>
        <w:pStyle w:val="NormalWeb"/>
        <w:divId w:val="1459840797"/>
      </w:pPr>
      <w:hyperlink w:anchor="toc" w:history="1">
        <w:r w:rsidR="00265296">
          <w:rPr>
            <w:rStyle w:val="Hyperlink"/>
            <w:b/>
            <w:bCs/>
            <w:sz w:val="20"/>
            <w:szCs w:val="20"/>
          </w:rPr>
          <w:t>Return to Table of Contents</w:t>
        </w:r>
      </w:hyperlink>
    </w:p>
    <w:p w14:paraId="3E5CC8A6" w14:textId="77777777" w:rsidR="00236301" w:rsidRDefault="00265296">
      <w:pPr>
        <w:pStyle w:val="NormalWeb"/>
        <w:divId w:val="1459840797"/>
      </w:pPr>
      <w:r>
        <w:rPr>
          <w:b/>
          <w:bCs/>
          <w:sz w:val="20"/>
          <w:szCs w:val="20"/>
        </w:rPr>
        <w:t>10</w:t>
      </w:r>
      <w:r>
        <w:t xml:space="preserve"> </w:t>
      </w:r>
    </w:p>
    <w:p w14:paraId="088A6093" w14:textId="77777777" w:rsidR="00236301" w:rsidRDefault="00084F74">
      <w:pPr>
        <w:jc w:val="center"/>
        <w:divId w:val="1459840797"/>
        <w:rPr>
          <w:rFonts w:eastAsia="Times New Roman"/>
          <w:sz w:val="20"/>
          <w:szCs w:val="20"/>
        </w:rPr>
      </w:pPr>
      <w:r>
        <w:rPr>
          <w:rFonts w:eastAsia="Times New Roman"/>
          <w:sz w:val="20"/>
          <w:szCs w:val="20"/>
        </w:rPr>
        <w:pict w14:anchorId="51D1AE5C">
          <v:rect id="_x0000_i1038" style="width:.05pt;height:1pt" o:hralign="center" o:hrstd="t" o:hrnoshade="t" o:hr="t" fillcolor="blue" stroked="f"/>
        </w:pict>
      </w:r>
    </w:p>
    <w:p w14:paraId="3FA799D4" w14:textId="77777777" w:rsidR="00236301" w:rsidRDefault="00265296">
      <w:pPr>
        <w:pStyle w:val="NormalWeb"/>
        <w:divId w:val="1459840797"/>
      </w:pPr>
      <w:r>
        <w:rPr>
          <w:i/>
          <w:iCs/>
          <w:sz w:val="20"/>
          <w:szCs w:val="20"/>
        </w:rPr>
        <w:t>HOLDERS</w:t>
      </w:r>
    </w:p>
    <w:p w14:paraId="1BC53D39" w14:textId="02CFA5BD" w:rsidR="00236301" w:rsidRDefault="00265296">
      <w:pPr>
        <w:pStyle w:val="NormalWeb"/>
        <w:divId w:val="1459840797"/>
      </w:pPr>
      <w:r>
        <w:rPr>
          <w:color w:val="060000"/>
          <w:sz w:val="20"/>
          <w:szCs w:val="20"/>
        </w:rPr>
        <w:t xml:space="preserve">At June 30, 2016 the company had 1,558 shareholders of record. </w:t>
      </w:r>
      <w:r>
        <w:rPr>
          <w:color w:val="000011"/>
          <w:sz w:val="20"/>
          <w:szCs w:val="20"/>
        </w:rPr>
        <w:t xml:space="preserve">At </w:t>
      </w:r>
      <w:r w:rsidR="00885AAD">
        <w:rPr>
          <w:color w:val="000011"/>
          <w:sz w:val="20"/>
          <w:szCs w:val="20"/>
        </w:rPr>
        <w:t>October 11, 2016</w:t>
      </w:r>
      <w:r>
        <w:rPr>
          <w:color w:val="000011"/>
          <w:sz w:val="20"/>
          <w:szCs w:val="20"/>
        </w:rPr>
        <w:t xml:space="preserve">, the closing bid price of the Company's Common Stock as reported by the National Quotation Bureau, Inc., was </w:t>
      </w:r>
      <w:r w:rsidRPr="00885AAD">
        <w:rPr>
          <w:color w:val="000011"/>
          <w:sz w:val="20"/>
          <w:szCs w:val="20"/>
        </w:rPr>
        <w:t>$0.0</w:t>
      </w:r>
      <w:r w:rsidR="00885AAD" w:rsidRPr="00DA25C9">
        <w:rPr>
          <w:color w:val="000011"/>
          <w:sz w:val="20"/>
          <w:szCs w:val="20"/>
        </w:rPr>
        <w:t>8</w:t>
      </w:r>
      <w:r>
        <w:rPr>
          <w:color w:val="000011"/>
          <w:sz w:val="20"/>
          <w:szCs w:val="20"/>
        </w:rPr>
        <w:t>.</w:t>
      </w:r>
    </w:p>
    <w:p w14:paraId="78CA7A10" w14:textId="77777777" w:rsidR="00236301" w:rsidRDefault="00265296">
      <w:pPr>
        <w:pStyle w:val="NormalWeb"/>
        <w:divId w:val="1459840797"/>
      </w:pPr>
      <w:r>
        <w:rPr>
          <w:i/>
          <w:iCs/>
          <w:sz w:val="20"/>
          <w:szCs w:val="20"/>
        </w:rPr>
        <w:t>DIVIDENDS</w:t>
      </w:r>
    </w:p>
    <w:p w14:paraId="0AB9A729" w14:textId="77777777" w:rsidR="00236301" w:rsidRDefault="00265296">
      <w:pPr>
        <w:pStyle w:val="NormalWeb"/>
        <w:divId w:val="1459840797"/>
      </w:pPr>
      <w:r>
        <w:rPr>
          <w:sz w:val="20"/>
          <w:szCs w:val="20"/>
        </w:rPr>
        <w:t>We have not paid or declared any dividends on our common stock since our inception. Our Board of Directors does not expect to declare cash dividends on our common stock in the near future. We anticipate that we will retain our future earnings to finance the continuing development of our business.</w:t>
      </w:r>
    </w:p>
    <w:p w14:paraId="0F4E8060" w14:textId="77777777" w:rsidR="00236301" w:rsidRDefault="00265296">
      <w:pPr>
        <w:pStyle w:val="NormalWeb"/>
        <w:divId w:val="1459840797"/>
      </w:pPr>
      <w:r>
        <w:rPr>
          <w:i/>
          <w:iCs/>
          <w:sz w:val="20"/>
          <w:szCs w:val="20"/>
        </w:rPr>
        <w:t>RECENT SALES OF UNREGISTERED SECURITIES</w:t>
      </w:r>
    </w:p>
    <w:p w14:paraId="519FAA5B" w14:textId="77777777" w:rsidR="00236301" w:rsidRDefault="00265296">
      <w:pPr>
        <w:pStyle w:val="NormalWeb"/>
        <w:divId w:val="1459840797"/>
      </w:pPr>
      <w:r>
        <w:rPr>
          <w:sz w:val="20"/>
          <w:szCs w:val="20"/>
        </w:rPr>
        <w:t>During the year ended June 30, 2016, we had no issuances of unregistered securities.</w:t>
      </w:r>
    </w:p>
    <w:p w14:paraId="755749D6" w14:textId="77777777" w:rsidR="00236301" w:rsidRDefault="00265296">
      <w:pPr>
        <w:pStyle w:val="NormalWeb"/>
        <w:divId w:val="1459840797"/>
      </w:pPr>
      <w:bookmarkStart w:id="9" w:name="#item6"/>
      <w:bookmarkEnd w:id="9"/>
      <w:r>
        <w:rPr>
          <w:b/>
          <w:bCs/>
          <w:i/>
          <w:iCs/>
        </w:rPr>
        <w:t xml:space="preserve">ITEM 6. SELECTED FINANCIAL DATA </w:t>
      </w:r>
    </w:p>
    <w:p w14:paraId="30B87C59" w14:textId="77777777" w:rsidR="00236301" w:rsidRDefault="00265296">
      <w:pPr>
        <w:pStyle w:val="NormalWeb"/>
        <w:divId w:val="1459840797"/>
      </w:pPr>
      <w:r>
        <w:rPr>
          <w:sz w:val="20"/>
          <w:szCs w:val="20"/>
        </w:rPr>
        <w:lastRenderedPageBreak/>
        <w:t>Not Applicable.</w:t>
      </w:r>
    </w:p>
    <w:p w14:paraId="3087217F" w14:textId="77777777" w:rsidR="00236301" w:rsidRDefault="00265296">
      <w:pPr>
        <w:pStyle w:val="NormalWeb"/>
        <w:divId w:val="1459840797"/>
      </w:pPr>
      <w:bookmarkStart w:id="10" w:name="#item7"/>
      <w:bookmarkEnd w:id="10"/>
      <w:r>
        <w:rPr>
          <w:b/>
          <w:bCs/>
          <w:i/>
          <w:iCs/>
        </w:rPr>
        <w:t>ITEM 7. MANAGEMENT'S DISCUSSION AND ANALYSIS OR PLAN OF OPERATION.</w:t>
      </w:r>
    </w:p>
    <w:p w14:paraId="4B1CE3B2" w14:textId="77777777" w:rsidR="00236301" w:rsidRDefault="00265296">
      <w:pPr>
        <w:pStyle w:val="NormalWeb"/>
        <w:divId w:val="1459840797"/>
      </w:pPr>
      <w:r>
        <w:rPr>
          <w:sz w:val="20"/>
          <w:szCs w:val="20"/>
        </w:rPr>
        <w:t>The following discussion of our plan of operation, financial condition and results of operations should be read in conjunction with the Company’s consolidated financial statements, and notes thereto, included elsewhere herein. This discussion contains forward-looking statements that involve risks and uncertainties. Our actual results may differ materially from those anticipated in these forward-looking statements as a result of various factors including, but not limited to, those discussed in this Annual Report.</w:t>
      </w:r>
    </w:p>
    <w:p w14:paraId="2E580659" w14:textId="77777777" w:rsidR="00236301" w:rsidRDefault="00265296">
      <w:pPr>
        <w:pStyle w:val="NormalWeb"/>
        <w:divId w:val="1459840797"/>
      </w:pPr>
      <w:r>
        <w:rPr>
          <w:i/>
          <w:iCs/>
          <w:sz w:val="20"/>
          <w:szCs w:val="20"/>
        </w:rPr>
        <w:t>CRITICAL ACCOUNTING POLICIES AND ESTIMATES</w:t>
      </w:r>
    </w:p>
    <w:p w14:paraId="01F84047" w14:textId="77777777" w:rsidR="00236301" w:rsidRDefault="00265296">
      <w:pPr>
        <w:pStyle w:val="NormalWeb"/>
        <w:divId w:val="1459840797"/>
      </w:pPr>
      <w:r>
        <w:rPr>
          <w:sz w:val="20"/>
          <w:szCs w:val="20"/>
        </w:rPr>
        <w:t>The preparation of consolidated financial statements in conformity with the Public Company Oversight Accounting Board ("PCAOB") requires our management to make estimates and assumptions that affect the reported amounts of assets and liabilities and the disclosure of contingent assets and liabilities at the date of the consolidated financial statements and the reported amounts of revenue and expenses during the reporting period. Following are accounting policies that we believe are most important to the portrayal of our financial condition and results of operations and that require our most difficult judgments as a result of the need to make estimates and assumptions about the effects of matters that are inherently uncertain.</w:t>
      </w:r>
    </w:p>
    <w:p w14:paraId="2BC6A342" w14:textId="4E115C9A" w:rsidR="00236301" w:rsidRDefault="00265296">
      <w:pPr>
        <w:pStyle w:val="NormalWeb"/>
        <w:divId w:val="1459840797"/>
      </w:pPr>
      <w:r>
        <w:rPr>
          <w:i/>
          <w:iCs/>
          <w:sz w:val="20"/>
          <w:szCs w:val="20"/>
        </w:rPr>
        <w:t>Recognition of rental income</w:t>
      </w:r>
      <w:r w:rsidR="00E0570E">
        <w:rPr>
          <w:i/>
          <w:iCs/>
          <w:sz w:val="20"/>
          <w:szCs w:val="20"/>
        </w:rPr>
        <w:t>:</w:t>
      </w:r>
      <w:r>
        <w:rPr>
          <w:i/>
          <w:iCs/>
          <w:sz w:val="20"/>
          <w:szCs w:val="20"/>
        </w:rPr>
        <w:t xml:space="preserve"> </w:t>
      </w:r>
    </w:p>
    <w:p w14:paraId="7E71EF0C" w14:textId="73160572" w:rsidR="00236301" w:rsidRDefault="00265296">
      <w:pPr>
        <w:pStyle w:val="NormalWeb"/>
        <w:divId w:val="1459840797"/>
      </w:pPr>
      <w:r>
        <w:rPr>
          <w:sz w:val="20"/>
          <w:szCs w:val="20"/>
        </w:rPr>
        <w:t xml:space="preserve">Rental income for commercial property leases is recognized on a </w:t>
      </w:r>
      <w:r w:rsidR="00C57FF9">
        <w:rPr>
          <w:sz w:val="20"/>
          <w:szCs w:val="20"/>
        </w:rPr>
        <w:t>quarterly</w:t>
      </w:r>
      <w:r>
        <w:rPr>
          <w:sz w:val="20"/>
          <w:szCs w:val="20"/>
        </w:rPr>
        <w:t xml:space="preserve"> basis over the respective lease terms.</w:t>
      </w:r>
    </w:p>
    <w:p w14:paraId="73EC888E" w14:textId="77777777" w:rsidR="00236301" w:rsidRDefault="00265296">
      <w:pPr>
        <w:pStyle w:val="NormalWeb"/>
        <w:divId w:val="1459840797"/>
      </w:pPr>
      <w:r>
        <w:br/>
      </w:r>
      <w:r>
        <w:rPr>
          <w:i/>
          <w:iCs/>
          <w:sz w:val="20"/>
          <w:szCs w:val="20"/>
        </w:rPr>
        <w:t>Real Estate Accounting Principles:</w:t>
      </w:r>
    </w:p>
    <w:p w14:paraId="543FB0B0" w14:textId="6048C723" w:rsidR="00236301" w:rsidRDefault="00265296">
      <w:pPr>
        <w:pStyle w:val="NormalWeb"/>
        <w:divId w:val="1459840797"/>
      </w:pPr>
      <w:r>
        <w:rPr>
          <w:sz w:val="20"/>
          <w:szCs w:val="20"/>
        </w:rPr>
        <w:t xml:space="preserve">The Company treats the valuation of its real estate in accordance with </w:t>
      </w:r>
      <w:r w:rsidR="00C333F1">
        <w:rPr>
          <w:sz w:val="20"/>
          <w:szCs w:val="20"/>
        </w:rPr>
        <w:t>FASB ASC 805</w:t>
      </w:r>
      <w:r>
        <w:rPr>
          <w:sz w:val="20"/>
          <w:szCs w:val="20"/>
        </w:rPr>
        <w:t xml:space="preserve">, Fair Value Measurements, which provides for the companies accounting valuation of real estate. </w:t>
      </w:r>
      <w:r w:rsidR="0019031F">
        <w:rPr>
          <w:sz w:val="20"/>
          <w:szCs w:val="20"/>
        </w:rPr>
        <w:t xml:space="preserve">FASB ASC 805 </w:t>
      </w:r>
      <w:r>
        <w:rPr>
          <w:sz w:val="20"/>
          <w:szCs w:val="20"/>
        </w:rPr>
        <w:t xml:space="preserve">defines fair value as the price that would be received to sell an asset or paid to transfer a liability in an orderly transaction between market participants at the measurement date. The Company has valued its real estate using the three valuation approaches defined in </w:t>
      </w:r>
      <w:r w:rsidR="0019031F">
        <w:rPr>
          <w:sz w:val="20"/>
          <w:szCs w:val="20"/>
        </w:rPr>
        <w:t>FASB ASC 805</w:t>
      </w:r>
      <w:r>
        <w:rPr>
          <w:sz w:val="20"/>
          <w:szCs w:val="20"/>
        </w:rPr>
        <w:t>: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14:paraId="2A6A2894" w14:textId="5DD72F2F" w:rsidR="00236301" w:rsidRDefault="00265296">
      <w:pPr>
        <w:pStyle w:val="NormalWeb"/>
        <w:divId w:val="1459840797"/>
      </w:pPr>
      <w:r>
        <w:rPr>
          <w:i/>
          <w:iCs/>
          <w:sz w:val="20"/>
          <w:szCs w:val="20"/>
        </w:rPr>
        <w:t>Revenue recognition on the sale of real estate.</w:t>
      </w:r>
      <w:r>
        <w:rPr>
          <w:sz w:val="20"/>
          <w:szCs w:val="20"/>
        </w:rPr>
        <w:t xml:space="preserve"> </w:t>
      </w:r>
    </w:p>
    <w:p w14:paraId="7061A41B" w14:textId="3B225228" w:rsidR="00737C14" w:rsidRDefault="00737C14">
      <w:pPr>
        <w:pStyle w:val="NormalWeb"/>
        <w:divId w:val="1459840797"/>
        <w:rPr>
          <w:rFonts w:ascii="inherit" w:hAnsi="inherit"/>
          <w:sz w:val="20"/>
          <w:szCs w:val="20"/>
        </w:rPr>
      </w:pPr>
      <w:r>
        <w:rPr>
          <w:rFonts w:ascii="inherit" w:hAnsi="inherit"/>
          <w:sz w:val="20"/>
          <w:szCs w:val="20"/>
        </w:rPr>
        <w:t xml:space="preserve">Rental revenue from leases on real estate investments is recognized on a straight-line basis over the term of the lease, regardless of when payments are contractually due. </w:t>
      </w:r>
    </w:p>
    <w:p w14:paraId="2E19A6DF" w14:textId="77777777" w:rsidR="00236301" w:rsidRDefault="00084F74">
      <w:pPr>
        <w:pStyle w:val="NormalWeb"/>
        <w:divId w:val="1459840797"/>
      </w:pPr>
      <w:hyperlink w:anchor="toc" w:history="1">
        <w:r w:rsidR="00265296">
          <w:rPr>
            <w:rStyle w:val="Hyperlink"/>
            <w:b/>
            <w:bCs/>
            <w:sz w:val="20"/>
            <w:szCs w:val="20"/>
          </w:rPr>
          <w:t>Return to Table of Contents</w:t>
        </w:r>
      </w:hyperlink>
    </w:p>
    <w:p w14:paraId="2923813F" w14:textId="77777777" w:rsidR="00236301" w:rsidRDefault="00265296">
      <w:pPr>
        <w:pStyle w:val="NormalWeb"/>
        <w:divId w:val="1459840797"/>
      </w:pPr>
      <w:r>
        <w:rPr>
          <w:b/>
          <w:bCs/>
          <w:sz w:val="20"/>
          <w:szCs w:val="20"/>
        </w:rPr>
        <w:t>11</w:t>
      </w:r>
      <w:r>
        <w:t xml:space="preserve"> </w:t>
      </w:r>
    </w:p>
    <w:p w14:paraId="52220542" w14:textId="77777777" w:rsidR="00236301" w:rsidRDefault="00084F74">
      <w:pPr>
        <w:jc w:val="center"/>
        <w:divId w:val="1459840797"/>
        <w:rPr>
          <w:rFonts w:eastAsia="Times New Roman"/>
          <w:sz w:val="20"/>
          <w:szCs w:val="20"/>
        </w:rPr>
      </w:pPr>
      <w:r>
        <w:rPr>
          <w:rFonts w:eastAsia="Times New Roman"/>
          <w:sz w:val="20"/>
          <w:szCs w:val="20"/>
        </w:rPr>
        <w:pict w14:anchorId="741AD85C">
          <v:rect id="_x0000_i1039" style="width:.05pt;height:1pt" o:hralign="center" o:hrstd="t" o:hrnoshade="t" o:hr="t" fillcolor="blue" stroked="f"/>
        </w:pict>
      </w:r>
    </w:p>
    <w:p w14:paraId="7E3097BB" w14:textId="77777777" w:rsidR="00236301" w:rsidRDefault="00265296">
      <w:pPr>
        <w:pStyle w:val="NormalWeb"/>
        <w:divId w:val="1459840797"/>
      </w:pPr>
      <w:r>
        <w:t> </w:t>
      </w:r>
      <w:r>
        <w:rPr>
          <w:i/>
          <w:iCs/>
          <w:sz w:val="20"/>
          <w:szCs w:val="20"/>
        </w:rPr>
        <w:t>Interest Recognition on Notes Receivable:</w:t>
      </w:r>
    </w:p>
    <w:p w14:paraId="2939CA36" w14:textId="77777777" w:rsidR="00236301" w:rsidRDefault="00265296">
      <w:pPr>
        <w:pStyle w:val="NormalWeb"/>
        <w:divId w:val="1459840797"/>
      </w:pP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14:paraId="290F3509" w14:textId="77777777" w:rsidR="00236301" w:rsidRDefault="00265296">
      <w:pPr>
        <w:pStyle w:val="NormalWeb"/>
        <w:divId w:val="1459840797"/>
      </w:pPr>
      <w:r>
        <w:rPr>
          <w:i/>
          <w:iCs/>
          <w:sz w:val="20"/>
          <w:szCs w:val="20"/>
        </w:rPr>
        <w:t>Foreign currency translation:</w:t>
      </w:r>
    </w:p>
    <w:p w14:paraId="477275AF" w14:textId="77777777" w:rsidR="00236301" w:rsidRDefault="00265296">
      <w:pPr>
        <w:pStyle w:val="NormalWeb"/>
        <w:divId w:val="1459840797"/>
      </w:pPr>
      <w:r>
        <w:rPr>
          <w:sz w:val="20"/>
          <w:szCs w:val="20"/>
        </w:rPr>
        <w:t xml:space="preserve">Foreign currency transactions are translated applying the current rate method. Assets and liabilities are translated at current rates. </w:t>
      </w:r>
    </w:p>
    <w:p w14:paraId="0D198522" w14:textId="77777777" w:rsidR="00236301" w:rsidRDefault="00265296">
      <w:pPr>
        <w:pStyle w:val="NormalWeb"/>
        <w:divId w:val="1459840797"/>
      </w:pPr>
      <w:r>
        <w:rPr>
          <w:sz w:val="20"/>
          <w:szCs w:val="20"/>
        </w:rPr>
        <w:t>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14:paraId="27151290" w14:textId="77777777" w:rsidR="00236301" w:rsidRDefault="00265296">
      <w:pPr>
        <w:pStyle w:val="NormalWeb"/>
        <w:divId w:val="1459840797"/>
      </w:pPr>
      <w:r>
        <w:rPr>
          <w:i/>
          <w:iCs/>
          <w:sz w:val="20"/>
          <w:szCs w:val="20"/>
        </w:rPr>
        <w:t>Income Taxes</w:t>
      </w:r>
      <w:r>
        <w:rPr>
          <w:sz w:val="20"/>
          <w:szCs w:val="20"/>
        </w:rPr>
        <w:t>:</w:t>
      </w:r>
    </w:p>
    <w:p w14:paraId="6E75F467" w14:textId="77777777" w:rsidR="00236301" w:rsidRDefault="00265296">
      <w:pPr>
        <w:pStyle w:val="NormalWeb"/>
        <w:spacing w:after="240" w:afterAutospacing="0"/>
        <w:divId w:val="1459840797"/>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14:paraId="3E2E084E" w14:textId="77777777" w:rsidR="00236301" w:rsidRDefault="00265296">
      <w:pPr>
        <w:pStyle w:val="NormalWeb"/>
        <w:divId w:val="1459840797"/>
      </w:pPr>
      <w:r>
        <w:rPr>
          <w:i/>
          <w:iCs/>
          <w:sz w:val="20"/>
          <w:szCs w:val="20"/>
        </w:rPr>
        <w:t>Net Earnings per Share</w:t>
      </w:r>
      <w:r>
        <w:rPr>
          <w:sz w:val="20"/>
          <w:szCs w:val="20"/>
        </w:rPr>
        <w:t>:</w:t>
      </w:r>
    </w:p>
    <w:p w14:paraId="07017FF7" w14:textId="52513E72" w:rsidR="00236301" w:rsidRDefault="00265296">
      <w:pPr>
        <w:pStyle w:val="NormalWeb"/>
        <w:divId w:val="1459840797"/>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14:paraId="5F96E239" w14:textId="77777777" w:rsidR="00236301" w:rsidRDefault="00265296">
      <w:pPr>
        <w:pStyle w:val="NormalWeb"/>
        <w:divId w:val="1459840797"/>
      </w:pPr>
      <w:r>
        <w:rPr>
          <w:i/>
          <w:iCs/>
          <w:sz w:val="20"/>
          <w:szCs w:val="20"/>
        </w:rPr>
        <w:t>Cash and Cash Equivalents:</w:t>
      </w:r>
    </w:p>
    <w:p w14:paraId="3A718717" w14:textId="77777777" w:rsidR="00236301" w:rsidRDefault="00265296">
      <w:pPr>
        <w:pStyle w:val="NormalWeb"/>
        <w:divId w:val="1459840797"/>
      </w:pPr>
      <w:r>
        <w:rPr>
          <w:sz w:val="20"/>
          <w:szCs w:val="20"/>
        </w:rPr>
        <w:lastRenderedPageBreak/>
        <w:t xml:space="preserve">For purposes of the statement of cash flows, the Company considers all highly-liquid investments purchased with original maturities of three months or less to be cash equivalents. </w:t>
      </w:r>
    </w:p>
    <w:p w14:paraId="305843CA" w14:textId="77777777" w:rsidR="00236301" w:rsidRDefault="00265296">
      <w:pPr>
        <w:pStyle w:val="NormalWeb"/>
        <w:divId w:val="1459840797"/>
      </w:pPr>
      <w:r>
        <w:rPr>
          <w:sz w:val="20"/>
          <w:szCs w:val="20"/>
        </w:rPr>
        <w:t>The Company maintains its cash in bank deposit accounts which, at June 30, 2016 did not exceed federally insured limits. The Company has not experienced any losses in such accounts and believes that it is not exposed to any significant credit risk on such amounts.</w:t>
      </w:r>
    </w:p>
    <w:p w14:paraId="452D6C55" w14:textId="77777777" w:rsidR="00236301" w:rsidRDefault="00265296">
      <w:pPr>
        <w:pStyle w:val="NormalWeb"/>
        <w:divId w:val="1459840797"/>
      </w:pPr>
      <w:r>
        <w:rPr>
          <w:i/>
          <w:iCs/>
          <w:sz w:val="20"/>
          <w:szCs w:val="20"/>
        </w:rPr>
        <w:t>Estimates:</w:t>
      </w:r>
    </w:p>
    <w:p w14:paraId="7AA1CB72" w14:textId="77777777" w:rsidR="00236301" w:rsidRDefault="00265296">
      <w:pPr>
        <w:pStyle w:val="NormalWeb"/>
        <w:divId w:val="1459840797"/>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p>
    <w:p w14:paraId="2C06DB10" w14:textId="77777777" w:rsidR="00236301" w:rsidRDefault="00084F74">
      <w:pPr>
        <w:pStyle w:val="NormalWeb"/>
        <w:divId w:val="221449055"/>
      </w:pPr>
      <w:hyperlink w:anchor="toc" w:history="1">
        <w:r w:rsidR="00265296">
          <w:rPr>
            <w:rStyle w:val="Hyperlink"/>
            <w:b/>
            <w:bCs/>
            <w:sz w:val="20"/>
            <w:szCs w:val="20"/>
          </w:rPr>
          <w:t>Return to Table of Contents</w:t>
        </w:r>
      </w:hyperlink>
    </w:p>
    <w:p w14:paraId="1E0EB807" w14:textId="77777777" w:rsidR="00236301" w:rsidRDefault="00265296">
      <w:pPr>
        <w:pStyle w:val="NormalWeb"/>
        <w:divId w:val="221449055"/>
      </w:pPr>
      <w:r>
        <w:rPr>
          <w:b/>
          <w:bCs/>
          <w:sz w:val="20"/>
          <w:szCs w:val="20"/>
        </w:rPr>
        <w:t>12</w:t>
      </w:r>
      <w:r>
        <w:t xml:space="preserve"> </w:t>
      </w:r>
    </w:p>
    <w:p w14:paraId="35B69566" w14:textId="77777777" w:rsidR="00236301" w:rsidRDefault="00084F74">
      <w:pPr>
        <w:divId w:val="221449055"/>
        <w:rPr>
          <w:rFonts w:eastAsia="Times New Roman"/>
          <w:sz w:val="20"/>
          <w:szCs w:val="20"/>
        </w:rPr>
      </w:pPr>
      <w:r>
        <w:rPr>
          <w:rFonts w:eastAsia="Times New Roman"/>
          <w:sz w:val="20"/>
          <w:szCs w:val="20"/>
        </w:rPr>
        <w:pict w14:anchorId="44EB3290">
          <v:rect id="_x0000_i1040" style="width:.05pt;height:1pt" o:hralign="center" o:hrstd="t" o:hrnoshade="t" o:hr="t" fillcolor="blue" stroked="f"/>
        </w:pict>
      </w:r>
    </w:p>
    <w:p w14:paraId="388E2E04" w14:textId="77777777" w:rsidR="00236301" w:rsidRDefault="00265296">
      <w:pPr>
        <w:pStyle w:val="NormalWeb"/>
        <w:divId w:val="1459840797"/>
      </w:pPr>
      <w:r>
        <w:t> </w:t>
      </w:r>
      <w:r>
        <w:rPr>
          <w:i/>
          <w:iCs/>
          <w:sz w:val="20"/>
          <w:szCs w:val="20"/>
        </w:rPr>
        <w:t>Concentrations of Credit Risk:</w:t>
      </w:r>
    </w:p>
    <w:p w14:paraId="41881FA0" w14:textId="77777777" w:rsidR="00236301" w:rsidRDefault="00265296">
      <w:pPr>
        <w:pStyle w:val="NormalWeb"/>
        <w:divId w:val="1459840797"/>
      </w:pPr>
      <w:r>
        <w:rPr>
          <w:sz w:val="20"/>
          <w:szCs w:val="20"/>
        </w:rPr>
        <w:t>Financial instruments that potentially subject the Company to major credit risk consist principally of a single subsidiary of Anton Nielsen Vojens ApS.</w:t>
      </w:r>
    </w:p>
    <w:p w14:paraId="1E32249A" w14:textId="77777777" w:rsidR="00236301" w:rsidRDefault="00265296">
      <w:pPr>
        <w:pStyle w:val="NormalWeb"/>
        <w:divId w:val="1459840797"/>
      </w:pPr>
      <w:r>
        <w:rPr>
          <w:i/>
          <w:iCs/>
          <w:sz w:val="20"/>
          <w:szCs w:val="20"/>
        </w:rPr>
        <w:t>Subsequent Events:</w:t>
      </w:r>
    </w:p>
    <w:p w14:paraId="04B2FBDE" w14:textId="77777777" w:rsidR="00236301" w:rsidRDefault="00265296">
      <w:pPr>
        <w:pStyle w:val="NormalWeb"/>
        <w:divId w:val="1459840797"/>
      </w:pPr>
      <w:r>
        <w:rPr>
          <w:sz w:val="20"/>
          <w:szCs w:val="20"/>
        </w:rPr>
        <w:t>A report on Form 8-K was filed on August 11, 2016 stating that on August 05, 2016, the Company was notified by CHR. Mortensen Revisionsfirma ("Accountants") that the Accountants have resigned as the Company's independent auditors</w:t>
      </w:r>
      <w:r w:rsidR="00227821">
        <w:rPr>
          <w:sz w:val="20"/>
          <w:szCs w:val="20"/>
        </w:rPr>
        <w:t xml:space="preserve">.  </w:t>
      </w:r>
      <w:r>
        <w:rPr>
          <w:sz w:val="20"/>
          <w:szCs w:val="20"/>
        </w:rPr>
        <w:t xml:space="preserve">The Accountant's audit reports on the Company's consolidated financial statements for the fiscal years ended June 30, 2014 and 2015 did not contain an adverse opinion or a disclaimer of opinion and were not qualified or modified as to uncertainty, audit scope or accounting principles. During the Company's fiscal years ended June 30, 2014 and 2015 and the subsequent interim period preceding the date of Accountant's resignation, there were no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During the Company's fiscal years ended June 30, 2014 and 2015 and the subsequent interim period preceding the date of Accountant's resignation, there were no "reportable events", as that term is defined in Item 304(a)(1)(v) of Regulation S-K and the instructions related thereto. The Company has provided the Accountants with a copy of the disclosures set forth above in Item 4.01 of this Current Report on Form 8-K and has requested that the Accountants furnish the Company with a letter addressed to the Securities and Exchange Commission stating whether the Accountants agree with the statements set forth above in Item 4.01 of this Current Report on Form 8-K and, if not, stating the respects in which the Accountants do not agree. A copy of the letter from the Accountants to the Securities and Exchange Commission dated August 05, 2016 is filed as Exhibit II to this Current Report on Form 8-K. </w:t>
      </w:r>
      <w:r>
        <w:rPr>
          <w:b/>
          <w:bCs/>
          <w:i/>
          <w:iCs/>
          <w:sz w:val="20"/>
          <w:szCs w:val="20"/>
        </w:rPr>
        <w:t xml:space="preserve">Engagement of Accountants: </w:t>
      </w:r>
      <w:r>
        <w:rPr>
          <w:sz w:val="20"/>
          <w:szCs w:val="20"/>
        </w:rPr>
        <w:t xml:space="preserve">On August 05, 2016 the Company has engaged Sadler, Gibb &amp; Associates, LLC, 2455 E. Parleys Way, Suite </w:t>
      </w:r>
      <w:r>
        <w:rPr>
          <w:sz w:val="20"/>
          <w:szCs w:val="20"/>
        </w:rPr>
        <w:lastRenderedPageBreak/>
        <w:t>320, Salt Lake City, UT 84109, (801)783-2960 ("New Accountants") as its certified accounting firm/outside auditor. Additionally, the Company has not consulted the New Accountants regarding:(i) The application of accounting principles to a specific completed or contemplated transaction, or the type of audit opinion that might be rendered on the issuer's financial statements and either written or oral advice was provided that was an important factor considered by the issuer in reaching a decision as to the accounting, auditing or financial reporting issue; or (ii) Any matter that was the subject of a disagreement or event identified in response to paragraph (a)(1)(iv) of Regulation S-B section §228.304 (Item 304). The Company has provided the New Accountants with a copy of the disclosures set forth above in Item 4.01 of this Current Report on Form 8-K.</w:t>
      </w:r>
    </w:p>
    <w:p w14:paraId="617537E8" w14:textId="77777777" w:rsidR="00236301" w:rsidRDefault="00265296">
      <w:pPr>
        <w:pStyle w:val="NormalWeb"/>
        <w:divId w:val="1459840797"/>
      </w:pPr>
      <w:r>
        <w:rPr>
          <w:i/>
          <w:iCs/>
          <w:sz w:val="20"/>
          <w:szCs w:val="20"/>
        </w:rPr>
        <w:t>Recently Issued Accounting Standards:</w:t>
      </w:r>
    </w:p>
    <w:p w14:paraId="662E2CA5" w14:textId="77777777" w:rsidR="00236301" w:rsidRDefault="00265296">
      <w:pPr>
        <w:pStyle w:val="NormalWeb"/>
        <w:divId w:val="1290698633"/>
      </w:pPr>
      <w:r>
        <w:rPr>
          <w:sz w:val="20"/>
          <w:szCs w:val="20"/>
        </w:rPr>
        <w:t>In February 2015, the FASB issued Accounting Standards Update No. 2015-02 (ASU 2015-02) "Consolidation (Topic 810): Amendments to the Consolidation Analysis." ASU 2015-02 changes the analysis that a reporting entity must perform to determine whether it should consolidate certain types of legal entities. It is effective for annual reporting periods, and interim periods within those years, beginning after December 15, 2015. Early adoption is permitted, including adoption in an interim period. We do not anticipate that the adoption of ASU 2015-02 will have any impact on our consolidated financial statements.</w:t>
      </w:r>
    </w:p>
    <w:p w14:paraId="1473927B" w14:textId="77777777" w:rsidR="00236301" w:rsidRDefault="00265296">
      <w:pPr>
        <w:pStyle w:val="NormalWeb"/>
        <w:divId w:val="1290698633"/>
      </w:pPr>
      <w:r>
        <w:rPr>
          <w:sz w:val="20"/>
          <w:szCs w:val="20"/>
        </w:rPr>
        <w:t>Other recent accounting pronouncements issued by the FASB did not or are not believed by management to have a material impact on the Company's present or future financial statements.</w:t>
      </w:r>
    </w:p>
    <w:p w14:paraId="30C738AC" w14:textId="77777777" w:rsidR="00236301" w:rsidRDefault="00265296">
      <w:pPr>
        <w:pStyle w:val="NormalWeb"/>
        <w:divId w:val="1459840797"/>
      </w:pPr>
      <w:r>
        <w:rPr>
          <w:i/>
          <w:iCs/>
          <w:color w:val="000011"/>
          <w:sz w:val="20"/>
          <w:szCs w:val="20"/>
        </w:rPr>
        <w:t>RESULTS OF OPERATIONS 2016 COMPARED TO 2015</w:t>
      </w:r>
    </w:p>
    <w:p w14:paraId="65D5FCF8" w14:textId="0B835640" w:rsidR="00236301" w:rsidRDefault="00265296">
      <w:pPr>
        <w:pStyle w:val="NormalWeb"/>
        <w:divId w:val="1459840797"/>
      </w:pPr>
      <w:r>
        <w:rPr>
          <w:color w:val="060606"/>
          <w:sz w:val="20"/>
          <w:szCs w:val="20"/>
        </w:rPr>
        <w:t>REVENUES. Revenues from operations were $36,</w:t>
      </w:r>
      <w:r w:rsidR="007B6EA1">
        <w:rPr>
          <w:color w:val="060606"/>
          <w:sz w:val="20"/>
          <w:szCs w:val="20"/>
        </w:rPr>
        <w:t xml:space="preserve">227 </w:t>
      </w:r>
      <w:r>
        <w:rPr>
          <w:color w:val="060606"/>
          <w:sz w:val="20"/>
          <w:szCs w:val="20"/>
        </w:rPr>
        <w:t>in 2016 compared to $</w:t>
      </w:r>
      <w:r w:rsidR="007B6EA1">
        <w:rPr>
          <w:color w:val="060606"/>
          <w:sz w:val="20"/>
          <w:szCs w:val="20"/>
        </w:rPr>
        <w:t>38,585</w:t>
      </w:r>
      <w:r>
        <w:rPr>
          <w:color w:val="060606"/>
          <w:sz w:val="20"/>
          <w:szCs w:val="20"/>
        </w:rPr>
        <w:t xml:space="preserve"> in 2015. The decrease was attributable to the currency fluctuations.</w:t>
      </w:r>
    </w:p>
    <w:p w14:paraId="5D5691CE" w14:textId="6949439D" w:rsidR="00236301" w:rsidRDefault="00265296">
      <w:pPr>
        <w:pStyle w:val="NormalWeb"/>
        <w:divId w:val="1459840797"/>
      </w:pPr>
      <w:r>
        <w:rPr>
          <w:color w:val="010101"/>
          <w:sz w:val="20"/>
          <w:szCs w:val="20"/>
        </w:rPr>
        <w:t>SELLING, GENERAL AND ADMINISTRATIVE EXPENSES. SG&amp;A expenses were $</w:t>
      </w:r>
      <w:r w:rsidR="000C15DF">
        <w:rPr>
          <w:color w:val="010101"/>
          <w:sz w:val="20"/>
          <w:szCs w:val="20"/>
        </w:rPr>
        <w:t>4,503</w:t>
      </w:r>
      <w:r>
        <w:rPr>
          <w:color w:val="010101"/>
          <w:sz w:val="20"/>
          <w:szCs w:val="20"/>
        </w:rPr>
        <w:t xml:space="preserve"> in 2016 compared to $4,196 in 2015. The expenses are attributable to ANV's normal operations and the Company's SEC compliance and the </w:t>
      </w:r>
      <w:r w:rsidR="005E76B8">
        <w:rPr>
          <w:color w:val="010101"/>
          <w:sz w:val="20"/>
          <w:szCs w:val="20"/>
        </w:rPr>
        <w:t>fluctuations</w:t>
      </w:r>
      <w:r>
        <w:rPr>
          <w:color w:val="010101"/>
          <w:sz w:val="20"/>
          <w:szCs w:val="20"/>
        </w:rPr>
        <w:t xml:space="preserve"> are attributable to currency fluctuations and accounting costs.</w:t>
      </w:r>
    </w:p>
    <w:p w14:paraId="5D247243" w14:textId="6A58EA92" w:rsidR="00236301" w:rsidRDefault="00265296">
      <w:pPr>
        <w:pStyle w:val="NormalWeb"/>
        <w:divId w:val="1459840797"/>
      </w:pPr>
      <w:r>
        <w:rPr>
          <w:color w:val="010101"/>
          <w:sz w:val="20"/>
          <w:szCs w:val="20"/>
        </w:rPr>
        <w:t>INTEREST EXPENSE. Interest expense was $8,273 in 2016 compared to $10,410 in 2015. Interest expense for 2016 decreased due to currency fluctuations.</w:t>
      </w:r>
    </w:p>
    <w:p w14:paraId="5A4059CB" w14:textId="0AE9402E" w:rsidR="00236301" w:rsidRDefault="00265296">
      <w:pPr>
        <w:pStyle w:val="NormalWeb"/>
        <w:divId w:val="1459840797"/>
      </w:pPr>
      <w:r>
        <w:rPr>
          <w:color w:val="010101"/>
          <w:sz w:val="20"/>
          <w:szCs w:val="20"/>
        </w:rPr>
        <w:t>NET INCOME (LOSS) ATTRIBUTED TO COMMON STOCKHOLDERS. Net income (loss) attributed to common stockholders was $11,</w:t>
      </w:r>
      <w:r w:rsidR="007B6EA1">
        <w:rPr>
          <w:color w:val="010101"/>
          <w:sz w:val="20"/>
          <w:szCs w:val="20"/>
        </w:rPr>
        <w:t xml:space="preserve">021 </w:t>
      </w:r>
      <w:r>
        <w:rPr>
          <w:color w:val="010101"/>
          <w:sz w:val="20"/>
          <w:szCs w:val="20"/>
        </w:rPr>
        <w:t>or $0.0048 per share for 2016 as compared to $</w:t>
      </w:r>
      <w:r w:rsidR="007B6EA1">
        <w:rPr>
          <w:color w:val="010101"/>
          <w:sz w:val="20"/>
          <w:szCs w:val="20"/>
        </w:rPr>
        <w:t>18,164</w:t>
      </w:r>
      <w:r w:rsidR="00C54B41">
        <w:rPr>
          <w:color w:val="010101"/>
          <w:sz w:val="20"/>
          <w:szCs w:val="20"/>
        </w:rPr>
        <w:t xml:space="preserve"> </w:t>
      </w:r>
      <w:r>
        <w:rPr>
          <w:color w:val="010101"/>
          <w:sz w:val="20"/>
          <w:szCs w:val="20"/>
        </w:rPr>
        <w:t>or $0.</w:t>
      </w:r>
      <w:r w:rsidR="007B6EA1">
        <w:rPr>
          <w:color w:val="010101"/>
          <w:sz w:val="20"/>
          <w:szCs w:val="20"/>
        </w:rPr>
        <w:t>0078</w:t>
      </w:r>
      <w:r>
        <w:rPr>
          <w:color w:val="010101"/>
          <w:sz w:val="20"/>
          <w:szCs w:val="20"/>
        </w:rPr>
        <w:t xml:space="preserve"> per share for 2015 and mainly attributable to the currency fluc</w:t>
      </w:r>
      <w:r w:rsidR="005E76B8">
        <w:rPr>
          <w:color w:val="010101"/>
          <w:sz w:val="20"/>
          <w:szCs w:val="20"/>
        </w:rPr>
        <w:t>t</w:t>
      </w:r>
      <w:r>
        <w:rPr>
          <w:color w:val="010101"/>
          <w:sz w:val="20"/>
          <w:szCs w:val="20"/>
        </w:rPr>
        <w:t>uations.</w:t>
      </w:r>
    </w:p>
    <w:p w14:paraId="71C19856" w14:textId="487B9595" w:rsidR="00236301" w:rsidRDefault="00265296">
      <w:pPr>
        <w:pStyle w:val="NormalWeb"/>
        <w:divId w:val="1459840797"/>
      </w:pPr>
      <w:r>
        <w:rPr>
          <w:color w:val="010101"/>
          <w:sz w:val="20"/>
          <w:szCs w:val="20"/>
        </w:rPr>
        <w:t xml:space="preserve">LIQUIDITY AND CAPITAL RESOURCES. As of June 30, 2016 the Company had $46,170 of cash and cash equivalents and working capital </w:t>
      </w:r>
      <w:r w:rsidR="00C96594">
        <w:rPr>
          <w:color w:val="010101"/>
          <w:sz w:val="20"/>
          <w:szCs w:val="20"/>
        </w:rPr>
        <w:t xml:space="preserve">deficit </w:t>
      </w:r>
      <w:r w:rsidR="007B6EA1">
        <w:rPr>
          <w:color w:val="010101"/>
          <w:sz w:val="20"/>
          <w:szCs w:val="20"/>
        </w:rPr>
        <w:t xml:space="preserve">of </w:t>
      </w:r>
      <w:r>
        <w:rPr>
          <w:color w:val="010101"/>
          <w:sz w:val="20"/>
          <w:szCs w:val="20"/>
        </w:rPr>
        <w:t>$</w:t>
      </w:r>
      <w:r w:rsidR="0046413E">
        <w:rPr>
          <w:color w:val="010101"/>
          <w:sz w:val="20"/>
          <w:szCs w:val="20"/>
        </w:rPr>
        <w:t>208,433</w:t>
      </w:r>
      <w:r w:rsidR="007B6EA1">
        <w:rPr>
          <w:color w:val="010101"/>
          <w:sz w:val="20"/>
          <w:szCs w:val="20"/>
        </w:rPr>
        <w:t xml:space="preserve"> </w:t>
      </w:r>
      <w:r>
        <w:rPr>
          <w:color w:val="010101"/>
          <w:sz w:val="20"/>
          <w:szCs w:val="20"/>
        </w:rPr>
        <w:t xml:space="preserve">compared to June 30, 2015 the Company had $68,260 of cash and cash equivalents and working capital </w:t>
      </w:r>
      <w:r w:rsidR="00C96594">
        <w:rPr>
          <w:color w:val="010101"/>
          <w:sz w:val="20"/>
          <w:szCs w:val="20"/>
        </w:rPr>
        <w:t xml:space="preserve">deficit </w:t>
      </w:r>
      <w:r>
        <w:rPr>
          <w:color w:val="010101"/>
          <w:sz w:val="20"/>
          <w:szCs w:val="20"/>
        </w:rPr>
        <w:t>of $</w:t>
      </w:r>
      <w:r w:rsidR="0046413E">
        <w:rPr>
          <w:color w:val="010101"/>
          <w:sz w:val="20"/>
          <w:szCs w:val="20"/>
        </w:rPr>
        <w:t>194,854</w:t>
      </w:r>
      <w:r>
        <w:rPr>
          <w:color w:val="010101"/>
          <w:sz w:val="20"/>
          <w:szCs w:val="20"/>
        </w:rPr>
        <w:t>. The change in cash is primarily due to the ANV'S payment of debt and normal operations. The decrease in the working capital is primarily related to the operations of ANV.</w:t>
      </w:r>
    </w:p>
    <w:p w14:paraId="2AFE020C" w14:textId="03FC0FE7" w:rsidR="00236301" w:rsidRDefault="00265296">
      <w:pPr>
        <w:pStyle w:val="NormalWeb"/>
        <w:divId w:val="1459840797"/>
      </w:pPr>
      <w:r>
        <w:rPr>
          <w:color w:val="010101"/>
          <w:sz w:val="20"/>
          <w:szCs w:val="20"/>
        </w:rPr>
        <w:t>Net cash provided by (used by) operating activities for 2016 and 2015 was $(</w:t>
      </w:r>
      <w:r w:rsidR="007B6EA1">
        <w:rPr>
          <w:color w:val="010101"/>
          <w:sz w:val="20"/>
          <w:szCs w:val="20"/>
        </w:rPr>
        <w:t>11,298</w:t>
      </w:r>
      <w:r>
        <w:rPr>
          <w:color w:val="010101"/>
          <w:sz w:val="20"/>
          <w:szCs w:val="20"/>
        </w:rPr>
        <w:t>) and $</w:t>
      </w:r>
      <w:r w:rsidR="007B6EA1">
        <w:rPr>
          <w:color w:val="010101"/>
          <w:sz w:val="20"/>
          <w:szCs w:val="20"/>
        </w:rPr>
        <w:t>2,354</w:t>
      </w:r>
      <w:r>
        <w:rPr>
          <w:color w:val="010101"/>
          <w:sz w:val="20"/>
          <w:szCs w:val="20"/>
        </w:rPr>
        <w:t xml:space="preserve"> respectively.</w:t>
      </w:r>
    </w:p>
    <w:p w14:paraId="6DA141ED" w14:textId="6C8AC50D" w:rsidR="00236301" w:rsidRDefault="00265296">
      <w:pPr>
        <w:pStyle w:val="NormalWeb"/>
        <w:divId w:val="1459840797"/>
      </w:pPr>
      <w:r>
        <w:rPr>
          <w:color w:val="010101"/>
          <w:sz w:val="20"/>
          <w:szCs w:val="20"/>
        </w:rPr>
        <w:t xml:space="preserve">Net cash provided from (used for) financing activities for </w:t>
      </w:r>
      <w:r w:rsidR="00D16443">
        <w:rPr>
          <w:color w:val="010101"/>
          <w:sz w:val="20"/>
          <w:szCs w:val="20"/>
        </w:rPr>
        <w:t xml:space="preserve">2016 </w:t>
      </w:r>
      <w:r>
        <w:rPr>
          <w:color w:val="010101"/>
          <w:sz w:val="20"/>
          <w:szCs w:val="20"/>
        </w:rPr>
        <w:t xml:space="preserve">and </w:t>
      </w:r>
      <w:r w:rsidR="00D16443">
        <w:rPr>
          <w:color w:val="010101"/>
          <w:sz w:val="20"/>
          <w:szCs w:val="20"/>
        </w:rPr>
        <w:t xml:space="preserve">2015 </w:t>
      </w:r>
      <w:r>
        <w:rPr>
          <w:color w:val="010101"/>
          <w:sz w:val="20"/>
          <w:szCs w:val="20"/>
        </w:rPr>
        <w:t>was $(</w:t>
      </w:r>
      <w:r w:rsidR="007B6EA1">
        <w:rPr>
          <w:color w:val="010101"/>
          <w:sz w:val="20"/>
          <w:szCs w:val="20"/>
        </w:rPr>
        <w:t>7,699</w:t>
      </w:r>
      <w:r>
        <w:rPr>
          <w:color w:val="010101"/>
          <w:sz w:val="20"/>
          <w:szCs w:val="20"/>
        </w:rPr>
        <w:t>) and $(</w:t>
      </w:r>
      <w:r w:rsidR="007B6EA1">
        <w:rPr>
          <w:color w:val="010101"/>
          <w:sz w:val="20"/>
          <w:szCs w:val="20"/>
        </w:rPr>
        <w:t>60,055</w:t>
      </w:r>
      <w:r>
        <w:rPr>
          <w:color w:val="010101"/>
          <w:sz w:val="20"/>
          <w:szCs w:val="20"/>
        </w:rPr>
        <w:t>) respectively. Net cash provided from or used for financing activities for both periods is related to the company's borrowings from banks, officers and directors, and the repayment of debt.</w:t>
      </w:r>
    </w:p>
    <w:p w14:paraId="5E6B0A72" w14:textId="77777777" w:rsidR="00236301" w:rsidRDefault="00084F74">
      <w:pPr>
        <w:pStyle w:val="NormalWeb"/>
        <w:divId w:val="1459840797"/>
      </w:pPr>
      <w:hyperlink w:anchor="toc" w:history="1">
        <w:r w:rsidR="00265296">
          <w:rPr>
            <w:rStyle w:val="Hyperlink"/>
            <w:b/>
            <w:bCs/>
            <w:sz w:val="20"/>
            <w:szCs w:val="20"/>
          </w:rPr>
          <w:t>Return to Table of Contents</w:t>
        </w:r>
      </w:hyperlink>
    </w:p>
    <w:p w14:paraId="4B7CA03D" w14:textId="77777777" w:rsidR="00236301" w:rsidRDefault="00265296">
      <w:pPr>
        <w:pStyle w:val="NormalWeb"/>
        <w:divId w:val="1459840797"/>
      </w:pPr>
      <w:r>
        <w:rPr>
          <w:b/>
          <w:bCs/>
          <w:sz w:val="20"/>
          <w:szCs w:val="20"/>
        </w:rPr>
        <w:t>13</w:t>
      </w:r>
      <w:r>
        <w:t xml:space="preserve"> </w:t>
      </w:r>
    </w:p>
    <w:p w14:paraId="071C226C" w14:textId="77777777" w:rsidR="00236301" w:rsidRDefault="00084F74">
      <w:pPr>
        <w:jc w:val="center"/>
        <w:divId w:val="1459840797"/>
        <w:rPr>
          <w:rFonts w:eastAsia="Times New Roman"/>
          <w:sz w:val="20"/>
          <w:szCs w:val="20"/>
        </w:rPr>
      </w:pPr>
      <w:r>
        <w:rPr>
          <w:rFonts w:eastAsia="Times New Roman"/>
          <w:sz w:val="20"/>
          <w:szCs w:val="20"/>
        </w:rPr>
        <w:pict w14:anchorId="0DFFA2F2">
          <v:rect id="_x0000_i1041" style="width:.05pt;height:1pt" o:hralign="center" o:hrstd="t" o:hrnoshade="t" o:hr="t" fillcolor="blue" stroked="f"/>
        </w:pict>
      </w:r>
    </w:p>
    <w:p w14:paraId="5D61500A" w14:textId="77777777" w:rsidR="00236301" w:rsidRDefault="00265296">
      <w:pPr>
        <w:pStyle w:val="NormalWeb"/>
        <w:divId w:val="1459840797"/>
      </w:pPr>
      <w:r>
        <w:rPr>
          <w:sz w:val="20"/>
          <w:szCs w:val="20"/>
        </w:rPr>
        <w:t>OFF BALANCE SHEET ARRANGEMENTS</w:t>
      </w:r>
    </w:p>
    <w:p w14:paraId="7948826B" w14:textId="77777777" w:rsidR="00236301" w:rsidRDefault="00265296">
      <w:pPr>
        <w:pStyle w:val="NormalWeb"/>
        <w:divId w:val="1459840797"/>
      </w:pPr>
      <w:r>
        <w:rPr>
          <w:sz w:val="20"/>
          <w:szCs w:val="20"/>
        </w:rPr>
        <w:t>We do not currently have any off balance sheet arrangements.</w:t>
      </w:r>
    </w:p>
    <w:p w14:paraId="6DC04D90" w14:textId="77777777" w:rsidR="00236301" w:rsidRDefault="00265296">
      <w:pPr>
        <w:pStyle w:val="NormalWeb"/>
        <w:divId w:val="1459840797"/>
      </w:pPr>
      <w:bookmarkStart w:id="11" w:name="#item7A"/>
      <w:bookmarkEnd w:id="11"/>
      <w:r>
        <w:rPr>
          <w:b/>
          <w:bCs/>
          <w:i/>
          <w:iCs/>
        </w:rPr>
        <w:t xml:space="preserve">ITEM 7A. </w:t>
      </w:r>
      <w:r w:rsidR="00200097">
        <w:rPr>
          <w:b/>
          <w:bCs/>
          <w:i/>
          <w:iCs/>
        </w:rPr>
        <w:t>QUANTITATIVE</w:t>
      </w:r>
      <w:r>
        <w:rPr>
          <w:b/>
          <w:bCs/>
          <w:i/>
          <w:iCs/>
        </w:rPr>
        <w:t xml:space="preserve"> AND QUALITATIVE MARKET DISCLOSURES ABOUT RISK</w:t>
      </w:r>
    </w:p>
    <w:p w14:paraId="056C6F8C" w14:textId="77777777" w:rsidR="00236301" w:rsidRDefault="00265296">
      <w:pPr>
        <w:pStyle w:val="NormalWeb"/>
        <w:divId w:val="1459840797"/>
      </w:pPr>
      <w:r>
        <w:rPr>
          <w:sz w:val="20"/>
          <w:szCs w:val="20"/>
        </w:rPr>
        <w:t>Not required.</w:t>
      </w:r>
    </w:p>
    <w:p w14:paraId="2C00066F" w14:textId="77777777" w:rsidR="00236301" w:rsidRDefault="00265296">
      <w:pPr>
        <w:pStyle w:val="NormalWeb"/>
        <w:divId w:val="1459840797"/>
      </w:pPr>
      <w:bookmarkStart w:id="12" w:name="#item8"/>
      <w:bookmarkEnd w:id="12"/>
      <w:r>
        <w:rPr>
          <w:b/>
          <w:bCs/>
          <w:i/>
          <w:iCs/>
        </w:rPr>
        <w:t>ITEM 8. AUDITED FINANCIAL STATEMENTS</w:t>
      </w:r>
    </w:p>
    <w:p w14:paraId="1803891F" w14:textId="77777777" w:rsidR="00236301" w:rsidRDefault="00265296">
      <w:pPr>
        <w:pStyle w:val="NormalWeb"/>
        <w:divId w:val="1459840797"/>
      </w:pPr>
      <w:r>
        <w:rPr>
          <w:sz w:val="20"/>
          <w:szCs w:val="20"/>
        </w:rPr>
        <w:t>See the consolidated financial statements on Exhibit F for the period ending June 30, 2016 and June30, 2015.</w:t>
      </w:r>
    </w:p>
    <w:tbl>
      <w:tblPr>
        <w:tblW w:w="5000" w:type="pct"/>
        <w:tblCellSpacing w:w="0" w:type="dxa"/>
        <w:tblCellMar>
          <w:left w:w="0" w:type="dxa"/>
          <w:right w:w="0" w:type="dxa"/>
        </w:tblCellMar>
        <w:tblLook w:val="04A0" w:firstRow="1" w:lastRow="0" w:firstColumn="1" w:lastColumn="0" w:noHBand="0" w:noVBand="1"/>
      </w:tblPr>
      <w:tblGrid>
        <w:gridCol w:w="11015"/>
        <w:gridCol w:w="259"/>
        <w:gridCol w:w="130"/>
        <w:gridCol w:w="1426"/>
        <w:gridCol w:w="130"/>
      </w:tblGrid>
      <w:tr w:rsidR="00236301" w14:paraId="5783C23B" w14:textId="77777777">
        <w:trPr>
          <w:divId w:val="1459840797"/>
          <w:tblCellSpacing w:w="0" w:type="dxa"/>
        </w:trPr>
        <w:tc>
          <w:tcPr>
            <w:tcW w:w="4250" w:type="pct"/>
            <w:shd w:val="clear" w:color="auto" w:fill="CCEEFF"/>
            <w:vAlign w:val="bottom"/>
            <w:hideMark/>
          </w:tcPr>
          <w:p w14:paraId="5AB037F6" w14:textId="77777777" w:rsidR="00236301" w:rsidRDefault="00084F74">
            <w:pPr>
              <w:pStyle w:val="NormalWeb"/>
            </w:pPr>
            <w:hyperlink w:anchor="report" w:history="1">
              <w:r w:rsidR="00265296">
                <w:rPr>
                  <w:rStyle w:val="Hyperlink"/>
                  <w:sz w:val="20"/>
                  <w:szCs w:val="20"/>
                </w:rPr>
                <w:t>Report of Independent Registered Public Accounting Firm for the period ending June 30, 2016 and June 30, 2015</w:t>
              </w:r>
            </w:hyperlink>
          </w:p>
        </w:tc>
        <w:tc>
          <w:tcPr>
            <w:tcW w:w="100" w:type="pct"/>
            <w:shd w:val="clear" w:color="auto" w:fill="CCEEFF"/>
            <w:vAlign w:val="center"/>
            <w:hideMark/>
          </w:tcPr>
          <w:p w14:paraId="355FC012" w14:textId="77777777" w:rsidR="00236301" w:rsidRDefault="00265296">
            <w:pPr>
              <w:pStyle w:val="NormalWeb"/>
              <w:jc w:val="right"/>
            </w:pPr>
            <w:r>
              <w:rPr>
                <w:b/>
                <w:bCs/>
              </w:rPr>
              <w:t> </w:t>
            </w:r>
          </w:p>
        </w:tc>
        <w:tc>
          <w:tcPr>
            <w:tcW w:w="50" w:type="pct"/>
            <w:shd w:val="clear" w:color="auto" w:fill="CCEEFF"/>
            <w:vAlign w:val="bottom"/>
            <w:hideMark/>
          </w:tcPr>
          <w:p w14:paraId="35583500" w14:textId="77777777" w:rsidR="00236301" w:rsidRDefault="00265296">
            <w:pPr>
              <w:pStyle w:val="NormalWeb"/>
              <w:jc w:val="right"/>
            </w:pPr>
            <w:r>
              <w:rPr>
                <w:b/>
                <w:bCs/>
              </w:rPr>
              <w:t> </w:t>
            </w:r>
          </w:p>
        </w:tc>
        <w:tc>
          <w:tcPr>
            <w:tcW w:w="550" w:type="pct"/>
            <w:shd w:val="clear" w:color="auto" w:fill="CCEEFF"/>
            <w:vAlign w:val="bottom"/>
            <w:hideMark/>
          </w:tcPr>
          <w:p w14:paraId="13F61F43" w14:textId="77777777" w:rsidR="00236301" w:rsidRDefault="00265296">
            <w:pPr>
              <w:pStyle w:val="NormalWeb"/>
              <w:jc w:val="right"/>
            </w:pPr>
            <w:r>
              <w:rPr>
                <w:b/>
                <w:bCs/>
                <w:sz w:val="20"/>
                <w:szCs w:val="20"/>
              </w:rPr>
              <w:t>F-2</w:t>
            </w:r>
          </w:p>
        </w:tc>
        <w:tc>
          <w:tcPr>
            <w:tcW w:w="50" w:type="pct"/>
            <w:shd w:val="clear" w:color="auto" w:fill="CCEEFF"/>
            <w:vAlign w:val="bottom"/>
            <w:hideMark/>
          </w:tcPr>
          <w:p w14:paraId="641A1425" w14:textId="77777777" w:rsidR="00236301" w:rsidRDefault="00265296">
            <w:pPr>
              <w:pStyle w:val="NormalWeb"/>
              <w:jc w:val="right"/>
            </w:pPr>
            <w:r>
              <w:rPr>
                <w:b/>
                <w:bCs/>
              </w:rPr>
              <w:t> </w:t>
            </w:r>
          </w:p>
        </w:tc>
      </w:tr>
      <w:tr w:rsidR="00236301" w14:paraId="2437A41E" w14:textId="77777777">
        <w:trPr>
          <w:divId w:val="1459840797"/>
          <w:tblCellSpacing w:w="0" w:type="dxa"/>
        </w:trPr>
        <w:tc>
          <w:tcPr>
            <w:tcW w:w="4250" w:type="pct"/>
            <w:shd w:val="clear" w:color="auto" w:fill="FFFFFF"/>
            <w:vAlign w:val="bottom"/>
            <w:hideMark/>
          </w:tcPr>
          <w:p w14:paraId="74BF35C2" w14:textId="77777777" w:rsidR="00236301" w:rsidRDefault="00265296">
            <w:pPr>
              <w:pStyle w:val="NormalWeb"/>
            </w:pPr>
            <w:r>
              <w:t> </w:t>
            </w:r>
          </w:p>
        </w:tc>
        <w:tc>
          <w:tcPr>
            <w:tcW w:w="100" w:type="pct"/>
            <w:shd w:val="clear" w:color="auto" w:fill="FFFFFF"/>
            <w:vAlign w:val="center"/>
            <w:hideMark/>
          </w:tcPr>
          <w:p w14:paraId="667E5BFE" w14:textId="77777777" w:rsidR="00236301" w:rsidRDefault="00265296">
            <w:pPr>
              <w:pStyle w:val="NormalWeb"/>
            </w:pPr>
            <w:r>
              <w:t> </w:t>
            </w:r>
          </w:p>
        </w:tc>
        <w:tc>
          <w:tcPr>
            <w:tcW w:w="50" w:type="pct"/>
            <w:shd w:val="clear" w:color="auto" w:fill="FFFFFF"/>
            <w:vAlign w:val="bottom"/>
            <w:hideMark/>
          </w:tcPr>
          <w:p w14:paraId="189C1DAE" w14:textId="77777777" w:rsidR="00236301" w:rsidRDefault="00265296">
            <w:pPr>
              <w:pStyle w:val="NormalWeb"/>
            </w:pPr>
            <w:r>
              <w:t> </w:t>
            </w:r>
          </w:p>
        </w:tc>
        <w:tc>
          <w:tcPr>
            <w:tcW w:w="550" w:type="pct"/>
            <w:shd w:val="clear" w:color="auto" w:fill="FFFFFF"/>
            <w:vAlign w:val="bottom"/>
            <w:hideMark/>
          </w:tcPr>
          <w:p w14:paraId="382B6019" w14:textId="77777777" w:rsidR="00236301" w:rsidRDefault="00265296">
            <w:pPr>
              <w:pStyle w:val="NormalWeb"/>
              <w:jc w:val="right"/>
            </w:pPr>
            <w:r>
              <w:t> </w:t>
            </w:r>
          </w:p>
        </w:tc>
        <w:tc>
          <w:tcPr>
            <w:tcW w:w="50" w:type="pct"/>
            <w:shd w:val="clear" w:color="auto" w:fill="FFFFFF"/>
            <w:vAlign w:val="bottom"/>
            <w:hideMark/>
          </w:tcPr>
          <w:p w14:paraId="73126849" w14:textId="77777777" w:rsidR="00236301" w:rsidRDefault="00265296">
            <w:pPr>
              <w:pStyle w:val="NormalWeb"/>
            </w:pPr>
            <w:r>
              <w:t> </w:t>
            </w:r>
          </w:p>
        </w:tc>
      </w:tr>
      <w:tr w:rsidR="00236301" w14:paraId="282CF7D7" w14:textId="77777777">
        <w:trPr>
          <w:divId w:val="1459840797"/>
          <w:tblCellSpacing w:w="0" w:type="dxa"/>
        </w:trPr>
        <w:tc>
          <w:tcPr>
            <w:tcW w:w="4250" w:type="pct"/>
            <w:shd w:val="clear" w:color="auto" w:fill="CCEEFF"/>
            <w:vAlign w:val="bottom"/>
            <w:hideMark/>
          </w:tcPr>
          <w:p w14:paraId="059FE673" w14:textId="77777777" w:rsidR="00236301" w:rsidRDefault="00084F74">
            <w:pPr>
              <w:pStyle w:val="NormalWeb"/>
            </w:pPr>
            <w:hyperlink w:anchor="bs" w:history="1">
              <w:r w:rsidR="00265296">
                <w:rPr>
                  <w:rStyle w:val="Hyperlink"/>
                  <w:sz w:val="20"/>
                  <w:szCs w:val="20"/>
                </w:rPr>
                <w:t xml:space="preserve">Consolidated balance sheet as of June 30, 2016 </w:t>
              </w:r>
            </w:hyperlink>
            <w:hyperlink w:anchor="report" w:history="1">
              <w:r w:rsidR="00265296">
                <w:rPr>
                  <w:rStyle w:val="Hyperlink"/>
                  <w:sz w:val="20"/>
                  <w:szCs w:val="20"/>
                </w:rPr>
                <w:t>and June 30, 2015</w:t>
              </w:r>
            </w:hyperlink>
          </w:p>
        </w:tc>
        <w:tc>
          <w:tcPr>
            <w:tcW w:w="100" w:type="pct"/>
            <w:shd w:val="clear" w:color="auto" w:fill="CCEEFF"/>
            <w:vAlign w:val="center"/>
            <w:hideMark/>
          </w:tcPr>
          <w:p w14:paraId="62586B32" w14:textId="77777777" w:rsidR="00236301" w:rsidRDefault="00265296">
            <w:pPr>
              <w:pStyle w:val="NormalWeb"/>
            </w:pPr>
            <w:r>
              <w:t> </w:t>
            </w:r>
          </w:p>
        </w:tc>
        <w:tc>
          <w:tcPr>
            <w:tcW w:w="50" w:type="pct"/>
            <w:shd w:val="clear" w:color="auto" w:fill="CCEEFF"/>
            <w:vAlign w:val="bottom"/>
            <w:hideMark/>
          </w:tcPr>
          <w:p w14:paraId="75153773" w14:textId="77777777" w:rsidR="00236301" w:rsidRDefault="00265296">
            <w:pPr>
              <w:pStyle w:val="NormalWeb"/>
            </w:pPr>
            <w:r>
              <w:t> </w:t>
            </w:r>
          </w:p>
        </w:tc>
        <w:tc>
          <w:tcPr>
            <w:tcW w:w="550" w:type="pct"/>
            <w:shd w:val="clear" w:color="auto" w:fill="CCEEFF"/>
            <w:vAlign w:val="bottom"/>
            <w:hideMark/>
          </w:tcPr>
          <w:p w14:paraId="49FD3242" w14:textId="77777777" w:rsidR="00236301" w:rsidRDefault="00265296">
            <w:pPr>
              <w:pStyle w:val="NormalWeb"/>
              <w:jc w:val="right"/>
              <w:divId w:val="73549875"/>
            </w:pPr>
            <w:r>
              <w:rPr>
                <w:sz w:val="20"/>
                <w:szCs w:val="20"/>
              </w:rPr>
              <w:t>F-3</w:t>
            </w:r>
          </w:p>
        </w:tc>
        <w:tc>
          <w:tcPr>
            <w:tcW w:w="50" w:type="pct"/>
            <w:shd w:val="clear" w:color="auto" w:fill="CCEEFF"/>
            <w:vAlign w:val="bottom"/>
            <w:hideMark/>
          </w:tcPr>
          <w:p w14:paraId="117DF502" w14:textId="77777777" w:rsidR="00236301" w:rsidRDefault="00265296">
            <w:pPr>
              <w:pStyle w:val="NormalWeb"/>
            </w:pPr>
            <w:r>
              <w:t> </w:t>
            </w:r>
          </w:p>
        </w:tc>
      </w:tr>
      <w:tr w:rsidR="00236301" w14:paraId="20149318" w14:textId="77777777">
        <w:trPr>
          <w:divId w:val="1459840797"/>
          <w:tblCellSpacing w:w="0" w:type="dxa"/>
        </w:trPr>
        <w:tc>
          <w:tcPr>
            <w:tcW w:w="4250" w:type="pct"/>
            <w:shd w:val="clear" w:color="auto" w:fill="FFFFFF"/>
            <w:vAlign w:val="bottom"/>
            <w:hideMark/>
          </w:tcPr>
          <w:p w14:paraId="602CA9BA" w14:textId="77777777" w:rsidR="00236301" w:rsidRDefault="00265296">
            <w:pPr>
              <w:pStyle w:val="NormalWeb"/>
            </w:pPr>
            <w:r>
              <w:t> </w:t>
            </w:r>
          </w:p>
        </w:tc>
        <w:tc>
          <w:tcPr>
            <w:tcW w:w="100" w:type="pct"/>
            <w:shd w:val="clear" w:color="auto" w:fill="FFFFFF"/>
            <w:vAlign w:val="center"/>
            <w:hideMark/>
          </w:tcPr>
          <w:p w14:paraId="2C782E5F" w14:textId="77777777" w:rsidR="00236301" w:rsidRDefault="00265296">
            <w:pPr>
              <w:pStyle w:val="NormalWeb"/>
            </w:pPr>
            <w:r>
              <w:t> </w:t>
            </w:r>
          </w:p>
        </w:tc>
        <w:tc>
          <w:tcPr>
            <w:tcW w:w="50" w:type="pct"/>
            <w:shd w:val="clear" w:color="auto" w:fill="FFFFFF"/>
            <w:vAlign w:val="bottom"/>
            <w:hideMark/>
          </w:tcPr>
          <w:p w14:paraId="1997B846" w14:textId="77777777" w:rsidR="00236301" w:rsidRDefault="00265296">
            <w:pPr>
              <w:pStyle w:val="NormalWeb"/>
            </w:pPr>
            <w:r>
              <w:t> </w:t>
            </w:r>
          </w:p>
        </w:tc>
        <w:tc>
          <w:tcPr>
            <w:tcW w:w="550" w:type="pct"/>
            <w:shd w:val="clear" w:color="auto" w:fill="FFFFFF"/>
            <w:vAlign w:val="bottom"/>
            <w:hideMark/>
          </w:tcPr>
          <w:p w14:paraId="6C850D06" w14:textId="77777777" w:rsidR="00236301" w:rsidRDefault="00265296">
            <w:pPr>
              <w:pStyle w:val="NormalWeb"/>
              <w:jc w:val="right"/>
            </w:pPr>
            <w:r>
              <w:t> </w:t>
            </w:r>
          </w:p>
        </w:tc>
        <w:tc>
          <w:tcPr>
            <w:tcW w:w="50" w:type="pct"/>
            <w:shd w:val="clear" w:color="auto" w:fill="FFFFFF"/>
            <w:vAlign w:val="bottom"/>
            <w:hideMark/>
          </w:tcPr>
          <w:p w14:paraId="475196D7" w14:textId="77777777" w:rsidR="00236301" w:rsidRDefault="00265296">
            <w:pPr>
              <w:pStyle w:val="NormalWeb"/>
            </w:pPr>
            <w:r>
              <w:t> </w:t>
            </w:r>
          </w:p>
        </w:tc>
      </w:tr>
      <w:tr w:rsidR="00236301" w14:paraId="31781126" w14:textId="77777777">
        <w:trPr>
          <w:divId w:val="1459840797"/>
          <w:tblCellSpacing w:w="0" w:type="dxa"/>
        </w:trPr>
        <w:tc>
          <w:tcPr>
            <w:tcW w:w="4250" w:type="pct"/>
            <w:shd w:val="clear" w:color="auto" w:fill="CCEEFF"/>
            <w:vAlign w:val="bottom"/>
            <w:hideMark/>
          </w:tcPr>
          <w:p w14:paraId="505BC327" w14:textId="77777777" w:rsidR="00236301" w:rsidRDefault="00084F74">
            <w:pPr>
              <w:pStyle w:val="NormalWeb"/>
              <w:ind w:hanging="180"/>
              <w:divId w:val="1549952999"/>
            </w:pPr>
            <w:hyperlink w:anchor="so" w:history="1">
              <w:r w:rsidR="00265296">
                <w:rPr>
                  <w:rStyle w:val="Hyperlink"/>
                  <w:sz w:val="20"/>
                  <w:szCs w:val="20"/>
                </w:rPr>
                <w:t xml:space="preserve">Consolidated statements of operations for the year ended June 30, 2016 </w:t>
              </w:r>
            </w:hyperlink>
            <w:hyperlink w:anchor="report" w:history="1">
              <w:r w:rsidR="00265296">
                <w:rPr>
                  <w:rStyle w:val="Hyperlink"/>
                  <w:sz w:val="20"/>
                  <w:szCs w:val="20"/>
                </w:rPr>
                <w:t>and June 30, 2015</w:t>
              </w:r>
            </w:hyperlink>
          </w:p>
        </w:tc>
        <w:tc>
          <w:tcPr>
            <w:tcW w:w="100" w:type="pct"/>
            <w:shd w:val="clear" w:color="auto" w:fill="CCEEFF"/>
            <w:vAlign w:val="center"/>
            <w:hideMark/>
          </w:tcPr>
          <w:p w14:paraId="6B5A9B4A" w14:textId="77777777" w:rsidR="00236301" w:rsidRDefault="00265296">
            <w:pPr>
              <w:pStyle w:val="NormalWeb"/>
            </w:pPr>
            <w:r>
              <w:t> </w:t>
            </w:r>
          </w:p>
        </w:tc>
        <w:tc>
          <w:tcPr>
            <w:tcW w:w="50" w:type="pct"/>
            <w:shd w:val="clear" w:color="auto" w:fill="CCEEFF"/>
            <w:vAlign w:val="bottom"/>
            <w:hideMark/>
          </w:tcPr>
          <w:p w14:paraId="0E0443D9" w14:textId="77777777" w:rsidR="00236301" w:rsidRDefault="00265296">
            <w:pPr>
              <w:pStyle w:val="NormalWeb"/>
            </w:pPr>
            <w:r>
              <w:t> </w:t>
            </w:r>
          </w:p>
        </w:tc>
        <w:tc>
          <w:tcPr>
            <w:tcW w:w="550" w:type="pct"/>
            <w:shd w:val="clear" w:color="auto" w:fill="CCEEFF"/>
            <w:vAlign w:val="bottom"/>
            <w:hideMark/>
          </w:tcPr>
          <w:p w14:paraId="54AB86EA" w14:textId="77777777" w:rsidR="00236301" w:rsidRDefault="00265296">
            <w:pPr>
              <w:pStyle w:val="NormalWeb"/>
              <w:jc w:val="right"/>
              <w:divId w:val="747968099"/>
            </w:pPr>
            <w:r>
              <w:rPr>
                <w:sz w:val="20"/>
                <w:szCs w:val="20"/>
              </w:rPr>
              <w:t>E-4</w:t>
            </w:r>
          </w:p>
        </w:tc>
        <w:tc>
          <w:tcPr>
            <w:tcW w:w="50" w:type="pct"/>
            <w:shd w:val="clear" w:color="auto" w:fill="CCEEFF"/>
            <w:vAlign w:val="bottom"/>
            <w:hideMark/>
          </w:tcPr>
          <w:p w14:paraId="5363A9DB" w14:textId="77777777" w:rsidR="00236301" w:rsidRDefault="00265296">
            <w:pPr>
              <w:pStyle w:val="NormalWeb"/>
            </w:pPr>
            <w:r>
              <w:t> </w:t>
            </w:r>
          </w:p>
        </w:tc>
      </w:tr>
      <w:tr w:rsidR="00236301" w14:paraId="29AD03C1" w14:textId="77777777">
        <w:trPr>
          <w:divId w:val="1459840797"/>
          <w:tblCellSpacing w:w="0" w:type="dxa"/>
        </w:trPr>
        <w:tc>
          <w:tcPr>
            <w:tcW w:w="4250" w:type="pct"/>
            <w:shd w:val="clear" w:color="auto" w:fill="FFFFFF"/>
            <w:vAlign w:val="bottom"/>
            <w:hideMark/>
          </w:tcPr>
          <w:p w14:paraId="6636A96E" w14:textId="77777777" w:rsidR="00236301" w:rsidRDefault="00265296">
            <w:pPr>
              <w:pStyle w:val="NormalWeb"/>
            </w:pPr>
            <w:r>
              <w:t> </w:t>
            </w:r>
          </w:p>
        </w:tc>
        <w:tc>
          <w:tcPr>
            <w:tcW w:w="100" w:type="pct"/>
            <w:shd w:val="clear" w:color="auto" w:fill="FFFFFF"/>
            <w:vAlign w:val="center"/>
            <w:hideMark/>
          </w:tcPr>
          <w:p w14:paraId="5A0EDDDD" w14:textId="77777777" w:rsidR="00236301" w:rsidRDefault="00265296">
            <w:pPr>
              <w:pStyle w:val="NormalWeb"/>
            </w:pPr>
            <w:r>
              <w:t> </w:t>
            </w:r>
          </w:p>
        </w:tc>
        <w:tc>
          <w:tcPr>
            <w:tcW w:w="50" w:type="pct"/>
            <w:shd w:val="clear" w:color="auto" w:fill="FFFFFF"/>
            <w:vAlign w:val="bottom"/>
            <w:hideMark/>
          </w:tcPr>
          <w:p w14:paraId="07625FA0" w14:textId="77777777" w:rsidR="00236301" w:rsidRDefault="00265296">
            <w:pPr>
              <w:pStyle w:val="NormalWeb"/>
            </w:pPr>
            <w:r>
              <w:t> </w:t>
            </w:r>
          </w:p>
        </w:tc>
        <w:tc>
          <w:tcPr>
            <w:tcW w:w="550" w:type="pct"/>
            <w:shd w:val="clear" w:color="auto" w:fill="FFFFFF"/>
            <w:vAlign w:val="bottom"/>
            <w:hideMark/>
          </w:tcPr>
          <w:p w14:paraId="63FB25A9" w14:textId="77777777" w:rsidR="00236301" w:rsidRDefault="00265296">
            <w:pPr>
              <w:pStyle w:val="NormalWeb"/>
              <w:jc w:val="right"/>
            </w:pPr>
            <w:r>
              <w:t> </w:t>
            </w:r>
          </w:p>
        </w:tc>
        <w:tc>
          <w:tcPr>
            <w:tcW w:w="50" w:type="pct"/>
            <w:shd w:val="clear" w:color="auto" w:fill="FFFFFF"/>
            <w:vAlign w:val="bottom"/>
            <w:hideMark/>
          </w:tcPr>
          <w:p w14:paraId="34E0A880" w14:textId="77777777" w:rsidR="00236301" w:rsidRDefault="00265296">
            <w:pPr>
              <w:pStyle w:val="NormalWeb"/>
            </w:pPr>
            <w:r>
              <w:t> </w:t>
            </w:r>
          </w:p>
        </w:tc>
      </w:tr>
      <w:tr w:rsidR="00236301" w14:paraId="69E186FE" w14:textId="77777777">
        <w:trPr>
          <w:divId w:val="1459840797"/>
          <w:tblCellSpacing w:w="0" w:type="dxa"/>
        </w:trPr>
        <w:tc>
          <w:tcPr>
            <w:tcW w:w="4250" w:type="pct"/>
            <w:shd w:val="clear" w:color="auto" w:fill="CCEEFF"/>
            <w:vAlign w:val="bottom"/>
            <w:hideMark/>
          </w:tcPr>
          <w:p w14:paraId="6D75C100" w14:textId="77777777" w:rsidR="00236301" w:rsidRDefault="00084F74">
            <w:pPr>
              <w:pStyle w:val="NormalWeb"/>
              <w:ind w:hanging="180"/>
              <w:divId w:val="1685084293"/>
            </w:pPr>
            <w:hyperlink w:anchor="se" w:history="1">
              <w:r w:rsidR="00265296">
                <w:rPr>
                  <w:rStyle w:val="Hyperlink"/>
                  <w:sz w:val="20"/>
                  <w:szCs w:val="20"/>
                </w:rPr>
                <w:t xml:space="preserve">Consolidated statements of changes in stockholders' equity (capital deficiency) for the year ended June 30, 2016 </w:t>
              </w:r>
            </w:hyperlink>
            <w:hyperlink w:anchor="report" w:history="1">
              <w:r w:rsidR="00265296">
                <w:rPr>
                  <w:rStyle w:val="Hyperlink"/>
                  <w:sz w:val="20"/>
                  <w:szCs w:val="20"/>
                </w:rPr>
                <w:t>and June 30, 2015</w:t>
              </w:r>
            </w:hyperlink>
          </w:p>
        </w:tc>
        <w:tc>
          <w:tcPr>
            <w:tcW w:w="100" w:type="pct"/>
            <w:shd w:val="clear" w:color="auto" w:fill="CCEEFF"/>
            <w:vAlign w:val="center"/>
            <w:hideMark/>
          </w:tcPr>
          <w:p w14:paraId="597A1E8D" w14:textId="77777777" w:rsidR="00236301" w:rsidRDefault="00265296">
            <w:pPr>
              <w:pStyle w:val="NormalWeb"/>
            </w:pPr>
            <w:r>
              <w:t> </w:t>
            </w:r>
          </w:p>
        </w:tc>
        <w:tc>
          <w:tcPr>
            <w:tcW w:w="50" w:type="pct"/>
            <w:shd w:val="clear" w:color="auto" w:fill="CCEEFF"/>
            <w:vAlign w:val="bottom"/>
            <w:hideMark/>
          </w:tcPr>
          <w:p w14:paraId="3CF2E34F" w14:textId="77777777" w:rsidR="00236301" w:rsidRDefault="00265296">
            <w:pPr>
              <w:pStyle w:val="NormalWeb"/>
            </w:pPr>
            <w:r>
              <w:t> </w:t>
            </w:r>
          </w:p>
        </w:tc>
        <w:tc>
          <w:tcPr>
            <w:tcW w:w="550" w:type="pct"/>
            <w:shd w:val="clear" w:color="auto" w:fill="CCEEFF"/>
            <w:vAlign w:val="bottom"/>
            <w:hideMark/>
          </w:tcPr>
          <w:p w14:paraId="4D07309B" w14:textId="77777777" w:rsidR="00236301" w:rsidRDefault="00265296">
            <w:pPr>
              <w:pStyle w:val="NormalWeb"/>
              <w:jc w:val="right"/>
              <w:divId w:val="2014870233"/>
            </w:pPr>
            <w:r>
              <w:rPr>
                <w:sz w:val="20"/>
                <w:szCs w:val="20"/>
              </w:rPr>
              <w:t>F-5</w:t>
            </w:r>
          </w:p>
        </w:tc>
        <w:tc>
          <w:tcPr>
            <w:tcW w:w="50" w:type="pct"/>
            <w:shd w:val="clear" w:color="auto" w:fill="CCEEFF"/>
            <w:vAlign w:val="bottom"/>
            <w:hideMark/>
          </w:tcPr>
          <w:p w14:paraId="27E07B28" w14:textId="77777777" w:rsidR="00236301" w:rsidRDefault="00265296">
            <w:pPr>
              <w:pStyle w:val="NormalWeb"/>
            </w:pPr>
            <w:r>
              <w:t> </w:t>
            </w:r>
          </w:p>
        </w:tc>
      </w:tr>
      <w:tr w:rsidR="00236301" w14:paraId="61C9AFC0" w14:textId="77777777">
        <w:trPr>
          <w:divId w:val="1459840797"/>
          <w:tblCellSpacing w:w="0" w:type="dxa"/>
        </w:trPr>
        <w:tc>
          <w:tcPr>
            <w:tcW w:w="4250" w:type="pct"/>
            <w:shd w:val="clear" w:color="auto" w:fill="FFFFFF"/>
            <w:vAlign w:val="bottom"/>
            <w:hideMark/>
          </w:tcPr>
          <w:p w14:paraId="0C04B9D5" w14:textId="77777777" w:rsidR="00236301" w:rsidRDefault="00265296">
            <w:pPr>
              <w:pStyle w:val="NormalWeb"/>
            </w:pPr>
            <w:r>
              <w:t> </w:t>
            </w:r>
          </w:p>
        </w:tc>
        <w:tc>
          <w:tcPr>
            <w:tcW w:w="100" w:type="pct"/>
            <w:shd w:val="clear" w:color="auto" w:fill="FFFFFF"/>
            <w:vAlign w:val="center"/>
            <w:hideMark/>
          </w:tcPr>
          <w:p w14:paraId="2C59E803" w14:textId="77777777" w:rsidR="00236301" w:rsidRDefault="00265296">
            <w:pPr>
              <w:pStyle w:val="NormalWeb"/>
            </w:pPr>
            <w:r>
              <w:t> </w:t>
            </w:r>
          </w:p>
        </w:tc>
        <w:tc>
          <w:tcPr>
            <w:tcW w:w="50" w:type="pct"/>
            <w:shd w:val="clear" w:color="auto" w:fill="FFFFFF"/>
            <w:vAlign w:val="bottom"/>
            <w:hideMark/>
          </w:tcPr>
          <w:p w14:paraId="10268772" w14:textId="77777777" w:rsidR="00236301" w:rsidRDefault="00265296">
            <w:pPr>
              <w:pStyle w:val="NormalWeb"/>
            </w:pPr>
            <w:r>
              <w:t> </w:t>
            </w:r>
          </w:p>
        </w:tc>
        <w:tc>
          <w:tcPr>
            <w:tcW w:w="550" w:type="pct"/>
            <w:shd w:val="clear" w:color="auto" w:fill="FFFFFF"/>
            <w:vAlign w:val="bottom"/>
            <w:hideMark/>
          </w:tcPr>
          <w:p w14:paraId="3126D76A" w14:textId="77777777" w:rsidR="00236301" w:rsidRDefault="00265296">
            <w:pPr>
              <w:pStyle w:val="NormalWeb"/>
              <w:jc w:val="right"/>
            </w:pPr>
            <w:r>
              <w:t> </w:t>
            </w:r>
          </w:p>
        </w:tc>
        <w:tc>
          <w:tcPr>
            <w:tcW w:w="50" w:type="pct"/>
            <w:shd w:val="clear" w:color="auto" w:fill="FFFFFF"/>
            <w:vAlign w:val="bottom"/>
            <w:hideMark/>
          </w:tcPr>
          <w:p w14:paraId="3A22BD6C" w14:textId="77777777" w:rsidR="00236301" w:rsidRDefault="00265296">
            <w:pPr>
              <w:pStyle w:val="NormalWeb"/>
            </w:pPr>
            <w:r>
              <w:t> </w:t>
            </w:r>
          </w:p>
        </w:tc>
      </w:tr>
      <w:tr w:rsidR="00236301" w14:paraId="59909750" w14:textId="77777777">
        <w:trPr>
          <w:divId w:val="1459840797"/>
          <w:tblCellSpacing w:w="0" w:type="dxa"/>
        </w:trPr>
        <w:tc>
          <w:tcPr>
            <w:tcW w:w="4250" w:type="pct"/>
            <w:shd w:val="clear" w:color="auto" w:fill="CCEEFF"/>
            <w:vAlign w:val="bottom"/>
            <w:hideMark/>
          </w:tcPr>
          <w:p w14:paraId="11683896" w14:textId="77777777" w:rsidR="00236301" w:rsidRDefault="00084F74">
            <w:pPr>
              <w:pStyle w:val="NormalWeb"/>
              <w:ind w:hanging="180"/>
              <w:divId w:val="9381389"/>
            </w:pPr>
            <w:hyperlink w:anchor="cf" w:history="1">
              <w:r w:rsidR="00265296">
                <w:rPr>
                  <w:rStyle w:val="Hyperlink"/>
                  <w:sz w:val="20"/>
                  <w:szCs w:val="20"/>
                </w:rPr>
                <w:t xml:space="preserve">Consolidated statements of cash flows for the year ended June 30, 2016 </w:t>
              </w:r>
            </w:hyperlink>
            <w:hyperlink w:anchor="report" w:history="1">
              <w:r w:rsidR="00265296">
                <w:rPr>
                  <w:rStyle w:val="Hyperlink"/>
                  <w:sz w:val="20"/>
                  <w:szCs w:val="20"/>
                </w:rPr>
                <w:t>and June 30, 2015</w:t>
              </w:r>
            </w:hyperlink>
          </w:p>
        </w:tc>
        <w:tc>
          <w:tcPr>
            <w:tcW w:w="100" w:type="pct"/>
            <w:shd w:val="clear" w:color="auto" w:fill="CCEEFF"/>
            <w:vAlign w:val="center"/>
            <w:hideMark/>
          </w:tcPr>
          <w:p w14:paraId="664F922E" w14:textId="77777777" w:rsidR="00236301" w:rsidRDefault="00265296">
            <w:pPr>
              <w:pStyle w:val="NormalWeb"/>
            </w:pPr>
            <w:r>
              <w:t> </w:t>
            </w:r>
          </w:p>
        </w:tc>
        <w:tc>
          <w:tcPr>
            <w:tcW w:w="50" w:type="pct"/>
            <w:shd w:val="clear" w:color="auto" w:fill="CCEEFF"/>
            <w:vAlign w:val="bottom"/>
            <w:hideMark/>
          </w:tcPr>
          <w:p w14:paraId="15A7D7B0" w14:textId="77777777" w:rsidR="00236301" w:rsidRDefault="00265296">
            <w:pPr>
              <w:pStyle w:val="NormalWeb"/>
            </w:pPr>
            <w:r>
              <w:t> </w:t>
            </w:r>
          </w:p>
        </w:tc>
        <w:tc>
          <w:tcPr>
            <w:tcW w:w="550" w:type="pct"/>
            <w:shd w:val="clear" w:color="auto" w:fill="CCEEFF"/>
            <w:vAlign w:val="bottom"/>
            <w:hideMark/>
          </w:tcPr>
          <w:p w14:paraId="630A40C5" w14:textId="77777777" w:rsidR="00236301" w:rsidRDefault="00265296">
            <w:pPr>
              <w:pStyle w:val="NormalWeb"/>
              <w:jc w:val="right"/>
              <w:divId w:val="1373460841"/>
            </w:pPr>
            <w:r>
              <w:rPr>
                <w:sz w:val="20"/>
                <w:szCs w:val="20"/>
              </w:rPr>
              <w:t>E-6</w:t>
            </w:r>
          </w:p>
        </w:tc>
        <w:tc>
          <w:tcPr>
            <w:tcW w:w="50" w:type="pct"/>
            <w:shd w:val="clear" w:color="auto" w:fill="CCEEFF"/>
            <w:vAlign w:val="bottom"/>
            <w:hideMark/>
          </w:tcPr>
          <w:p w14:paraId="1B63AA7F" w14:textId="77777777" w:rsidR="00236301" w:rsidRDefault="00265296">
            <w:pPr>
              <w:pStyle w:val="NormalWeb"/>
            </w:pPr>
            <w:r>
              <w:t> </w:t>
            </w:r>
          </w:p>
        </w:tc>
      </w:tr>
      <w:tr w:rsidR="00236301" w14:paraId="185D51A2" w14:textId="77777777">
        <w:trPr>
          <w:divId w:val="1459840797"/>
          <w:tblCellSpacing w:w="0" w:type="dxa"/>
        </w:trPr>
        <w:tc>
          <w:tcPr>
            <w:tcW w:w="4250" w:type="pct"/>
            <w:shd w:val="clear" w:color="auto" w:fill="FFFFFF"/>
            <w:vAlign w:val="bottom"/>
            <w:hideMark/>
          </w:tcPr>
          <w:p w14:paraId="1B09B55A" w14:textId="77777777" w:rsidR="00236301" w:rsidRDefault="00265296">
            <w:pPr>
              <w:pStyle w:val="NormalWeb"/>
            </w:pPr>
            <w:r>
              <w:t> </w:t>
            </w:r>
          </w:p>
        </w:tc>
        <w:tc>
          <w:tcPr>
            <w:tcW w:w="100" w:type="pct"/>
            <w:shd w:val="clear" w:color="auto" w:fill="FFFFFF"/>
            <w:vAlign w:val="center"/>
            <w:hideMark/>
          </w:tcPr>
          <w:p w14:paraId="5E7EF6A4" w14:textId="77777777" w:rsidR="00236301" w:rsidRDefault="00265296">
            <w:pPr>
              <w:pStyle w:val="NormalWeb"/>
            </w:pPr>
            <w:r>
              <w:t> </w:t>
            </w:r>
          </w:p>
        </w:tc>
        <w:tc>
          <w:tcPr>
            <w:tcW w:w="50" w:type="pct"/>
            <w:shd w:val="clear" w:color="auto" w:fill="FFFFFF"/>
            <w:vAlign w:val="bottom"/>
            <w:hideMark/>
          </w:tcPr>
          <w:p w14:paraId="47C8CD37" w14:textId="77777777" w:rsidR="00236301" w:rsidRDefault="00265296">
            <w:pPr>
              <w:pStyle w:val="NormalWeb"/>
            </w:pPr>
            <w:r>
              <w:t> </w:t>
            </w:r>
          </w:p>
        </w:tc>
        <w:tc>
          <w:tcPr>
            <w:tcW w:w="550" w:type="pct"/>
            <w:shd w:val="clear" w:color="auto" w:fill="FFFFFF"/>
            <w:vAlign w:val="bottom"/>
            <w:hideMark/>
          </w:tcPr>
          <w:p w14:paraId="7D759670" w14:textId="77777777" w:rsidR="00236301" w:rsidRDefault="00265296">
            <w:pPr>
              <w:pStyle w:val="NormalWeb"/>
              <w:jc w:val="right"/>
            </w:pPr>
            <w:r>
              <w:t> </w:t>
            </w:r>
          </w:p>
        </w:tc>
        <w:tc>
          <w:tcPr>
            <w:tcW w:w="50" w:type="pct"/>
            <w:shd w:val="clear" w:color="auto" w:fill="FFFFFF"/>
            <w:vAlign w:val="bottom"/>
            <w:hideMark/>
          </w:tcPr>
          <w:p w14:paraId="23193043" w14:textId="77777777" w:rsidR="00236301" w:rsidRDefault="00265296">
            <w:pPr>
              <w:pStyle w:val="NormalWeb"/>
            </w:pPr>
            <w:r>
              <w:t> </w:t>
            </w:r>
          </w:p>
        </w:tc>
      </w:tr>
      <w:tr w:rsidR="00236301" w14:paraId="4906EF44" w14:textId="77777777">
        <w:trPr>
          <w:divId w:val="1459840797"/>
          <w:tblCellSpacing w:w="0" w:type="dxa"/>
        </w:trPr>
        <w:tc>
          <w:tcPr>
            <w:tcW w:w="4250" w:type="pct"/>
            <w:shd w:val="clear" w:color="auto" w:fill="CCEEFF"/>
            <w:vAlign w:val="bottom"/>
            <w:hideMark/>
          </w:tcPr>
          <w:p w14:paraId="4F117EC7" w14:textId="77777777" w:rsidR="00236301" w:rsidRDefault="00084F74">
            <w:pPr>
              <w:pStyle w:val="NormalWeb"/>
            </w:pPr>
            <w:hyperlink w:anchor="notes" w:history="1">
              <w:r w:rsidR="00265296">
                <w:rPr>
                  <w:rStyle w:val="Hyperlink"/>
                  <w:sz w:val="20"/>
                  <w:szCs w:val="20"/>
                </w:rPr>
                <w:t xml:space="preserve">Notes to consolidated financial statements for the period ending June 30, 2016 </w:t>
              </w:r>
            </w:hyperlink>
            <w:hyperlink w:anchor="report" w:history="1">
              <w:r w:rsidR="00265296">
                <w:rPr>
                  <w:rStyle w:val="Hyperlink"/>
                  <w:sz w:val="20"/>
                  <w:szCs w:val="20"/>
                </w:rPr>
                <w:t>and June 30, 2015</w:t>
              </w:r>
            </w:hyperlink>
          </w:p>
        </w:tc>
        <w:tc>
          <w:tcPr>
            <w:tcW w:w="100" w:type="pct"/>
            <w:shd w:val="clear" w:color="auto" w:fill="CCEEFF"/>
            <w:vAlign w:val="center"/>
            <w:hideMark/>
          </w:tcPr>
          <w:p w14:paraId="6D398AB5" w14:textId="77777777" w:rsidR="00236301" w:rsidRDefault="00265296">
            <w:pPr>
              <w:pStyle w:val="NormalWeb"/>
            </w:pPr>
            <w:r>
              <w:t> </w:t>
            </w:r>
          </w:p>
        </w:tc>
        <w:tc>
          <w:tcPr>
            <w:tcW w:w="50" w:type="pct"/>
            <w:shd w:val="clear" w:color="auto" w:fill="CCEEFF"/>
            <w:vAlign w:val="bottom"/>
            <w:hideMark/>
          </w:tcPr>
          <w:p w14:paraId="538B299B" w14:textId="77777777" w:rsidR="00236301" w:rsidRDefault="00265296">
            <w:pPr>
              <w:pStyle w:val="NormalWeb"/>
            </w:pPr>
            <w:r>
              <w:t> </w:t>
            </w:r>
          </w:p>
        </w:tc>
        <w:tc>
          <w:tcPr>
            <w:tcW w:w="550" w:type="pct"/>
            <w:shd w:val="clear" w:color="auto" w:fill="CCEEFF"/>
            <w:vAlign w:val="bottom"/>
            <w:hideMark/>
          </w:tcPr>
          <w:p w14:paraId="1CC7EFDC" w14:textId="77777777" w:rsidR="00236301" w:rsidRDefault="00265296">
            <w:pPr>
              <w:pStyle w:val="NormalWeb"/>
              <w:jc w:val="right"/>
              <w:divId w:val="957031529"/>
            </w:pPr>
            <w:r>
              <w:rPr>
                <w:sz w:val="20"/>
                <w:szCs w:val="20"/>
              </w:rPr>
              <w:t>F-7</w:t>
            </w:r>
          </w:p>
        </w:tc>
        <w:tc>
          <w:tcPr>
            <w:tcW w:w="50" w:type="pct"/>
            <w:shd w:val="clear" w:color="auto" w:fill="CCEEFF"/>
            <w:vAlign w:val="bottom"/>
            <w:hideMark/>
          </w:tcPr>
          <w:p w14:paraId="3D498883" w14:textId="77777777" w:rsidR="00236301" w:rsidRDefault="00265296">
            <w:pPr>
              <w:pStyle w:val="NormalWeb"/>
            </w:pPr>
            <w:r>
              <w:t> </w:t>
            </w:r>
          </w:p>
        </w:tc>
      </w:tr>
    </w:tbl>
    <w:p w14:paraId="2A15F033" w14:textId="77777777" w:rsidR="00236301" w:rsidRDefault="00084F74">
      <w:pPr>
        <w:pStyle w:val="NormalWeb"/>
        <w:divId w:val="1459840797"/>
      </w:pPr>
      <w:hyperlink w:anchor="toc" w:history="1">
        <w:r w:rsidR="00265296">
          <w:rPr>
            <w:rStyle w:val="Hyperlink"/>
            <w:b/>
            <w:bCs/>
            <w:sz w:val="20"/>
            <w:szCs w:val="20"/>
          </w:rPr>
          <w:t>Return to Table of Contents</w:t>
        </w:r>
      </w:hyperlink>
    </w:p>
    <w:p w14:paraId="26ACAEF8" w14:textId="77777777" w:rsidR="00236301" w:rsidRDefault="00265296">
      <w:pPr>
        <w:pStyle w:val="NormalWeb"/>
        <w:divId w:val="1459840797"/>
      </w:pPr>
      <w:r>
        <w:rPr>
          <w:b/>
          <w:bCs/>
          <w:sz w:val="20"/>
          <w:szCs w:val="20"/>
        </w:rPr>
        <w:t>14</w:t>
      </w:r>
      <w:r>
        <w:rPr>
          <w:sz w:val="20"/>
          <w:szCs w:val="20"/>
        </w:rPr>
        <w:t xml:space="preserve"> </w:t>
      </w:r>
    </w:p>
    <w:p w14:paraId="49C11CC9" w14:textId="77777777" w:rsidR="00236301" w:rsidRDefault="00084F74">
      <w:pPr>
        <w:jc w:val="center"/>
        <w:divId w:val="1459840797"/>
        <w:rPr>
          <w:rFonts w:eastAsia="Times New Roman"/>
          <w:sz w:val="20"/>
          <w:szCs w:val="20"/>
        </w:rPr>
      </w:pPr>
      <w:r>
        <w:rPr>
          <w:rFonts w:eastAsia="Times New Roman"/>
          <w:sz w:val="20"/>
          <w:szCs w:val="20"/>
        </w:rPr>
        <w:pict w14:anchorId="231ACF38">
          <v:rect id="_x0000_i1042" style="width:.05pt;height:1pt" o:hralign="center" o:hrstd="t" o:hrnoshade="t" o:hr="t" fillcolor="blue" stroked="f"/>
        </w:pict>
      </w:r>
    </w:p>
    <w:p w14:paraId="107A29CF" w14:textId="77777777" w:rsidR="00236301" w:rsidRDefault="00265296">
      <w:pPr>
        <w:pStyle w:val="NormalWeb"/>
        <w:divId w:val="1459840797"/>
      </w:pPr>
      <w:bookmarkStart w:id="13" w:name="#item9"/>
      <w:bookmarkEnd w:id="13"/>
      <w:r>
        <w:rPr>
          <w:b/>
          <w:bCs/>
          <w:i/>
          <w:iCs/>
        </w:rPr>
        <w:lastRenderedPageBreak/>
        <w:t>ITEM 9. CHANGES IN AND DISAGREEMENTS WITH AUDITORS ON ACCOUNTING AND FINANCIAL DISCLOSURE</w:t>
      </w:r>
    </w:p>
    <w:p w14:paraId="39A2950F" w14:textId="77777777" w:rsidR="00236301" w:rsidRDefault="00265296">
      <w:pPr>
        <w:pStyle w:val="NormalWeb"/>
        <w:divId w:val="1459840797"/>
      </w:pPr>
      <w:r>
        <w:rPr>
          <w:sz w:val="20"/>
          <w:szCs w:val="20"/>
        </w:rPr>
        <w:t>None.</w:t>
      </w:r>
    </w:p>
    <w:p w14:paraId="2D3D3665" w14:textId="77777777" w:rsidR="00236301" w:rsidRDefault="00265296">
      <w:pPr>
        <w:pStyle w:val="NormalWeb"/>
        <w:divId w:val="1459840797"/>
      </w:pPr>
      <w:bookmarkStart w:id="14" w:name="#item9a"/>
      <w:bookmarkEnd w:id="14"/>
      <w:r>
        <w:rPr>
          <w:b/>
          <w:bCs/>
          <w:i/>
          <w:iCs/>
        </w:rPr>
        <w:t>ITEM 9A. CONTROLS AND PROCEDURE</w:t>
      </w:r>
    </w:p>
    <w:p w14:paraId="205C8148" w14:textId="77777777" w:rsidR="00236301" w:rsidRDefault="00265296">
      <w:pPr>
        <w:pStyle w:val="NormalWeb"/>
        <w:spacing w:after="240" w:afterAutospacing="0"/>
        <w:divId w:val="1459840797"/>
      </w:pPr>
      <w:r>
        <w:rPr>
          <w:b/>
          <w:bCs/>
          <w:i/>
          <w:iCs/>
          <w:sz w:val="20"/>
          <w:szCs w:val="20"/>
        </w:rPr>
        <w:t>Evaluation of Disclosure Controls and Procedures</w:t>
      </w:r>
    </w:p>
    <w:p w14:paraId="17D870AA" w14:textId="4FE2084C" w:rsidR="00236301" w:rsidRDefault="00265296">
      <w:pPr>
        <w:pStyle w:val="NormalWeb"/>
        <w:divId w:val="1459840797"/>
      </w:pPr>
      <w:r>
        <w:rPr>
          <w:sz w:val="20"/>
          <w:szCs w:val="20"/>
        </w:rPr>
        <w:t xml:space="preserve">Under the supervision and with the participation of our management, including our Chief Executive Officer (CEO) and our Chief Financial Officer (CFO), we conducted an evaluation of our disclosure controls and procedures (as defined in Rules 13a-15(e) and 15d-15(e) under the Securities Exchange Act of 1934 (Exchange Act), as of the end of the period covered by this Annual Report on Form 10-K. Based upon that evaluation, our CEO and our CFO have concluded that the design and operation of our disclosure controls and procedures were </w:t>
      </w:r>
      <w:r w:rsidR="000F10EF">
        <w:rPr>
          <w:sz w:val="20"/>
          <w:szCs w:val="20"/>
        </w:rPr>
        <w:t xml:space="preserve">not </w:t>
      </w:r>
      <w:r>
        <w:rPr>
          <w:sz w:val="20"/>
          <w:szCs w:val="20"/>
        </w:rPr>
        <w:t>effective to ensure that information required to be disclosed by us in reports that we file or submit under the Exchange Act (i) is recorded, processed, summarized and reported within the time periods specified in Securities and Exchange Commission rules and forms and (ii) is accumulated and communicated to our management, including our CEO and CFO, as appropriate to allow timely decisions regarding required disclosure.</w:t>
      </w:r>
    </w:p>
    <w:p w14:paraId="6566E480" w14:textId="77777777" w:rsidR="00236301" w:rsidRDefault="00265296">
      <w:pPr>
        <w:pStyle w:val="NormalWeb"/>
        <w:spacing w:after="240" w:afterAutospacing="0"/>
        <w:divId w:val="1459840797"/>
      </w:pPr>
      <w:r>
        <w:rPr>
          <w:b/>
          <w:bCs/>
          <w:i/>
          <w:iCs/>
          <w:sz w:val="20"/>
          <w:szCs w:val="20"/>
        </w:rPr>
        <w:t>Changes in Internal Control over Financial Reporting</w:t>
      </w:r>
    </w:p>
    <w:p w14:paraId="3758EBED" w14:textId="77777777" w:rsidR="00236301" w:rsidRDefault="00265296">
      <w:pPr>
        <w:pStyle w:val="NormalWeb"/>
        <w:spacing w:after="240" w:afterAutospacing="0"/>
        <w:divId w:val="1459840797"/>
      </w:pPr>
      <w:r>
        <w:rPr>
          <w:sz w:val="20"/>
          <w:szCs w:val="20"/>
        </w:rPr>
        <w:t>There were no changes to our internal control over financial reporting (as defined in Rules 13a-15(f) and 15d-15(f) under the Exchange Act) that occurred during the last quarter that have materially affected, or are reasonably likely to materially affect, our internal control over financial reporting.</w:t>
      </w:r>
    </w:p>
    <w:p w14:paraId="695FAC60" w14:textId="77777777" w:rsidR="00236301" w:rsidRDefault="00265296">
      <w:pPr>
        <w:pStyle w:val="NormalWeb"/>
        <w:spacing w:after="240" w:afterAutospacing="0"/>
        <w:divId w:val="1459840797"/>
      </w:pPr>
      <w:r>
        <w:rPr>
          <w:b/>
          <w:bCs/>
          <w:i/>
          <w:iCs/>
          <w:sz w:val="20"/>
          <w:szCs w:val="20"/>
        </w:rPr>
        <w:t xml:space="preserve">Management's Report on Internal Control </w:t>
      </w:r>
      <w:proofErr w:type="gramStart"/>
      <w:r>
        <w:rPr>
          <w:b/>
          <w:bCs/>
          <w:i/>
          <w:iCs/>
          <w:sz w:val="20"/>
          <w:szCs w:val="20"/>
        </w:rPr>
        <w:t>Over</w:t>
      </w:r>
      <w:proofErr w:type="gramEnd"/>
      <w:r>
        <w:rPr>
          <w:b/>
          <w:bCs/>
          <w:i/>
          <w:iCs/>
          <w:sz w:val="20"/>
          <w:szCs w:val="20"/>
        </w:rPr>
        <w:t xml:space="preserve"> Financial Reporting</w:t>
      </w:r>
    </w:p>
    <w:p w14:paraId="1664D171" w14:textId="77777777" w:rsidR="00236301" w:rsidRDefault="00265296">
      <w:pPr>
        <w:pStyle w:val="NormalWeb"/>
        <w:spacing w:after="240" w:afterAutospacing="0"/>
        <w:divId w:val="1459840797"/>
      </w:pPr>
      <w:r>
        <w:rPr>
          <w:sz w:val="20"/>
          <w:szCs w:val="20"/>
        </w:rPr>
        <w:t>Our management is responsible for establishing and maintaining adequate internal control over financial reporting (as defined in Rules 13a-15(f) and 15d-15(f) under the Securities Exchange Act of 1934). Our internal control over financial reporting is designed to provide reasonable assurance regarding the reliability of financial reporting and the preparation of financial statements for external purposes in accordance with generally accepted accounting principles.</w:t>
      </w:r>
    </w:p>
    <w:p w14:paraId="34C3AB7A" w14:textId="2D65224E" w:rsidR="00236301" w:rsidRDefault="00265296">
      <w:pPr>
        <w:pStyle w:val="NormalWeb"/>
        <w:spacing w:after="240" w:afterAutospacing="0"/>
        <w:divId w:val="1459840797"/>
      </w:pPr>
      <w:r>
        <w:rPr>
          <w:sz w:val="20"/>
          <w:szCs w:val="20"/>
        </w:rPr>
        <w:t xml:space="preserve">Under the supervision and with the participation of our management, including our principal executive officer and principal financial officer, we conducted an evaluation of the effectiveness of our internal control over financial reporting based on the framework set forth in Internal Control - Integrated Framework issued by the Committee of Sponsoring Organizations of the Treadway Commission. Based on our evaluation under the framework set forth in Internal Control - Integrated Framework, our management concluded that our internal control over financial reporting was </w:t>
      </w:r>
      <w:r w:rsidR="000F10EF">
        <w:rPr>
          <w:sz w:val="20"/>
          <w:szCs w:val="20"/>
        </w:rPr>
        <w:t xml:space="preserve">not </w:t>
      </w:r>
      <w:r>
        <w:rPr>
          <w:sz w:val="20"/>
          <w:szCs w:val="20"/>
        </w:rPr>
        <w:t>effective as of June 30, 2016.</w:t>
      </w:r>
    </w:p>
    <w:p w14:paraId="09A83217" w14:textId="77777777" w:rsidR="00236301" w:rsidRDefault="00265296">
      <w:pPr>
        <w:pStyle w:val="NormalWeb"/>
        <w:spacing w:after="240" w:afterAutospacing="0"/>
        <w:divId w:val="1459840797"/>
      </w:pPr>
      <w:r>
        <w:rPr>
          <w:b/>
          <w:bCs/>
          <w:i/>
          <w:iCs/>
          <w:sz w:val="20"/>
          <w:szCs w:val="20"/>
        </w:rPr>
        <w:t>Inherent Limitations on Effectiveness of Controls</w:t>
      </w:r>
    </w:p>
    <w:p w14:paraId="14965CDF" w14:textId="77777777" w:rsidR="00236301" w:rsidRDefault="00265296">
      <w:pPr>
        <w:pStyle w:val="NormalWeb"/>
        <w:divId w:val="1459840797"/>
      </w:pPr>
      <w:r>
        <w:rPr>
          <w:sz w:val="20"/>
          <w:szCs w:val="20"/>
        </w:rPr>
        <w:t xml:space="preserve">Our management, including our Chief Executive Officer and Chief Financial Officer, does not expect that our disclosure controls and procedures or our internal controls will prevent all errors and all fraud. The term “disclosure controls and procedures,” as defined in Rules 13a-15(e) and 15d-15(e) under the Securities and Exchange Act of 1934, as amended (“Exchange Act”), means controls and other procedures of a company that are designed to ensure that information required to </w:t>
      </w:r>
      <w:r>
        <w:rPr>
          <w:sz w:val="20"/>
          <w:szCs w:val="20"/>
        </w:rPr>
        <w:lastRenderedPageBreak/>
        <w:t>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A control system, no matter how well conceived and operated, can provide only reasonable, not absolute, assurance that the objectives of the control system are met. Further, the design of a control system must reflect the fact that there are resource constraints, and the benefits of controls must be considered relative to their costs. Our disclosure controls and procedures and our internal controls over financial reporting have been designed to provide reasonable assurance of achieving their objectives. Because of the inherent limitations in all control systems, no evaluation of controls can provide absolute assurance that all control issues and instances of fraud, if any, have been detected.</w:t>
      </w:r>
    </w:p>
    <w:p w14:paraId="6775998C" w14:textId="77777777" w:rsidR="00236301" w:rsidRDefault="00265296">
      <w:pPr>
        <w:pStyle w:val="NormalWeb"/>
        <w:divId w:val="1459840797"/>
      </w:pPr>
      <w:r>
        <w:rPr>
          <w:b/>
          <w:bCs/>
          <w:sz w:val="20"/>
          <w:szCs w:val="20"/>
        </w:rPr>
        <w:t>15</w:t>
      </w:r>
    </w:p>
    <w:p w14:paraId="25907517" w14:textId="77777777" w:rsidR="00236301" w:rsidRDefault="00084F74">
      <w:pPr>
        <w:jc w:val="center"/>
        <w:divId w:val="1459840797"/>
        <w:rPr>
          <w:rFonts w:eastAsia="Times New Roman"/>
          <w:sz w:val="20"/>
          <w:szCs w:val="20"/>
        </w:rPr>
      </w:pPr>
      <w:r>
        <w:rPr>
          <w:rFonts w:eastAsia="Times New Roman"/>
          <w:sz w:val="20"/>
          <w:szCs w:val="20"/>
        </w:rPr>
        <w:pict w14:anchorId="568C5EC0">
          <v:rect id="_x0000_i1043" style="width:.05pt;height:1pt" o:hralign="center" o:hrstd="t" o:hrnoshade="t" o:hr="t" fillcolor="blue" stroked="f"/>
        </w:pict>
      </w:r>
    </w:p>
    <w:p w14:paraId="31E8B60B" w14:textId="77777777" w:rsidR="00236301" w:rsidRDefault="00265296">
      <w:pPr>
        <w:pStyle w:val="NormalWeb"/>
        <w:divId w:val="1459840797"/>
      </w:pPr>
      <w:bookmarkStart w:id="15" w:name="#item9B"/>
      <w:bookmarkEnd w:id="15"/>
      <w:r>
        <w:rPr>
          <w:b/>
          <w:bCs/>
          <w:i/>
          <w:iCs/>
        </w:rPr>
        <w:t>ITEM 9B. OTHER INFORMATION.</w:t>
      </w:r>
    </w:p>
    <w:p w14:paraId="479C90CC" w14:textId="77777777" w:rsidR="00236301" w:rsidRDefault="00265296">
      <w:pPr>
        <w:pStyle w:val="NormalWeb"/>
        <w:divId w:val="1459840797"/>
      </w:pPr>
      <w:r>
        <w:rPr>
          <w:sz w:val="20"/>
          <w:szCs w:val="20"/>
        </w:rPr>
        <w:t>Not applicable.</w:t>
      </w:r>
    </w:p>
    <w:p w14:paraId="5C6BC2EA" w14:textId="77777777" w:rsidR="00236301" w:rsidRDefault="00265296">
      <w:pPr>
        <w:pStyle w:val="NormalWeb"/>
        <w:divId w:val="1459840797"/>
      </w:pPr>
      <w:r>
        <w:rPr>
          <w:rFonts w:ascii="Arial" w:hAnsi="Arial" w:cs="Arial"/>
          <w:b/>
          <w:bCs/>
          <w:sz w:val="36"/>
          <w:szCs w:val="36"/>
        </w:rPr>
        <w:t>PART III</w:t>
      </w:r>
    </w:p>
    <w:p w14:paraId="2D217EEC" w14:textId="77777777" w:rsidR="00236301" w:rsidRDefault="00265296">
      <w:pPr>
        <w:pStyle w:val="NormalWeb"/>
        <w:divId w:val="1459840797"/>
      </w:pPr>
      <w:bookmarkStart w:id="16" w:name="#item10"/>
      <w:bookmarkEnd w:id="16"/>
      <w:r>
        <w:rPr>
          <w:b/>
          <w:bCs/>
          <w:i/>
          <w:iCs/>
        </w:rPr>
        <w:t>ITEM 10. DIRECTORS, EXECUTIVE OFFICERS, PROMOTERS, CONTROL PERSONS AND CORPORATE GOVERNANCE: COMPLIANCE WITH SECTION 16(A) OF THE EXCHANGE ACT</w:t>
      </w:r>
    </w:p>
    <w:p w14:paraId="790EFD7F" w14:textId="77777777" w:rsidR="00236301" w:rsidRDefault="00265296">
      <w:pPr>
        <w:pStyle w:val="NormalWeb"/>
        <w:divId w:val="1459840797"/>
      </w:pPr>
      <w:r>
        <w:rPr>
          <w:sz w:val="20"/>
          <w:szCs w:val="20"/>
        </w:rPr>
        <w:t>Set forth below is information regarding the Company's directors and executive officers, including information furnished by them as to their principal occupations for the last five years, other directorships held by them and their ages as of June 30, 2016. All directors are elected for one-year terms, which expire as of the date of the Company's annual meeting.</w:t>
      </w:r>
    </w:p>
    <w:tbl>
      <w:tblPr>
        <w:tblW w:w="9105" w:type="dxa"/>
        <w:tblCellSpacing w:w="0" w:type="dxa"/>
        <w:tblCellMar>
          <w:left w:w="0" w:type="dxa"/>
          <w:right w:w="0" w:type="dxa"/>
        </w:tblCellMar>
        <w:tblLook w:val="04A0" w:firstRow="1" w:lastRow="0" w:firstColumn="1" w:lastColumn="0" w:noHBand="0" w:noVBand="1"/>
      </w:tblPr>
      <w:tblGrid>
        <w:gridCol w:w="2368"/>
        <w:gridCol w:w="728"/>
        <w:gridCol w:w="3824"/>
        <w:gridCol w:w="2185"/>
      </w:tblGrid>
      <w:tr w:rsidR="00236301" w14:paraId="5A44B764" w14:textId="77777777">
        <w:trPr>
          <w:divId w:val="1459840797"/>
          <w:tblCellSpacing w:w="0" w:type="dxa"/>
        </w:trPr>
        <w:tc>
          <w:tcPr>
            <w:tcW w:w="1300" w:type="pct"/>
            <w:shd w:val="clear" w:color="auto" w:fill="CCEEFF"/>
            <w:hideMark/>
          </w:tcPr>
          <w:p w14:paraId="4F1FE234" w14:textId="77777777" w:rsidR="00236301" w:rsidRDefault="00265296">
            <w:pPr>
              <w:pStyle w:val="NormalWeb"/>
            </w:pPr>
            <w:r>
              <w:rPr>
                <w:b/>
                <w:bCs/>
                <w:sz w:val="20"/>
                <w:szCs w:val="20"/>
              </w:rPr>
              <w:t>Name</w:t>
            </w:r>
          </w:p>
        </w:tc>
        <w:tc>
          <w:tcPr>
            <w:tcW w:w="400" w:type="pct"/>
            <w:shd w:val="clear" w:color="auto" w:fill="CCEEFF"/>
            <w:hideMark/>
          </w:tcPr>
          <w:p w14:paraId="1535C27B" w14:textId="77777777" w:rsidR="00236301" w:rsidRDefault="00265296">
            <w:pPr>
              <w:pStyle w:val="NormalWeb"/>
            </w:pPr>
            <w:r>
              <w:rPr>
                <w:b/>
                <w:bCs/>
                <w:sz w:val="20"/>
                <w:szCs w:val="20"/>
              </w:rPr>
              <w:t>Age</w:t>
            </w:r>
          </w:p>
        </w:tc>
        <w:tc>
          <w:tcPr>
            <w:tcW w:w="2100" w:type="pct"/>
            <w:shd w:val="clear" w:color="auto" w:fill="CCEEFF"/>
            <w:hideMark/>
          </w:tcPr>
          <w:p w14:paraId="4A729724" w14:textId="77777777" w:rsidR="00236301" w:rsidRDefault="00265296">
            <w:pPr>
              <w:pStyle w:val="NormalWeb"/>
            </w:pPr>
            <w:r>
              <w:rPr>
                <w:b/>
                <w:bCs/>
                <w:sz w:val="20"/>
                <w:szCs w:val="20"/>
              </w:rPr>
              <w:t>Position</w:t>
            </w:r>
          </w:p>
        </w:tc>
        <w:tc>
          <w:tcPr>
            <w:tcW w:w="1200" w:type="pct"/>
            <w:shd w:val="clear" w:color="auto" w:fill="CCEEFF"/>
            <w:hideMark/>
          </w:tcPr>
          <w:p w14:paraId="291D0B3C" w14:textId="77777777" w:rsidR="00236301" w:rsidRDefault="00265296">
            <w:pPr>
              <w:pStyle w:val="NormalWeb"/>
              <w:jc w:val="right"/>
            </w:pPr>
            <w:r>
              <w:rPr>
                <w:b/>
                <w:bCs/>
                <w:sz w:val="20"/>
                <w:szCs w:val="20"/>
              </w:rPr>
              <w:t>Director Since:</w:t>
            </w:r>
          </w:p>
        </w:tc>
      </w:tr>
      <w:tr w:rsidR="00236301" w14:paraId="53ED61EC" w14:textId="77777777">
        <w:trPr>
          <w:divId w:val="1459840797"/>
          <w:tblCellSpacing w:w="0" w:type="dxa"/>
        </w:trPr>
        <w:tc>
          <w:tcPr>
            <w:tcW w:w="1300" w:type="pct"/>
            <w:shd w:val="clear" w:color="auto" w:fill="FFFFFF"/>
            <w:hideMark/>
          </w:tcPr>
          <w:p w14:paraId="193C52D1" w14:textId="77777777" w:rsidR="00236301" w:rsidRDefault="00265296">
            <w:pPr>
              <w:pStyle w:val="NormalWeb"/>
            </w:pPr>
            <w:r>
              <w:rPr>
                <w:sz w:val="20"/>
                <w:szCs w:val="20"/>
              </w:rPr>
              <w:t>Robert E. Wolfe</w:t>
            </w:r>
          </w:p>
        </w:tc>
        <w:tc>
          <w:tcPr>
            <w:tcW w:w="400" w:type="pct"/>
            <w:shd w:val="clear" w:color="auto" w:fill="FFFFFF"/>
            <w:hideMark/>
          </w:tcPr>
          <w:p w14:paraId="3A41ED73" w14:textId="77777777" w:rsidR="00236301" w:rsidRDefault="00265296">
            <w:pPr>
              <w:pStyle w:val="NormalWeb"/>
              <w:jc w:val="center"/>
            </w:pPr>
            <w:r>
              <w:rPr>
                <w:sz w:val="20"/>
                <w:szCs w:val="20"/>
              </w:rPr>
              <w:t>53</w:t>
            </w:r>
          </w:p>
        </w:tc>
        <w:tc>
          <w:tcPr>
            <w:tcW w:w="2100" w:type="pct"/>
            <w:shd w:val="clear" w:color="auto" w:fill="FFFFFF"/>
            <w:hideMark/>
          </w:tcPr>
          <w:p w14:paraId="0E3F203C" w14:textId="77777777" w:rsidR="00236301" w:rsidRDefault="00265296">
            <w:pPr>
              <w:pStyle w:val="NormalWeb"/>
            </w:pPr>
            <w:r>
              <w:rPr>
                <w:sz w:val="20"/>
                <w:szCs w:val="20"/>
              </w:rPr>
              <w:t>Chairman of the Board, CEO, and CFO</w:t>
            </w:r>
          </w:p>
        </w:tc>
        <w:tc>
          <w:tcPr>
            <w:tcW w:w="1200" w:type="pct"/>
            <w:shd w:val="clear" w:color="auto" w:fill="FFFFFF"/>
            <w:hideMark/>
          </w:tcPr>
          <w:p w14:paraId="26C44DE7" w14:textId="77777777" w:rsidR="00236301" w:rsidRDefault="00265296">
            <w:pPr>
              <w:pStyle w:val="NormalWeb"/>
              <w:jc w:val="right"/>
            </w:pPr>
            <w:r>
              <w:rPr>
                <w:sz w:val="20"/>
                <w:szCs w:val="20"/>
              </w:rPr>
              <w:t>1997</w:t>
            </w:r>
          </w:p>
        </w:tc>
      </w:tr>
      <w:tr w:rsidR="00236301" w14:paraId="55C01134" w14:textId="77777777">
        <w:trPr>
          <w:divId w:val="1459840797"/>
          <w:tblCellSpacing w:w="0" w:type="dxa"/>
        </w:trPr>
        <w:tc>
          <w:tcPr>
            <w:tcW w:w="1300" w:type="pct"/>
            <w:shd w:val="clear" w:color="auto" w:fill="CCEEFF"/>
            <w:hideMark/>
          </w:tcPr>
          <w:p w14:paraId="54D26DC1" w14:textId="77777777" w:rsidR="00236301" w:rsidRDefault="00265296">
            <w:pPr>
              <w:pStyle w:val="NormalWeb"/>
            </w:pPr>
            <w:r>
              <w:rPr>
                <w:sz w:val="20"/>
                <w:szCs w:val="20"/>
              </w:rPr>
              <w:t>Lawrence Donofrio</w:t>
            </w:r>
          </w:p>
        </w:tc>
        <w:tc>
          <w:tcPr>
            <w:tcW w:w="400" w:type="pct"/>
            <w:shd w:val="clear" w:color="auto" w:fill="CCEEFF"/>
            <w:hideMark/>
          </w:tcPr>
          <w:p w14:paraId="27C968D8" w14:textId="77777777" w:rsidR="00236301" w:rsidRDefault="00265296">
            <w:pPr>
              <w:pStyle w:val="NormalWeb"/>
              <w:jc w:val="center"/>
            </w:pPr>
            <w:r>
              <w:rPr>
                <w:sz w:val="20"/>
                <w:szCs w:val="20"/>
              </w:rPr>
              <w:t>65</w:t>
            </w:r>
          </w:p>
        </w:tc>
        <w:tc>
          <w:tcPr>
            <w:tcW w:w="2100" w:type="pct"/>
            <w:shd w:val="clear" w:color="auto" w:fill="CCEEFF"/>
            <w:hideMark/>
          </w:tcPr>
          <w:p w14:paraId="74C7F73D" w14:textId="77777777" w:rsidR="00236301" w:rsidRDefault="00265296">
            <w:pPr>
              <w:pStyle w:val="NormalWeb"/>
            </w:pPr>
            <w:r>
              <w:rPr>
                <w:sz w:val="20"/>
                <w:szCs w:val="20"/>
              </w:rPr>
              <w:t>Director</w:t>
            </w:r>
          </w:p>
        </w:tc>
        <w:tc>
          <w:tcPr>
            <w:tcW w:w="1200" w:type="pct"/>
            <w:shd w:val="clear" w:color="auto" w:fill="CCEEFF"/>
            <w:hideMark/>
          </w:tcPr>
          <w:p w14:paraId="3664D805" w14:textId="77777777" w:rsidR="00236301" w:rsidRDefault="00265296">
            <w:pPr>
              <w:pStyle w:val="NormalWeb"/>
              <w:jc w:val="right"/>
            </w:pPr>
            <w:r>
              <w:rPr>
                <w:sz w:val="20"/>
                <w:szCs w:val="20"/>
              </w:rPr>
              <w:t>2003</w:t>
            </w:r>
          </w:p>
        </w:tc>
      </w:tr>
    </w:tbl>
    <w:p w14:paraId="4460EC7B" w14:textId="77777777" w:rsidR="00236301" w:rsidRDefault="00265296">
      <w:pPr>
        <w:pStyle w:val="NormalWeb"/>
        <w:divId w:val="1459840797"/>
      </w:pPr>
      <w:r>
        <w:rPr>
          <w:sz w:val="20"/>
          <w:szCs w:val="20"/>
        </w:rPr>
        <w:t xml:space="preserve">Robert Wolfe has been the Chairman and CEO for Advanced Oxygen Technologies Inc. since 1997. Concurrently he has been the President and CEO of Crossfield, Inc. and Crossfield Investments, </w:t>
      </w:r>
      <w:proofErr w:type="gramStart"/>
      <w:r>
        <w:rPr>
          <w:sz w:val="20"/>
          <w:szCs w:val="20"/>
        </w:rPr>
        <w:t>llc ,</w:t>
      </w:r>
      <w:proofErr w:type="gramEnd"/>
      <w:r>
        <w:rPr>
          <w:sz w:val="20"/>
          <w:szCs w:val="20"/>
        </w:rPr>
        <w:t xml:space="preserve"> both corporate consulting companies. From January 1, 2014 to April 28, 2015, Mr. Wolfe was CFO and Director respectively of Dandrit Biotech USA, Inc., a company that engages in the research and development, manufacturing and clinical trials of pharmaceutical and biological products for the human treatment of cancer using the dendritic cell technology. From 1992-1993 he was Vice President and partner for CFI, NY Ltd. A Subsidiary of Corporate Financial Investments, PLC, London.</w:t>
      </w:r>
    </w:p>
    <w:p w14:paraId="555CF66F" w14:textId="77777777" w:rsidR="00236301" w:rsidRDefault="00265296">
      <w:pPr>
        <w:pStyle w:val="NormalWeb"/>
        <w:divId w:val="1459840797"/>
      </w:pPr>
      <w:r>
        <w:rPr>
          <w:sz w:val="20"/>
          <w:szCs w:val="20"/>
        </w:rPr>
        <w:lastRenderedPageBreak/>
        <w:t>Lawrence Donofrio has been a director of the Company and a member of the Compensation Committee since March 2003. He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14:paraId="6A66F2AA" w14:textId="77777777" w:rsidR="00236301" w:rsidRDefault="00265296">
      <w:pPr>
        <w:pStyle w:val="NormalWeb"/>
        <w:divId w:val="1459840797"/>
      </w:pPr>
      <w:r>
        <w:rPr>
          <w:b/>
          <w:bCs/>
          <w:sz w:val="20"/>
          <w:szCs w:val="20"/>
        </w:rPr>
        <w:t>Compliance with Section 16(a) of the Exchange Act</w:t>
      </w:r>
    </w:p>
    <w:p w14:paraId="0A7844A5" w14:textId="77777777" w:rsidR="00236301" w:rsidRDefault="00265296">
      <w:pPr>
        <w:pStyle w:val="NormalWeb"/>
        <w:divId w:val="1459840797"/>
      </w:pPr>
      <w:r>
        <w:rPr>
          <w:sz w:val="20"/>
          <w:szCs w:val="20"/>
        </w:rPr>
        <w:t>Section 16(a) of the Securities Exchange Act of 1934, as amended, requires our directors, executive officers and persons who beneficially own more than 10% of a registered class of our securities to file with the SEC reports of ownership and changes in ownership of the common stock and other equity securities. Officers, directors and greater than 10% beneficial owners are required by SEC regulations to furnish us with copies of all Section 16(a) forms they file. No officer, director or Section 16(a) officer has sold or acquired any of our stock during the last calendar year, thus not requiring any reports under Section 16(a) to be filed.</w:t>
      </w:r>
    </w:p>
    <w:p w14:paraId="42EE1C19" w14:textId="77777777" w:rsidR="00236301" w:rsidRDefault="00265296">
      <w:pPr>
        <w:pStyle w:val="NormalWeb"/>
        <w:divId w:val="1459840797"/>
      </w:pPr>
      <w:r>
        <w:rPr>
          <w:b/>
          <w:bCs/>
          <w:sz w:val="20"/>
          <w:szCs w:val="20"/>
        </w:rPr>
        <w:t>Audit Committee Financial Expert</w:t>
      </w:r>
    </w:p>
    <w:p w14:paraId="43B8C0BA" w14:textId="77777777" w:rsidR="00236301" w:rsidRDefault="00265296">
      <w:pPr>
        <w:pStyle w:val="NormalWeb"/>
        <w:divId w:val="1459840797"/>
      </w:pPr>
      <w:r>
        <w:rPr>
          <w:sz w:val="20"/>
          <w:szCs w:val="20"/>
        </w:rPr>
        <w:t>As of June 30, 2016, we do not have an audit committee financial expert, as that term is defined in Item 407(d)(5) of Regulation S-B, because at this time our current level of operations and the cost of retaining such a financial expert are prohibitive. The Board of Directors as a whole fulfilled the duties normally assigned to an audit committee.</w:t>
      </w:r>
    </w:p>
    <w:p w14:paraId="21C66AA7" w14:textId="77777777" w:rsidR="00236301" w:rsidRDefault="00265296">
      <w:pPr>
        <w:pStyle w:val="NormalWeb"/>
        <w:divId w:val="1459840797"/>
      </w:pPr>
      <w:r>
        <w:rPr>
          <w:b/>
          <w:bCs/>
          <w:sz w:val="20"/>
          <w:szCs w:val="20"/>
        </w:rPr>
        <w:t>Code of Ethics</w:t>
      </w:r>
    </w:p>
    <w:p w14:paraId="53F63C4B" w14:textId="77777777" w:rsidR="00236301" w:rsidRDefault="00265296">
      <w:pPr>
        <w:pStyle w:val="NormalWeb"/>
        <w:divId w:val="1459840797"/>
      </w:pPr>
      <w:r>
        <w:rPr>
          <w:sz w:val="20"/>
          <w:szCs w:val="20"/>
        </w:rPr>
        <w:t>As of June 30, 2016, we have a code of ethics that applies to our Principal Executive Officer and Principal Financial and Accounting Officer(s) and to all of our staff. While we are a small company we believe that our code of ethics directs the Company to practice its business in an ethical way.</w:t>
      </w:r>
    </w:p>
    <w:p w14:paraId="2873E8DB" w14:textId="77777777" w:rsidR="00236301" w:rsidRDefault="00084F74">
      <w:pPr>
        <w:pStyle w:val="NormalWeb"/>
        <w:divId w:val="1459840797"/>
      </w:pPr>
      <w:hyperlink w:anchor="toc" w:history="1">
        <w:r w:rsidR="00265296">
          <w:rPr>
            <w:rStyle w:val="Hyperlink"/>
            <w:b/>
            <w:bCs/>
            <w:sz w:val="20"/>
            <w:szCs w:val="20"/>
          </w:rPr>
          <w:t>Return to Table of Contents</w:t>
        </w:r>
      </w:hyperlink>
    </w:p>
    <w:p w14:paraId="01B8EAB6" w14:textId="77777777" w:rsidR="00236301" w:rsidRDefault="00265296">
      <w:pPr>
        <w:pStyle w:val="NormalWeb"/>
        <w:divId w:val="1459840797"/>
      </w:pPr>
      <w:r>
        <w:rPr>
          <w:b/>
          <w:bCs/>
          <w:sz w:val="20"/>
          <w:szCs w:val="20"/>
        </w:rPr>
        <w:t>16</w:t>
      </w:r>
      <w:r>
        <w:t xml:space="preserve"> </w:t>
      </w:r>
    </w:p>
    <w:p w14:paraId="2E10F0BB" w14:textId="77777777" w:rsidR="00236301" w:rsidRDefault="00084F74">
      <w:pPr>
        <w:jc w:val="center"/>
        <w:divId w:val="1459840797"/>
        <w:rPr>
          <w:rFonts w:eastAsia="Times New Roman"/>
          <w:sz w:val="20"/>
          <w:szCs w:val="20"/>
        </w:rPr>
      </w:pPr>
      <w:r>
        <w:rPr>
          <w:rFonts w:eastAsia="Times New Roman"/>
          <w:sz w:val="20"/>
          <w:szCs w:val="20"/>
        </w:rPr>
        <w:pict w14:anchorId="621BC98F">
          <v:rect id="_x0000_i1044" style="width:.05pt;height:1pt" o:hralign="center" o:hrstd="t" o:hrnoshade="t" o:hr="t" fillcolor="blue" stroked="f"/>
        </w:pict>
      </w:r>
    </w:p>
    <w:p w14:paraId="5AEFFAA5" w14:textId="77777777" w:rsidR="00236301" w:rsidRDefault="00265296">
      <w:pPr>
        <w:pStyle w:val="NormalWeb"/>
        <w:divId w:val="1459840797"/>
      </w:pPr>
      <w:r>
        <w:rPr>
          <w:b/>
          <w:bCs/>
          <w:sz w:val="20"/>
          <w:szCs w:val="20"/>
        </w:rPr>
        <w:t>Procedure for Nominating Directors</w:t>
      </w:r>
    </w:p>
    <w:p w14:paraId="436F6C13" w14:textId="77777777" w:rsidR="00236301" w:rsidRDefault="00265296">
      <w:pPr>
        <w:pStyle w:val="NormalWeb"/>
        <w:divId w:val="1459840797"/>
      </w:pPr>
      <w:r>
        <w:rPr>
          <w:sz w:val="20"/>
          <w:szCs w:val="20"/>
        </w:rPr>
        <w:t xml:space="preserve">We have not made any material changes to the procedures by which security holders may recommend nominees to our Board of Directors. The Board does not have a written policy or charter regarding how director candidates are evaluated or nominated for the Board. Our directors annually review all director performance over the prior year and make recommendations to the Board of Directors for future nominations. </w:t>
      </w:r>
    </w:p>
    <w:p w14:paraId="2491F077" w14:textId="77777777" w:rsidR="00236301" w:rsidRDefault="00265296">
      <w:pPr>
        <w:pStyle w:val="NormalWeb"/>
        <w:divId w:val="1459840797"/>
      </w:pPr>
      <w:bookmarkStart w:id="17" w:name="#item11"/>
      <w:bookmarkEnd w:id="17"/>
      <w:r>
        <w:rPr>
          <w:b/>
          <w:bCs/>
          <w:i/>
          <w:iCs/>
        </w:rPr>
        <w:t>ITEM 11. EXECUTIVE COMPENSATION</w:t>
      </w:r>
    </w:p>
    <w:p w14:paraId="0DC2DDB9" w14:textId="77777777" w:rsidR="00236301" w:rsidRDefault="00265296">
      <w:pPr>
        <w:pStyle w:val="NormalWeb"/>
        <w:divId w:val="1459840797"/>
      </w:pPr>
      <w:r>
        <w:rPr>
          <w:sz w:val="20"/>
          <w:szCs w:val="20"/>
        </w:rPr>
        <w:lastRenderedPageBreak/>
        <w:t xml:space="preserve">Robert Wolfe, Chairman and CEO has waived his $350,000 annual salary for the year ending June 30, 2016. No officer or director received any compensation from the Company during the last fiscal year. The Company paid no bonuses in the last three fiscal years ended June 30, 2016 to officers or other employees. </w:t>
      </w:r>
    </w:p>
    <w:p w14:paraId="07C0C98B" w14:textId="77777777" w:rsidR="00236301" w:rsidRDefault="00265296">
      <w:pPr>
        <w:pStyle w:val="NormalWeb"/>
        <w:divId w:val="1459840797"/>
      </w:pPr>
      <w:r>
        <w:rPr>
          <w:sz w:val="20"/>
          <w:szCs w:val="20"/>
        </w:rPr>
        <w:t>The following table sets forth the total compensation paid or accrued to its Chief Executive Officer and Chief Financial Officer, Robert E. Wolfe during the fiscal year ending June 30, 2016. There were no other corporate officers in any of the last three fiscal years.</w:t>
      </w:r>
    </w:p>
    <w:p w14:paraId="0A0089FA" w14:textId="77777777" w:rsidR="00236301" w:rsidRDefault="00265296">
      <w:pPr>
        <w:pStyle w:val="NormalWeb"/>
        <w:divId w:val="1459840797"/>
      </w:pPr>
      <w:r>
        <w:rPr>
          <w:b/>
          <w:bCs/>
          <w:sz w:val="20"/>
          <w:szCs w:val="20"/>
        </w:rPr>
        <w:t>EXECUTIVE COMPENSATION</w:t>
      </w:r>
    </w:p>
    <w:tbl>
      <w:tblPr>
        <w:tblW w:w="9465" w:type="dxa"/>
        <w:tblCellSpacing w:w="0" w:type="dxa"/>
        <w:tblCellMar>
          <w:left w:w="0" w:type="dxa"/>
          <w:right w:w="0" w:type="dxa"/>
        </w:tblCellMar>
        <w:tblLook w:val="04A0" w:firstRow="1" w:lastRow="0" w:firstColumn="1" w:lastColumn="0" w:noHBand="0" w:noVBand="1"/>
      </w:tblPr>
      <w:tblGrid>
        <w:gridCol w:w="1932"/>
        <w:gridCol w:w="677"/>
        <w:gridCol w:w="966"/>
        <w:gridCol w:w="869"/>
        <w:gridCol w:w="1738"/>
        <w:gridCol w:w="1545"/>
        <w:gridCol w:w="1062"/>
        <w:gridCol w:w="676"/>
      </w:tblGrid>
      <w:tr w:rsidR="00236301" w14:paraId="0ACAAFBA" w14:textId="77777777">
        <w:trPr>
          <w:divId w:val="1459840797"/>
          <w:tblCellSpacing w:w="0" w:type="dxa"/>
        </w:trPr>
        <w:tc>
          <w:tcPr>
            <w:tcW w:w="1000" w:type="pct"/>
            <w:shd w:val="clear" w:color="auto" w:fill="CCEEFF"/>
            <w:hideMark/>
          </w:tcPr>
          <w:p w14:paraId="51BA034D" w14:textId="77777777" w:rsidR="00236301" w:rsidRDefault="00265296">
            <w:pPr>
              <w:pStyle w:val="NormalWeb"/>
            </w:pPr>
            <w:r>
              <w:rPr>
                <w:b/>
                <w:bCs/>
                <w:sz w:val="20"/>
                <w:szCs w:val="20"/>
              </w:rPr>
              <w:t>Name</w:t>
            </w:r>
          </w:p>
        </w:tc>
        <w:tc>
          <w:tcPr>
            <w:tcW w:w="350" w:type="pct"/>
            <w:shd w:val="clear" w:color="auto" w:fill="CCEEFF"/>
            <w:hideMark/>
          </w:tcPr>
          <w:p w14:paraId="681D85C0" w14:textId="77777777" w:rsidR="00236301" w:rsidRDefault="00265296">
            <w:pPr>
              <w:pStyle w:val="NormalWeb"/>
            </w:pPr>
            <w:r>
              <w:rPr>
                <w:b/>
                <w:bCs/>
                <w:sz w:val="20"/>
                <w:szCs w:val="20"/>
              </w:rPr>
              <w:t>Yr.</w:t>
            </w:r>
          </w:p>
        </w:tc>
        <w:tc>
          <w:tcPr>
            <w:tcW w:w="500" w:type="pct"/>
            <w:shd w:val="clear" w:color="auto" w:fill="CCEEFF"/>
            <w:hideMark/>
          </w:tcPr>
          <w:p w14:paraId="4FA0FC5A" w14:textId="77777777" w:rsidR="00236301" w:rsidRDefault="00265296">
            <w:pPr>
              <w:pStyle w:val="NormalWeb"/>
            </w:pPr>
            <w:r>
              <w:rPr>
                <w:b/>
                <w:bCs/>
                <w:sz w:val="20"/>
                <w:szCs w:val="20"/>
              </w:rPr>
              <w:t>Salary</w:t>
            </w:r>
          </w:p>
        </w:tc>
        <w:tc>
          <w:tcPr>
            <w:tcW w:w="450" w:type="pct"/>
            <w:shd w:val="clear" w:color="auto" w:fill="CCEEFF"/>
            <w:hideMark/>
          </w:tcPr>
          <w:p w14:paraId="6DFDEE38" w14:textId="77777777" w:rsidR="00236301" w:rsidRDefault="00265296">
            <w:pPr>
              <w:pStyle w:val="NormalWeb"/>
              <w:jc w:val="right"/>
            </w:pPr>
            <w:r>
              <w:rPr>
                <w:b/>
                <w:bCs/>
                <w:sz w:val="20"/>
                <w:szCs w:val="20"/>
              </w:rPr>
              <w:t>Bonus</w:t>
            </w:r>
          </w:p>
        </w:tc>
        <w:tc>
          <w:tcPr>
            <w:tcW w:w="900" w:type="pct"/>
            <w:shd w:val="clear" w:color="auto" w:fill="CCEEFF"/>
            <w:hideMark/>
          </w:tcPr>
          <w:p w14:paraId="41A8DF44" w14:textId="77777777" w:rsidR="00236301" w:rsidRDefault="00265296">
            <w:pPr>
              <w:pStyle w:val="NormalWeb"/>
            </w:pPr>
            <w:r>
              <w:rPr>
                <w:b/>
                <w:bCs/>
                <w:sz w:val="20"/>
                <w:szCs w:val="20"/>
              </w:rPr>
              <w:t>Other Compensation</w:t>
            </w:r>
          </w:p>
        </w:tc>
        <w:tc>
          <w:tcPr>
            <w:tcW w:w="800" w:type="pct"/>
            <w:shd w:val="clear" w:color="auto" w:fill="CCEEFF"/>
            <w:hideMark/>
          </w:tcPr>
          <w:p w14:paraId="068A168A" w14:textId="77777777" w:rsidR="00236301" w:rsidRDefault="00265296">
            <w:pPr>
              <w:pStyle w:val="NormalWeb"/>
            </w:pPr>
            <w:r>
              <w:rPr>
                <w:b/>
                <w:bCs/>
                <w:sz w:val="20"/>
                <w:szCs w:val="20"/>
              </w:rPr>
              <w:t>Restricted Awards</w:t>
            </w:r>
          </w:p>
        </w:tc>
        <w:tc>
          <w:tcPr>
            <w:tcW w:w="550" w:type="pct"/>
            <w:shd w:val="clear" w:color="auto" w:fill="CCEEFF"/>
            <w:hideMark/>
          </w:tcPr>
          <w:p w14:paraId="7A8F4FA5" w14:textId="77777777" w:rsidR="00236301" w:rsidRDefault="00265296">
            <w:pPr>
              <w:pStyle w:val="NormalWeb"/>
            </w:pPr>
            <w:r>
              <w:rPr>
                <w:b/>
                <w:bCs/>
                <w:sz w:val="20"/>
                <w:szCs w:val="20"/>
              </w:rPr>
              <w:t>LTIP Awards</w:t>
            </w:r>
          </w:p>
        </w:tc>
        <w:tc>
          <w:tcPr>
            <w:tcW w:w="350" w:type="pct"/>
            <w:shd w:val="clear" w:color="auto" w:fill="CCEEFF"/>
            <w:hideMark/>
          </w:tcPr>
          <w:p w14:paraId="66EF70E3" w14:textId="77777777" w:rsidR="00236301" w:rsidRDefault="00265296">
            <w:pPr>
              <w:pStyle w:val="NormalWeb"/>
            </w:pPr>
            <w:r>
              <w:rPr>
                <w:b/>
                <w:bCs/>
                <w:sz w:val="20"/>
                <w:szCs w:val="20"/>
              </w:rPr>
              <w:t>Other</w:t>
            </w:r>
          </w:p>
        </w:tc>
      </w:tr>
      <w:tr w:rsidR="00236301" w14:paraId="6CED3429" w14:textId="77777777">
        <w:trPr>
          <w:divId w:val="1459840797"/>
          <w:trHeight w:val="240"/>
          <w:tblCellSpacing w:w="0" w:type="dxa"/>
        </w:trPr>
        <w:tc>
          <w:tcPr>
            <w:tcW w:w="1000" w:type="pct"/>
            <w:shd w:val="clear" w:color="auto" w:fill="FFFFFF"/>
            <w:hideMark/>
          </w:tcPr>
          <w:p w14:paraId="1CC41E55" w14:textId="77777777" w:rsidR="00236301" w:rsidRDefault="00265296">
            <w:pPr>
              <w:pStyle w:val="NormalWeb"/>
            </w:pPr>
            <w:r>
              <w:rPr>
                <w:sz w:val="20"/>
                <w:szCs w:val="20"/>
              </w:rPr>
              <w:t>Robert E. Wolfe</w:t>
            </w:r>
          </w:p>
        </w:tc>
        <w:tc>
          <w:tcPr>
            <w:tcW w:w="350" w:type="pct"/>
            <w:shd w:val="clear" w:color="auto" w:fill="FFFFFF"/>
            <w:hideMark/>
          </w:tcPr>
          <w:p w14:paraId="2ACC595A" w14:textId="77777777" w:rsidR="00236301" w:rsidRDefault="00265296">
            <w:pPr>
              <w:pStyle w:val="NormalWeb"/>
              <w:jc w:val="center"/>
            </w:pPr>
            <w:r>
              <w:rPr>
                <w:sz w:val="20"/>
                <w:szCs w:val="20"/>
              </w:rPr>
              <w:t>2016</w:t>
            </w:r>
          </w:p>
        </w:tc>
        <w:tc>
          <w:tcPr>
            <w:tcW w:w="500" w:type="pct"/>
            <w:shd w:val="clear" w:color="auto" w:fill="FFFFFF"/>
            <w:hideMark/>
          </w:tcPr>
          <w:p w14:paraId="7C8CAD8E" w14:textId="77777777" w:rsidR="00236301" w:rsidRDefault="00265296">
            <w:pPr>
              <w:pStyle w:val="NormalWeb"/>
              <w:jc w:val="right"/>
            </w:pPr>
            <w:r>
              <w:rPr>
                <w:sz w:val="20"/>
                <w:szCs w:val="20"/>
              </w:rPr>
              <w:t>0</w:t>
            </w:r>
          </w:p>
        </w:tc>
        <w:tc>
          <w:tcPr>
            <w:tcW w:w="450" w:type="pct"/>
            <w:shd w:val="clear" w:color="auto" w:fill="FFFFFF"/>
            <w:hideMark/>
          </w:tcPr>
          <w:p w14:paraId="3BEB14F3" w14:textId="77777777" w:rsidR="00236301" w:rsidRDefault="00265296">
            <w:pPr>
              <w:pStyle w:val="NormalWeb"/>
              <w:jc w:val="right"/>
            </w:pPr>
            <w:r>
              <w:rPr>
                <w:sz w:val="20"/>
                <w:szCs w:val="20"/>
              </w:rPr>
              <w:t>0</w:t>
            </w:r>
          </w:p>
        </w:tc>
        <w:tc>
          <w:tcPr>
            <w:tcW w:w="900" w:type="pct"/>
            <w:shd w:val="clear" w:color="auto" w:fill="FFFFFF"/>
            <w:hideMark/>
          </w:tcPr>
          <w:p w14:paraId="448F8B90" w14:textId="77777777" w:rsidR="00236301" w:rsidRDefault="00265296">
            <w:pPr>
              <w:pStyle w:val="NormalWeb"/>
              <w:jc w:val="right"/>
            </w:pPr>
            <w:r>
              <w:rPr>
                <w:sz w:val="20"/>
                <w:szCs w:val="20"/>
              </w:rPr>
              <w:t>0</w:t>
            </w:r>
          </w:p>
        </w:tc>
        <w:tc>
          <w:tcPr>
            <w:tcW w:w="800" w:type="pct"/>
            <w:shd w:val="clear" w:color="auto" w:fill="FFFFFF"/>
            <w:hideMark/>
          </w:tcPr>
          <w:p w14:paraId="51E9F29F" w14:textId="77777777" w:rsidR="00236301" w:rsidRDefault="00265296">
            <w:pPr>
              <w:pStyle w:val="NormalWeb"/>
              <w:jc w:val="right"/>
            </w:pPr>
            <w:r>
              <w:rPr>
                <w:sz w:val="20"/>
                <w:szCs w:val="20"/>
              </w:rPr>
              <w:t>0</w:t>
            </w:r>
          </w:p>
        </w:tc>
        <w:tc>
          <w:tcPr>
            <w:tcW w:w="550" w:type="pct"/>
            <w:shd w:val="clear" w:color="auto" w:fill="FFFFFF"/>
            <w:hideMark/>
          </w:tcPr>
          <w:p w14:paraId="170D9967" w14:textId="77777777" w:rsidR="00236301" w:rsidRDefault="00265296">
            <w:pPr>
              <w:pStyle w:val="NormalWeb"/>
              <w:jc w:val="right"/>
            </w:pPr>
            <w:r>
              <w:rPr>
                <w:sz w:val="20"/>
                <w:szCs w:val="20"/>
              </w:rPr>
              <w:t>0</w:t>
            </w:r>
          </w:p>
        </w:tc>
        <w:tc>
          <w:tcPr>
            <w:tcW w:w="350" w:type="pct"/>
            <w:shd w:val="clear" w:color="auto" w:fill="FFFFFF"/>
            <w:hideMark/>
          </w:tcPr>
          <w:p w14:paraId="7FC2BD82" w14:textId="77777777" w:rsidR="00236301" w:rsidRDefault="00265296">
            <w:pPr>
              <w:pStyle w:val="NormalWeb"/>
              <w:jc w:val="right"/>
            </w:pPr>
            <w:r>
              <w:rPr>
                <w:sz w:val="20"/>
                <w:szCs w:val="20"/>
              </w:rPr>
              <w:t>0</w:t>
            </w:r>
          </w:p>
        </w:tc>
      </w:tr>
    </w:tbl>
    <w:p w14:paraId="62F7068C" w14:textId="77777777" w:rsidR="00236301" w:rsidRDefault="00265296">
      <w:pPr>
        <w:pStyle w:val="NormalWeb"/>
        <w:divId w:val="1459840797"/>
      </w:pPr>
      <w:r>
        <w:rPr>
          <w:b/>
          <w:bCs/>
          <w:sz w:val="20"/>
          <w:szCs w:val="20"/>
        </w:rPr>
        <w:t>EMPLOYMENT AGREEMENTS</w:t>
      </w:r>
    </w:p>
    <w:p w14:paraId="39C31A3A" w14:textId="77777777" w:rsidR="00236301" w:rsidRDefault="00265296">
      <w:pPr>
        <w:pStyle w:val="NormalWeb"/>
        <w:divId w:val="1459840797"/>
      </w:pPr>
      <w:r>
        <w:rPr>
          <w:sz w:val="20"/>
          <w:szCs w:val="20"/>
        </w:rPr>
        <w:t>We do not currently have any oral or written employment contracts, severance or change-in-control agreements with any of our executive officers.</w:t>
      </w:r>
    </w:p>
    <w:p w14:paraId="0CD1F618" w14:textId="77777777" w:rsidR="00236301" w:rsidRDefault="00265296">
      <w:pPr>
        <w:pStyle w:val="NormalWeb"/>
        <w:divId w:val="1459840797"/>
      </w:pPr>
      <w:r>
        <w:rPr>
          <w:b/>
          <w:bCs/>
          <w:sz w:val="20"/>
          <w:szCs w:val="20"/>
        </w:rPr>
        <w:t>OPTION GRANTS DURING 1999; VALUE OF OPTIONS AT YEAR-END</w:t>
      </w:r>
    </w:p>
    <w:p w14:paraId="6DDAB415" w14:textId="77777777" w:rsidR="00236301" w:rsidRDefault="00265296">
      <w:pPr>
        <w:pStyle w:val="NormalWeb"/>
        <w:divId w:val="1459840797"/>
      </w:pPr>
      <w:r>
        <w:rPr>
          <w:sz w:val="20"/>
          <w:szCs w:val="20"/>
        </w:rPr>
        <w:t>The following tables set forth certain information covering the grant of options to the Company's Chief Executive Officer and Chief Financial Officer, Robert E. Wolfe during the fiscal year ended June 30, 2016 and unexercised options held as of that date. Mr. Wolfe did not exercise any options during fiscal 2016.</w:t>
      </w:r>
    </w:p>
    <w:p w14:paraId="7A3B80C3" w14:textId="77777777" w:rsidR="00236301" w:rsidRDefault="00265296">
      <w:pPr>
        <w:pStyle w:val="NormalWeb"/>
        <w:divId w:val="1459840797"/>
      </w:pPr>
      <w:r>
        <w:t> </w:t>
      </w:r>
    </w:p>
    <w:tbl>
      <w:tblPr>
        <w:tblW w:w="8460" w:type="dxa"/>
        <w:tblCellSpacing w:w="0" w:type="dxa"/>
        <w:tblCellMar>
          <w:left w:w="0" w:type="dxa"/>
          <w:right w:w="0" w:type="dxa"/>
        </w:tblCellMar>
        <w:tblLook w:val="04A0" w:firstRow="1" w:lastRow="0" w:firstColumn="1" w:lastColumn="0" w:noHBand="0" w:noVBand="1"/>
      </w:tblPr>
      <w:tblGrid>
        <w:gridCol w:w="1438"/>
        <w:gridCol w:w="1438"/>
        <w:gridCol w:w="1100"/>
        <w:gridCol w:w="1100"/>
        <w:gridCol w:w="1269"/>
        <w:gridCol w:w="2115"/>
      </w:tblGrid>
      <w:tr w:rsidR="00236301" w14:paraId="0C023E67" w14:textId="77777777">
        <w:trPr>
          <w:divId w:val="1459840797"/>
          <w:tblCellSpacing w:w="0" w:type="dxa"/>
        </w:trPr>
        <w:tc>
          <w:tcPr>
            <w:tcW w:w="850" w:type="pct"/>
            <w:shd w:val="clear" w:color="auto" w:fill="CCEEFF"/>
            <w:hideMark/>
          </w:tcPr>
          <w:p w14:paraId="57C7B1D9" w14:textId="77777777" w:rsidR="00236301" w:rsidRDefault="00265296">
            <w:pPr>
              <w:pStyle w:val="NormalWeb"/>
            </w:pPr>
            <w:r>
              <w:rPr>
                <w:b/>
                <w:bCs/>
                <w:sz w:val="20"/>
                <w:szCs w:val="20"/>
              </w:rPr>
              <w:t>Name</w:t>
            </w:r>
          </w:p>
        </w:tc>
        <w:tc>
          <w:tcPr>
            <w:tcW w:w="850" w:type="pct"/>
            <w:shd w:val="clear" w:color="auto" w:fill="CCEEFF"/>
            <w:hideMark/>
          </w:tcPr>
          <w:p w14:paraId="22FEB929" w14:textId="77777777" w:rsidR="00236301" w:rsidRDefault="00265296">
            <w:pPr>
              <w:pStyle w:val="NormalWeb"/>
            </w:pPr>
            <w:r>
              <w:rPr>
                <w:b/>
                <w:bCs/>
                <w:sz w:val="20"/>
                <w:szCs w:val="20"/>
              </w:rPr>
              <w:t># of Securities</w:t>
            </w:r>
          </w:p>
        </w:tc>
        <w:tc>
          <w:tcPr>
            <w:tcW w:w="650" w:type="pct"/>
            <w:shd w:val="clear" w:color="auto" w:fill="CCEEFF"/>
            <w:hideMark/>
          </w:tcPr>
          <w:p w14:paraId="21121FE1" w14:textId="77777777" w:rsidR="00236301" w:rsidRDefault="00265296">
            <w:pPr>
              <w:pStyle w:val="NormalWeb"/>
            </w:pPr>
            <w:r>
              <w:rPr>
                <w:b/>
                <w:bCs/>
                <w:sz w:val="20"/>
                <w:szCs w:val="20"/>
              </w:rPr>
              <w:t>% Total Options</w:t>
            </w:r>
          </w:p>
        </w:tc>
        <w:tc>
          <w:tcPr>
            <w:tcW w:w="650" w:type="pct"/>
            <w:shd w:val="clear" w:color="auto" w:fill="CCEEFF"/>
            <w:hideMark/>
          </w:tcPr>
          <w:p w14:paraId="4F5DC73D" w14:textId="77777777" w:rsidR="00236301" w:rsidRDefault="00265296">
            <w:pPr>
              <w:pStyle w:val="NormalWeb"/>
              <w:jc w:val="right"/>
            </w:pPr>
            <w:r>
              <w:rPr>
                <w:b/>
                <w:bCs/>
                <w:sz w:val="20"/>
                <w:szCs w:val="20"/>
              </w:rPr>
              <w:t>Option Price</w:t>
            </w:r>
          </w:p>
        </w:tc>
        <w:tc>
          <w:tcPr>
            <w:tcW w:w="750" w:type="pct"/>
            <w:shd w:val="clear" w:color="auto" w:fill="CCEEFF"/>
            <w:hideMark/>
          </w:tcPr>
          <w:p w14:paraId="5BB15A75" w14:textId="77777777" w:rsidR="00236301" w:rsidRDefault="00265296">
            <w:pPr>
              <w:pStyle w:val="NormalWeb"/>
            </w:pPr>
            <w:r>
              <w:rPr>
                <w:b/>
                <w:bCs/>
                <w:sz w:val="20"/>
                <w:szCs w:val="20"/>
              </w:rPr>
              <w:t>Exercise Price</w:t>
            </w:r>
          </w:p>
        </w:tc>
        <w:tc>
          <w:tcPr>
            <w:tcW w:w="1300" w:type="pct"/>
            <w:shd w:val="clear" w:color="auto" w:fill="CCEEFF"/>
            <w:hideMark/>
          </w:tcPr>
          <w:p w14:paraId="3DE8188A" w14:textId="77777777" w:rsidR="00236301" w:rsidRDefault="00265296">
            <w:pPr>
              <w:pStyle w:val="NormalWeb"/>
            </w:pPr>
            <w:r>
              <w:rPr>
                <w:b/>
                <w:bCs/>
                <w:sz w:val="20"/>
                <w:szCs w:val="20"/>
              </w:rPr>
              <w:t>Expiration Date</w:t>
            </w:r>
          </w:p>
        </w:tc>
      </w:tr>
      <w:tr w:rsidR="00236301" w14:paraId="2EA6CE8B" w14:textId="77777777">
        <w:trPr>
          <w:divId w:val="1459840797"/>
          <w:trHeight w:val="225"/>
          <w:tblCellSpacing w:w="0" w:type="dxa"/>
        </w:trPr>
        <w:tc>
          <w:tcPr>
            <w:tcW w:w="850" w:type="pct"/>
            <w:shd w:val="clear" w:color="auto" w:fill="FFFFFF"/>
            <w:hideMark/>
          </w:tcPr>
          <w:p w14:paraId="4D20A7D8" w14:textId="77777777" w:rsidR="00236301" w:rsidRDefault="00265296">
            <w:pPr>
              <w:pStyle w:val="NormalWeb"/>
            </w:pPr>
            <w:r>
              <w:rPr>
                <w:sz w:val="20"/>
                <w:szCs w:val="20"/>
              </w:rPr>
              <w:t>Robert E. Wolfe</w:t>
            </w:r>
          </w:p>
        </w:tc>
        <w:tc>
          <w:tcPr>
            <w:tcW w:w="850" w:type="pct"/>
            <w:shd w:val="clear" w:color="auto" w:fill="FFFFFF"/>
            <w:hideMark/>
          </w:tcPr>
          <w:p w14:paraId="78D3ECAC" w14:textId="77777777" w:rsidR="00236301" w:rsidRDefault="00265296">
            <w:pPr>
              <w:pStyle w:val="NormalWeb"/>
              <w:jc w:val="center"/>
            </w:pPr>
            <w:r>
              <w:rPr>
                <w:sz w:val="20"/>
                <w:szCs w:val="20"/>
              </w:rPr>
              <w:t>0</w:t>
            </w:r>
          </w:p>
        </w:tc>
        <w:tc>
          <w:tcPr>
            <w:tcW w:w="650" w:type="pct"/>
            <w:shd w:val="clear" w:color="auto" w:fill="FFFFFF"/>
            <w:hideMark/>
          </w:tcPr>
          <w:p w14:paraId="752B6F34" w14:textId="77777777" w:rsidR="00236301" w:rsidRDefault="00265296">
            <w:pPr>
              <w:pStyle w:val="NormalWeb"/>
              <w:jc w:val="center"/>
            </w:pPr>
            <w:r>
              <w:rPr>
                <w:sz w:val="20"/>
                <w:szCs w:val="20"/>
              </w:rPr>
              <w:t>0</w:t>
            </w:r>
          </w:p>
        </w:tc>
        <w:tc>
          <w:tcPr>
            <w:tcW w:w="650" w:type="pct"/>
            <w:shd w:val="clear" w:color="auto" w:fill="FFFFFF"/>
            <w:hideMark/>
          </w:tcPr>
          <w:p w14:paraId="1E560D50" w14:textId="77777777" w:rsidR="00236301" w:rsidRDefault="00265296">
            <w:pPr>
              <w:pStyle w:val="NormalWeb"/>
              <w:jc w:val="center"/>
            </w:pPr>
            <w:r>
              <w:rPr>
                <w:sz w:val="20"/>
                <w:szCs w:val="20"/>
              </w:rPr>
              <w:t>0</w:t>
            </w:r>
          </w:p>
        </w:tc>
        <w:tc>
          <w:tcPr>
            <w:tcW w:w="750" w:type="pct"/>
            <w:shd w:val="clear" w:color="auto" w:fill="FFFFFF"/>
            <w:hideMark/>
          </w:tcPr>
          <w:p w14:paraId="66496D6F" w14:textId="77777777" w:rsidR="00236301" w:rsidRDefault="00265296">
            <w:pPr>
              <w:pStyle w:val="NormalWeb"/>
              <w:jc w:val="center"/>
            </w:pPr>
            <w:r>
              <w:rPr>
                <w:sz w:val="20"/>
                <w:szCs w:val="20"/>
              </w:rPr>
              <w:t>0</w:t>
            </w:r>
          </w:p>
        </w:tc>
        <w:tc>
          <w:tcPr>
            <w:tcW w:w="1300" w:type="pct"/>
            <w:shd w:val="clear" w:color="auto" w:fill="FFFFFF"/>
            <w:hideMark/>
          </w:tcPr>
          <w:p w14:paraId="29F81E15" w14:textId="77777777" w:rsidR="00236301" w:rsidRDefault="00265296">
            <w:pPr>
              <w:pStyle w:val="NormalWeb"/>
              <w:jc w:val="center"/>
            </w:pPr>
            <w:r>
              <w:rPr>
                <w:sz w:val="20"/>
                <w:szCs w:val="20"/>
              </w:rPr>
              <w:t>0</w:t>
            </w:r>
          </w:p>
        </w:tc>
      </w:tr>
    </w:tbl>
    <w:p w14:paraId="504E65D7" w14:textId="77777777" w:rsidR="00236301" w:rsidRDefault="00265296">
      <w:pPr>
        <w:pStyle w:val="NormalWeb"/>
        <w:divId w:val="1459840797"/>
      </w:pPr>
      <w:r>
        <w:t> </w:t>
      </w:r>
    </w:p>
    <w:p w14:paraId="6AA5BD8C" w14:textId="77777777" w:rsidR="00236301" w:rsidRDefault="00265296">
      <w:pPr>
        <w:pStyle w:val="NormalWeb"/>
        <w:divId w:val="1459840797"/>
      </w:pPr>
      <w:r>
        <w:rPr>
          <w:b/>
          <w:bCs/>
          <w:i/>
          <w:iCs/>
          <w:sz w:val="20"/>
          <w:szCs w:val="20"/>
        </w:rPr>
        <w:t>Compensation Committee Report</w:t>
      </w:r>
    </w:p>
    <w:p w14:paraId="736598E5" w14:textId="77777777" w:rsidR="00236301" w:rsidRDefault="00265296">
      <w:pPr>
        <w:pStyle w:val="NormalWeb"/>
        <w:divId w:val="1459840797"/>
      </w:pPr>
      <w:r>
        <w:rPr>
          <w:sz w:val="20"/>
          <w:szCs w:val="20"/>
        </w:rPr>
        <w:t>The Compensation Committee of the Board of Directors was responsible for reviewing and approving the Company's compensation policies and the compensation paid to executive officers. Mr. Wolfe and Mr. Donofrio, who comprise the Compensation Committee are employee and non-employee directors respectively.</w:t>
      </w:r>
    </w:p>
    <w:p w14:paraId="1BA77EC2" w14:textId="77777777" w:rsidR="00236301" w:rsidRDefault="00265296">
      <w:pPr>
        <w:pStyle w:val="NormalWeb"/>
        <w:divId w:val="1459840797"/>
      </w:pPr>
      <w:r>
        <w:rPr>
          <w:b/>
          <w:bCs/>
          <w:sz w:val="20"/>
          <w:szCs w:val="20"/>
        </w:rPr>
        <w:t>Compensation Philosophy</w:t>
      </w:r>
    </w:p>
    <w:p w14:paraId="03B68BCE" w14:textId="77777777" w:rsidR="00236301" w:rsidRDefault="00265296">
      <w:pPr>
        <w:pStyle w:val="NormalWeb"/>
        <w:divId w:val="1459840797"/>
      </w:pPr>
      <w:r>
        <w:rPr>
          <w:sz w:val="20"/>
          <w:szCs w:val="20"/>
        </w:rPr>
        <w:lastRenderedPageBreak/>
        <w:t>The general philosophy of the Company's compensation program, which has been reviewed and endorsed by the Committee, was to provide overall competitive compensation based on each executive's individual performance and the Company's overall performance.</w:t>
      </w:r>
    </w:p>
    <w:p w14:paraId="0D1E2193" w14:textId="77777777" w:rsidR="00236301" w:rsidRDefault="00265296">
      <w:pPr>
        <w:pStyle w:val="NormalWeb"/>
        <w:divId w:val="1459840797"/>
      </w:pPr>
      <w:r>
        <w:rPr>
          <w:sz w:val="20"/>
          <w:szCs w:val="20"/>
        </w:rPr>
        <w:t>There are two basic components in the Company's executive compensation program: (i) base salary and (ii) stock option awards.</w:t>
      </w:r>
    </w:p>
    <w:p w14:paraId="57FABFAB" w14:textId="77777777" w:rsidR="00236301" w:rsidRDefault="00084F74">
      <w:pPr>
        <w:pStyle w:val="NormalWeb"/>
        <w:divId w:val="1459840797"/>
      </w:pPr>
      <w:hyperlink w:anchor="toc" w:history="1">
        <w:r w:rsidR="00265296">
          <w:rPr>
            <w:rStyle w:val="Hyperlink"/>
            <w:b/>
            <w:bCs/>
            <w:sz w:val="20"/>
            <w:szCs w:val="20"/>
          </w:rPr>
          <w:t>Return to Table of Contents</w:t>
        </w:r>
      </w:hyperlink>
    </w:p>
    <w:p w14:paraId="4997F6F6" w14:textId="77777777" w:rsidR="00236301" w:rsidRDefault="00265296">
      <w:pPr>
        <w:pStyle w:val="auto-style1"/>
        <w:divId w:val="1459840797"/>
      </w:pPr>
      <w:r>
        <w:rPr>
          <w:b/>
          <w:bCs/>
          <w:sz w:val="20"/>
          <w:szCs w:val="20"/>
        </w:rPr>
        <w:t>17</w:t>
      </w:r>
    </w:p>
    <w:p w14:paraId="65EA0E29" w14:textId="77777777" w:rsidR="00236301" w:rsidRDefault="00084F74">
      <w:pPr>
        <w:jc w:val="center"/>
        <w:divId w:val="1459840797"/>
        <w:rPr>
          <w:rFonts w:eastAsia="Times New Roman"/>
          <w:sz w:val="20"/>
          <w:szCs w:val="20"/>
        </w:rPr>
      </w:pPr>
      <w:r>
        <w:rPr>
          <w:rFonts w:eastAsia="Times New Roman"/>
          <w:sz w:val="20"/>
          <w:szCs w:val="20"/>
        </w:rPr>
        <w:pict w14:anchorId="5F105CAC">
          <v:rect id="_x0000_i1045" style="width:.05pt;height:1pt" o:hralign="center" o:hrstd="t" o:hrnoshade="t" o:hr="t" fillcolor="blue" stroked="f"/>
        </w:pict>
      </w:r>
    </w:p>
    <w:p w14:paraId="5F2E3015" w14:textId="77777777" w:rsidR="00236301" w:rsidRDefault="00265296">
      <w:pPr>
        <w:pStyle w:val="NormalWeb"/>
        <w:divId w:val="1459840797"/>
      </w:pPr>
      <w:r>
        <w:rPr>
          <w:b/>
          <w:bCs/>
          <w:sz w:val="20"/>
          <w:szCs w:val="20"/>
        </w:rPr>
        <w:t>Base Salary</w:t>
      </w:r>
    </w:p>
    <w:p w14:paraId="09F772C5" w14:textId="77777777" w:rsidR="00236301" w:rsidRDefault="00265296">
      <w:pPr>
        <w:pStyle w:val="NormalWeb"/>
        <w:divId w:val="1459840797"/>
      </w:pPr>
      <w:r>
        <w:rPr>
          <w:sz w:val="20"/>
          <w:szCs w:val="20"/>
        </w:rPr>
        <w:t>Executive Officers' salaries are targeted at the median range for rates paid by competitors in comparably sized companies. The Company recognizes the need to attract and retain highly skilled and motivated executives through a competitive base salary program, while at the same time considering the overall performance of the Company and returns to stockholders.</w:t>
      </w:r>
    </w:p>
    <w:p w14:paraId="74FA9A93" w14:textId="77777777" w:rsidR="00236301" w:rsidRDefault="00265296">
      <w:pPr>
        <w:pStyle w:val="NormalWeb"/>
        <w:divId w:val="1459840797"/>
      </w:pPr>
      <w:r>
        <w:rPr>
          <w:b/>
          <w:bCs/>
          <w:sz w:val="20"/>
          <w:szCs w:val="20"/>
        </w:rPr>
        <w:t>Stock Option Awards</w:t>
      </w:r>
    </w:p>
    <w:p w14:paraId="4D08DD48" w14:textId="77777777" w:rsidR="00236301" w:rsidRDefault="00265296">
      <w:pPr>
        <w:pStyle w:val="NormalWeb"/>
        <w:divId w:val="1459840797"/>
      </w:pPr>
      <w:r>
        <w:rPr>
          <w:sz w:val="20"/>
          <w:szCs w:val="20"/>
        </w:rPr>
        <w:t>With respect to executive officers, stock options are generally granted on an annual basis, usually at the commencement of the new fiscal year. Generally, stock options vest ratably over a four-year period and the executive must be employed by the Company in order to vest the options. The Compensation Committee believes that the stock option grants provide an incentive that focuses the executives' attention on managing the Company from the perspective of an owner with an equity stake in the business. The option grants are issued at no less than 85% of the market price of the stock at the date of grant, hence there is incentive on the executive's part to enhance the value of the stock through the overall performance of the Company.</w:t>
      </w:r>
    </w:p>
    <w:p w14:paraId="681DF1F0" w14:textId="77777777" w:rsidR="00236301" w:rsidRDefault="00265296">
      <w:pPr>
        <w:pStyle w:val="NormalWeb"/>
        <w:divId w:val="1459840797"/>
      </w:pPr>
      <w:r>
        <w:rPr>
          <w:sz w:val="20"/>
          <w:szCs w:val="20"/>
        </w:rPr>
        <w:t>Compensation Pursuant to Plans</w:t>
      </w:r>
    </w:p>
    <w:p w14:paraId="5FD77BC5" w14:textId="77777777" w:rsidR="00236301" w:rsidRDefault="00265296">
      <w:pPr>
        <w:pStyle w:val="NormalWeb"/>
        <w:divId w:val="1459840797"/>
      </w:pPr>
      <w:r>
        <w:rPr>
          <w:sz w:val="20"/>
          <w:szCs w:val="20"/>
        </w:rPr>
        <w:t>The Company has three plans (the "Plans") under which its directors, executive officers and employees may receive compensation. The principal features of the 1981 Long-Term Incentive Plan (the "1981 Plan"), the 1988 Stock Option Plan (the "1988 Plan"), and the Non-Employee Director Plan (the "Director Plan") are described below. During the fiscal year ended June 30, 1994, the Company terminated its tax qualified cash or deferred profit-sharing plan (the "401(k) Plan"). During fiscal 2014, no executive officer received compensation pursuant to any of the Plans.</w:t>
      </w:r>
    </w:p>
    <w:p w14:paraId="68B430DF" w14:textId="77777777" w:rsidR="00236301" w:rsidRDefault="00265296">
      <w:pPr>
        <w:pStyle w:val="NormalWeb"/>
        <w:divId w:val="1459840797"/>
      </w:pPr>
      <w:r>
        <w:rPr>
          <w:sz w:val="20"/>
          <w:szCs w:val="20"/>
        </w:rPr>
        <w:t>The 1981 and 1988 Plans</w:t>
      </w:r>
    </w:p>
    <w:p w14:paraId="63C3C1F6" w14:textId="77777777" w:rsidR="00236301" w:rsidRDefault="00265296">
      <w:pPr>
        <w:pStyle w:val="NormalWeb"/>
        <w:divId w:val="1459840797"/>
      </w:pPr>
      <w:r>
        <w:rPr>
          <w:sz w:val="20"/>
          <w:szCs w:val="20"/>
        </w:rPr>
        <w:t>The purpose of the 1981 Plan and 1988 Plan (the "Option Plans") is to provide an incentive to eligible directors, consultants and employees whose present and potential contributions to the Company are or will be important to the success of the Company by affording them an opportunity to acquire a proprietary interest in the Company and to enable the Company to enlist and retain in its employ the best available talent for the successful conduct of its business.</w:t>
      </w:r>
    </w:p>
    <w:p w14:paraId="67F4EA3C" w14:textId="77777777" w:rsidR="00236301" w:rsidRDefault="00265296">
      <w:pPr>
        <w:pStyle w:val="NormalWeb"/>
        <w:divId w:val="1459840797"/>
      </w:pPr>
      <w:r>
        <w:rPr>
          <w:sz w:val="20"/>
          <w:szCs w:val="20"/>
        </w:rPr>
        <w:lastRenderedPageBreak/>
        <w:t>The 1981 Plan</w:t>
      </w:r>
    </w:p>
    <w:p w14:paraId="39CAE0E8" w14:textId="77777777" w:rsidR="00236301" w:rsidRDefault="00265296">
      <w:pPr>
        <w:pStyle w:val="NormalWeb"/>
        <w:divId w:val="1459840797"/>
      </w:pPr>
      <w:r>
        <w:rPr>
          <w:sz w:val="20"/>
          <w:szCs w:val="20"/>
        </w:rPr>
        <w:t>The 1981 Plan was adopted by the Board of Directors in May 1981 and approved by the Company's stockholders in March 1982. A total of 500,000 shares have been authorized for issuance under the 1981 Plan. With the adoption of the 1988 Plan, no additional awards may be made under the 1981 Plan. As a result, the shares remaining under the 1981 Plan are now available solely under the 1988 Plan. Prior to its termination, the 1981 Plan provided for the grant of the following five types of awards to employees (including officers and directors) of the Company and any subsidiaries: (a) incentive stock rights, (b) incentive stock options, (c) non-statutory stock options, (d) stock appreciation rights, and (e) restricted stock. The 1981 Plan is administered by the Compensation Committee of the Board of Directors.</w:t>
      </w:r>
    </w:p>
    <w:p w14:paraId="3722E758" w14:textId="77777777" w:rsidR="00236301" w:rsidRDefault="00265296">
      <w:pPr>
        <w:pStyle w:val="NormalWeb"/>
        <w:divId w:val="1459840797"/>
      </w:pPr>
      <w:r>
        <w:rPr>
          <w:sz w:val="20"/>
          <w:szCs w:val="20"/>
        </w:rPr>
        <w:t>The 1988 Plan</w:t>
      </w:r>
    </w:p>
    <w:p w14:paraId="5111E43F" w14:textId="77777777" w:rsidR="00236301" w:rsidRDefault="00265296">
      <w:pPr>
        <w:pStyle w:val="NormalWeb"/>
        <w:divId w:val="1459840797"/>
      </w:pPr>
      <w:r>
        <w:rPr>
          <w:sz w:val="20"/>
          <w:szCs w:val="20"/>
        </w:rPr>
        <w:t>The 1988 Plan provides for the grant of options to purchase Common Stock to employees (including officers) and consultants of the Company and any parent or subsidiary corporation. The aggregate number of shares which remained available for issuance under the 1981 plan as of the effective date of the 1988 Plan plus an additional 500,000 shares of Common Stock.</w:t>
      </w:r>
    </w:p>
    <w:p w14:paraId="366E3774" w14:textId="77777777" w:rsidR="00236301" w:rsidRDefault="00265296">
      <w:pPr>
        <w:pStyle w:val="NormalWeb"/>
        <w:divId w:val="1459840797"/>
      </w:pPr>
      <w:r>
        <w:rPr>
          <w:sz w:val="20"/>
          <w:szCs w:val="20"/>
        </w:rPr>
        <w:t>Options granted under the 1988 Plan may either be immediately exercisable for the full number of shares purchasable thereunder or may become exercisable in cumulative increments over a period of months or years as determined by the Compensation Committee. The exercise price of options granted under the 1988 Plan may not be less than 85% of the fair market value of the Common Stock on the date of the grant and the maximum period during which any option may be paid in cash, in shares if the Company's Common Stock or through a broker-dealer same-day sale program involving a cash-less exercise of the option. One or more optionees may also be allowed to finance their option exercises through Company loans, subject to the approval of the Compensation Committee.</w:t>
      </w:r>
    </w:p>
    <w:p w14:paraId="3D522C91" w14:textId="77777777" w:rsidR="00236301" w:rsidRDefault="00084F74">
      <w:pPr>
        <w:pStyle w:val="NormalWeb"/>
        <w:divId w:val="1945306812"/>
      </w:pPr>
      <w:hyperlink w:anchor="toc" w:history="1">
        <w:r w:rsidR="00265296">
          <w:rPr>
            <w:rStyle w:val="Hyperlink"/>
            <w:b/>
            <w:bCs/>
            <w:sz w:val="20"/>
            <w:szCs w:val="20"/>
          </w:rPr>
          <w:t>Return to Table of Contents</w:t>
        </w:r>
      </w:hyperlink>
    </w:p>
    <w:p w14:paraId="14847ED6" w14:textId="77777777" w:rsidR="00236301" w:rsidRDefault="00265296">
      <w:pPr>
        <w:pStyle w:val="auto-style1"/>
        <w:divId w:val="1945306812"/>
      </w:pPr>
      <w:r>
        <w:rPr>
          <w:b/>
          <w:bCs/>
          <w:sz w:val="20"/>
          <w:szCs w:val="20"/>
        </w:rPr>
        <w:t>18</w:t>
      </w:r>
    </w:p>
    <w:p w14:paraId="3A028826" w14:textId="77777777" w:rsidR="00236301" w:rsidRDefault="00084F74">
      <w:pPr>
        <w:divId w:val="1459840797"/>
        <w:rPr>
          <w:rFonts w:eastAsia="Times New Roman"/>
          <w:sz w:val="20"/>
          <w:szCs w:val="20"/>
        </w:rPr>
      </w:pPr>
      <w:r>
        <w:rPr>
          <w:rFonts w:eastAsia="Times New Roman"/>
          <w:sz w:val="20"/>
          <w:szCs w:val="20"/>
        </w:rPr>
        <w:pict w14:anchorId="11C017A4">
          <v:rect id="_x0000_i1046" style="width:.05pt;height:1pt" o:hralign="center" o:hrstd="t" o:hrnoshade="t" o:hr="t" fillcolor="blue" stroked="f"/>
        </w:pict>
      </w:r>
    </w:p>
    <w:p w14:paraId="0E2DDA52" w14:textId="77777777" w:rsidR="00236301" w:rsidRDefault="00265296">
      <w:pPr>
        <w:pStyle w:val="NormalWeb"/>
        <w:divId w:val="1406994468"/>
      </w:pPr>
      <w:r>
        <w:rPr>
          <w:sz w:val="20"/>
          <w:szCs w:val="20"/>
        </w:rPr>
        <w:t>Issuable Shares</w:t>
      </w:r>
    </w:p>
    <w:p w14:paraId="101D3E54" w14:textId="77777777" w:rsidR="00236301" w:rsidRDefault="00265296">
      <w:pPr>
        <w:pStyle w:val="NormalWeb"/>
        <w:divId w:val="1459840797"/>
      </w:pPr>
      <w:r>
        <w:rPr>
          <w:sz w:val="20"/>
          <w:szCs w:val="20"/>
        </w:rPr>
        <w:t xml:space="preserve">As of September 20, 1995, approximately 374,000 shares of Common Stock had been issued upon the exercise of options granted under the Option Plans, no shares of Common Stock were subject to outstanding options under the Options Plans and 626,000 shares of Common Stock were available for issuance under future option grants. From July 1, 1991 to September 20, 1995, options were granted at exercise prices ranging from $1.22 to $8.15 per share. The exercise price of each option was equal to 85% of the closing bid price of Company's Common Stock as reported on the NASDAQ </w:t>
      </w:r>
      <w:proofErr w:type="gramStart"/>
      <w:r>
        <w:rPr>
          <w:sz w:val="20"/>
          <w:szCs w:val="20"/>
        </w:rPr>
        <w:t>Over</w:t>
      </w:r>
      <w:proofErr w:type="gramEnd"/>
      <w:r>
        <w:rPr>
          <w:sz w:val="20"/>
          <w:szCs w:val="20"/>
        </w:rPr>
        <w:t xml:space="preserve"> the Counter Bulletin Board Exchange. Due to employee terminations, all options became void in August 1995. As of September 30, 2001, 1,000,000 shares of Common Stock were available for issuance under future option grants and were still available at June 30, 2016.</w:t>
      </w:r>
    </w:p>
    <w:p w14:paraId="4CECDB61" w14:textId="77777777" w:rsidR="00236301" w:rsidRDefault="00265296">
      <w:pPr>
        <w:pStyle w:val="NormalWeb"/>
        <w:divId w:val="254442079"/>
      </w:pPr>
      <w:r>
        <w:rPr>
          <w:b/>
          <w:bCs/>
          <w:sz w:val="20"/>
          <w:szCs w:val="20"/>
        </w:rPr>
        <w:t>Board of Directors Compensation</w:t>
      </w:r>
    </w:p>
    <w:p w14:paraId="35A9014A" w14:textId="77777777" w:rsidR="00236301" w:rsidRDefault="00265296">
      <w:pPr>
        <w:pStyle w:val="NormalWeb"/>
        <w:divId w:val="254442079"/>
      </w:pPr>
      <w:r>
        <w:rPr>
          <w:sz w:val="20"/>
          <w:szCs w:val="20"/>
        </w:rPr>
        <w:lastRenderedPageBreak/>
        <w:t>As of June 30, 2016 the directors did not receive any compensation for serving as members of the Board.</w:t>
      </w:r>
    </w:p>
    <w:p w14:paraId="2FA340B0" w14:textId="77777777" w:rsidR="00236301" w:rsidRDefault="00265296">
      <w:pPr>
        <w:pStyle w:val="NormalWeb"/>
        <w:divId w:val="254442079"/>
      </w:pPr>
      <w:r>
        <w:rPr>
          <w:sz w:val="20"/>
          <w:szCs w:val="20"/>
        </w:rPr>
        <w:t>In addition to any cash compensation, non-employee directors also are eligible to participate in the Non-Employee Director Stock Option Plan and to receive automatic option grants thereunder. The Director Plan provides for periodic automatic option grants to non-employee members of the Board. An individual who is first elected or appointed as a non-employee Board member receives an annual automatic grant of 25,000 shares plus the first annual grant of 5,000 shares, and will be eligible for subsequent 5,000 share grants at the second Annual Meeting following the date of his initial election or appointment as a non-employee Board member.</w:t>
      </w:r>
    </w:p>
    <w:p w14:paraId="24F55A62" w14:textId="77777777" w:rsidR="00236301" w:rsidRDefault="00265296">
      <w:pPr>
        <w:pStyle w:val="NormalWeb"/>
        <w:divId w:val="254442079"/>
      </w:pPr>
      <w:r>
        <w:rPr>
          <w:sz w:val="20"/>
          <w:szCs w:val="20"/>
        </w:rPr>
        <w:t>During the fiscal year ended June 30, 2016, no options were granted to non-employee Board members.</w:t>
      </w:r>
    </w:p>
    <w:p w14:paraId="73992F26" w14:textId="77777777" w:rsidR="00236301" w:rsidRDefault="00265296">
      <w:pPr>
        <w:pStyle w:val="NormalWeb"/>
        <w:divId w:val="254442079"/>
      </w:pPr>
      <w:bookmarkStart w:id="18" w:name="#item12"/>
      <w:bookmarkEnd w:id="18"/>
      <w:r>
        <w:rPr>
          <w:b/>
          <w:bCs/>
          <w:i/>
          <w:iCs/>
        </w:rPr>
        <w:t>ITEM 12. SECURITY OWNERSHIP OF CERTAIN BENEFICIAL OWNERS AND MANAGEMENT AND RELATED STOCKHOLDER MATTERS</w:t>
      </w:r>
    </w:p>
    <w:p w14:paraId="56B2C4EE" w14:textId="77777777" w:rsidR="00236301" w:rsidRDefault="00265296">
      <w:pPr>
        <w:pStyle w:val="NormalWeb"/>
        <w:divId w:val="254442079"/>
      </w:pPr>
      <w:r>
        <w:rPr>
          <w:sz w:val="20"/>
          <w:szCs w:val="20"/>
        </w:rPr>
        <w:t>The following table sets forth certain information regarding the beneficial ownership of the Company's Common Stock as of June 30, 2016, by (i) all those known by the Company to be beneficial owners of more than 5% of its Common Stock; (ii) all directors; and (iii) all officers and directors of the Company as a group.</w:t>
      </w:r>
    </w:p>
    <w:tbl>
      <w:tblPr>
        <w:tblW w:w="4500" w:type="pct"/>
        <w:tblCellSpacing w:w="0" w:type="dxa"/>
        <w:tblCellMar>
          <w:left w:w="0" w:type="dxa"/>
          <w:right w:w="0" w:type="dxa"/>
        </w:tblCellMar>
        <w:tblLook w:val="04A0" w:firstRow="1" w:lastRow="0" w:firstColumn="1" w:lastColumn="0" w:noHBand="0" w:noVBand="1"/>
      </w:tblPr>
      <w:tblGrid>
        <w:gridCol w:w="5949"/>
        <w:gridCol w:w="2566"/>
        <w:gridCol w:w="3149"/>
      </w:tblGrid>
      <w:tr w:rsidR="00236301" w14:paraId="26C2BC72" w14:textId="77777777">
        <w:trPr>
          <w:divId w:val="254442079"/>
          <w:tblCellSpacing w:w="0" w:type="dxa"/>
        </w:trPr>
        <w:tc>
          <w:tcPr>
            <w:tcW w:w="2550" w:type="pct"/>
            <w:shd w:val="clear" w:color="auto" w:fill="CCEEFF"/>
            <w:hideMark/>
          </w:tcPr>
          <w:p w14:paraId="2339CFAE" w14:textId="77777777" w:rsidR="00236301" w:rsidRDefault="00265296">
            <w:pPr>
              <w:pStyle w:val="NormalWeb"/>
            </w:pPr>
            <w:r>
              <w:rPr>
                <w:b/>
                <w:bCs/>
                <w:sz w:val="20"/>
                <w:szCs w:val="20"/>
              </w:rPr>
              <w:t>Name and Address of Beneficial Owner</w:t>
            </w:r>
          </w:p>
        </w:tc>
        <w:tc>
          <w:tcPr>
            <w:tcW w:w="1100" w:type="pct"/>
            <w:shd w:val="clear" w:color="auto" w:fill="CCEEFF"/>
            <w:hideMark/>
          </w:tcPr>
          <w:p w14:paraId="7BE10B4B" w14:textId="77777777" w:rsidR="00236301" w:rsidRDefault="00265296">
            <w:pPr>
              <w:pStyle w:val="NormalWeb"/>
              <w:jc w:val="center"/>
            </w:pPr>
            <w:r>
              <w:rPr>
                <w:b/>
                <w:bCs/>
                <w:sz w:val="20"/>
                <w:szCs w:val="20"/>
              </w:rPr>
              <w:t>No. Shares fully diluted</w:t>
            </w:r>
          </w:p>
        </w:tc>
        <w:tc>
          <w:tcPr>
            <w:tcW w:w="1350" w:type="pct"/>
            <w:shd w:val="clear" w:color="auto" w:fill="CCEEFF"/>
            <w:hideMark/>
          </w:tcPr>
          <w:p w14:paraId="037B2839" w14:textId="77777777" w:rsidR="00236301" w:rsidRDefault="00265296">
            <w:pPr>
              <w:pStyle w:val="NormalWeb"/>
              <w:jc w:val="right"/>
            </w:pPr>
            <w:r>
              <w:rPr>
                <w:b/>
                <w:bCs/>
                <w:sz w:val="20"/>
                <w:szCs w:val="20"/>
              </w:rPr>
              <w:t>Percent ownership</w:t>
            </w:r>
          </w:p>
        </w:tc>
      </w:tr>
      <w:tr w:rsidR="00236301" w14:paraId="0AC7A61A" w14:textId="77777777">
        <w:trPr>
          <w:divId w:val="254442079"/>
          <w:tblCellSpacing w:w="0" w:type="dxa"/>
        </w:trPr>
        <w:tc>
          <w:tcPr>
            <w:tcW w:w="2550" w:type="pct"/>
            <w:shd w:val="clear" w:color="auto" w:fill="FFFFFF"/>
            <w:hideMark/>
          </w:tcPr>
          <w:p w14:paraId="17C41B90" w14:textId="77777777" w:rsidR="00236301" w:rsidRDefault="00265296">
            <w:pPr>
              <w:pStyle w:val="NormalWeb"/>
            </w:pPr>
            <w:r>
              <w:rPr>
                <w:sz w:val="20"/>
                <w:szCs w:val="20"/>
              </w:rPr>
              <w:t>Hennistone Projects Ltd.2 Eastglade Northwood Middlessex, HA6 3LD UK</w:t>
            </w:r>
          </w:p>
        </w:tc>
        <w:tc>
          <w:tcPr>
            <w:tcW w:w="1100" w:type="pct"/>
            <w:shd w:val="clear" w:color="auto" w:fill="FFFFFF"/>
            <w:vAlign w:val="bottom"/>
            <w:hideMark/>
          </w:tcPr>
          <w:p w14:paraId="596214FD" w14:textId="77777777" w:rsidR="00236301" w:rsidRDefault="00265296">
            <w:pPr>
              <w:pStyle w:val="NormalWeb"/>
              <w:jc w:val="right"/>
            </w:pPr>
            <w:r>
              <w:rPr>
                <w:sz w:val="20"/>
                <w:szCs w:val="20"/>
              </w:rPr>
              <w:t>588,000</w:t>
            </w:r>
          </w:p>
        </w:tc>
        <w:tc>
          <w:tcPr>
            <w:tcW w:w="1350" w:type="pct"/>
            <w:shd w:val="clear" w:color="auto" w:fill="FFFFFF"/>
            <w:vAlign w:val="bottom"/>
            <w:hideMark/>
          </w:tcPr>
          <w:p w14:paraId="22CC1829" w14:textId="77777777" w:rsidR="00236301" w:rsidRDefault="00265296">
            <w:pPr>
              <w:pStyle w:val="NormalWeb"/>
              <w:jc w:val="right"/>
            </w:pPr>
            <w:r>
              <w:rPr>
                <w:sz w:val="20"/>
                <w:szCs w:val="20"/>
              </w:rPr>
              <w:t>25.65%</w:t>
            </w:r>
          </w:p>
        </w:tc>
      </w:tr>
      <w:tr w:rsidR="00236301" w14:paraId="5DEB5E43" w14:textId="77777777">
        <w:trPr>
          <w:divId w:val="254442079"/>
          <w:tblCellSpacing w:w="0" w:type="dxa"/>
        </w:trPr>
        <w:tc>
          <w:tcPr>
            <w:tcW w:w="2550" w:type="pct"/>
            <w:shd w:val="clear" w:color="auto" w:fill="CCEEFF"/>
            <w:hideMark/>
          </w:tcPr>
          <w:p w14:paraId="283BF8AE" w14:textId="77777777" w:rsidR="00236301" w:rsidRDefault="00265296">
            <w:pPr>
              <w:pStyle w:val="NormalWeb"/>
            </w:pPr>
            <w:r>
              <w:rPr>
                <w:sz w:val="20"/>
                <w:szCs w:val="20"/>
              </w:rPr>
              <w:t>Crossland, ltd. 104B Saffrey Square, Nassau, Bahamas</w:t>
            </w:r>
          </w:p>
        </w:tc>
        <w:tc>
          <w:tcPr>
            <w:tcW w:w="1100" w:type="pct"/>
            <w:shd w:val="clear" w:color="auto" w:fill="CCEEFF"/>
            <w:vAlign w:val="bottom"/>
            <w:hideMark/>
          </w:tcPr>
          <w:p w14:paraId="1FBFFEC2" w14:textId="77777777" w:rsidR="00236301" w:rsidRDefault="00265296">
            <w:pPr>
              <w:pStyle w:val="NormalWeb"/>
              <w:jc w:val="right"/>
            </w:pPr>
            <w:r>
              <w:rPr>
                <w:sz w:val="20"/>
                <w:szCs w:val="20"/>
              </w:rPr>
              <w:t>296,876</w:t>
            </w:r>
          </w:p>
        </w:tc>
        <w:tc>
          <w:tcPr>
            <w:tcW w:w="1350" w:type="pct"/>
            <w:shd w:val="clear" w:color="auto" w:fill="CCEEFF"/>
            <w:vAlign w:val="bottom"/>
            <w:hideMark/>
          </w:tcPr>
          <w:p w14:paraId="239D2043" w14:textId="77777777" w:rsidR="00236301" w:rsidRDefault="00265296">
            <w:pPr>
              <w:pStyle w:val="NormalWeb"/>
              <w:jc w:val="right"/>
            </w:pPr>
            <w:r>
              <w:rPr>
                <w:sz w:val="20"/>
                <w:szCs w:val="20"/>
              </w:rPr>
              <w:t>12.94%</w:t>
            </w:r>
          </w:p>
        </w:tc>
      </w:tr>
      <w:tr w:rsidR="00236301" w14:paraId="62A0098A" w14:textId="77777777">
        <w:trPr>
          <w:divId w:val="254442079"/>
          <w:tblCellSpacing w:w="0" w:type="dxa"/>
        </w:trPr>
        <w:tc>
          <w:tcPr>
            <w:tcW w:w="2550" w:type="pct"/>
            <w:shd w:val="clear" w:color="auto" w:fill="FFFFFF"/>
            <w:hideMark/>
          </w:tcPr>
          <w:p w14:paraId="298C2BD3" w14:textId="77777777" w:rsidR="00236301" w:rsidRDefault="00265296">
            <w:pPr>
              <w:pStyle w:val="NormalWeb"/>
            </w:pPr>
            <w:r>
              <w:rPr>
                <w:sz w:val="20"/>
                <w:szCs w:val="20"/>
              </w:rPr>
              <w:t>Crossland Ltd. Belize, 60 Market Square, PO Box 364, Belize City, Belize, Central America</w:t>
            </w:r>
          </w:p>
        </w:tc>
        <w:tc>
          <w:tcPr>
            <w:tcW w:w="1100" w:type="pct"/>
            <w:shd w:val="clear" w:color="auto" w:fill="FFFFFF"/>
            <w:vAlign w:val="bottom"/>
            <w:hideMark/>
          </w:tcPr>
          <w:p w14:paraId="0179FE52" w14:textId="77777777" w:rsidR="00236301" w:rsidRDefault="00265296">
            <w:pPr>
              <w:pStyle w:val="NormalWeb"/>
              <w:jc w:val="right"/>
            </w:pPr>
            <w:r>
              <w:rPr>
                <w:sz w:val="20"/>
                <w:szCs w:val="20"/>
              </w:rPr>
              <w:t>306,626</w:t>
            </w:r>
          </w:p>
        </w:tc>
        <w:tc>
          <w:tcPr>
            <w:tcW w:w="1350" w:type="pct"/>
            <w:shd w:val="clear" w:color="auto" w:fill="FFFFFF"/>
            <w:vAlign w:val="bottom"/>
            <w:hideMark/>
          </w:tcPr>
          <w:p w14:paraId="401E39E6" w14:textId="77777777" w:rsidR="00236301" w:rsidRDefault="00265296">
            <w:pPr>
              <w:pStyle w:val="NormalWeb"/>
              <w:jc w:val="right"/>
            </w:pPr>
            <w:r>
              <w:rPr>
                <w:sz w:val="20"/>
                <w:szCs w:val="20"/>
              </w:rPr>
              <w:t>13.77%</w:t>
            </w:r>
          </w:p>
        </w:tc>
      </w:tr>
      <w:tr w:rsidR="00236301" w14:paraId="0DAB6EAE" w14:textId="77777777">
        <w:trPr>
          <w:divId w:val="254442079"/>
          <w:tblCellSpacing w:w="0" w:type="dxa"/>
        </w:trPr>
        <w:tc>
          <w:tcPr>
            <w:tcW w:w="2550" w:type="pct"/>
            <w:shd w:val="clear" w:color="auto" w:fill="CCEEFF"/>
            <w:hideMark/>
          </w:tcPr>
          <w:p w14:paraId="309AE866" w14:textId="77777777" w:rsidR="00236301" w:rsidRDefault="00265296">
            <w:pPr>
              <w:pStyle w:val="NormalWeb"/>
            </w:pPr>
            <w:r>
              <w:rPr>
                <w:sz w:val="20"/>
                <w:szCs w:val="20"/>
              </w:rPr>
              <w:t>Eastern Star, Ltd, Bay Street Nassau Bahamas</w:t>
            </w:r>
          </w:p>
        </w:tc>
        <w:tc>
          <w:tcPr>
            <w:tcW w:w="1100" w:type="pct"/>
            <w:shd w:val="clear" w:color="auto" w:fill="CCEEFF"/>
            <w:vAlign w:val="bottom"/>
            <w:hideMark/>
          </w:tcPr>
          <w:p w14:paraId="41D24ECC" w14:textId="77777777" w:rsidR="00236301" w:rsidRDefault="00265296">
            <w:pPr>
              <w:pStyle w:val="NormalWeb"/>
              <w:jc w:val="right"/>
            </w:pPr>
            <w:r>
              <w:rPr>
                <w:sz w:val="20"/>
                <w:szCs w:val="20"/>
              </w:rPr>
              <w:t>135,600</w:t>
            </w:r>
          </w:p>
        </w:tc>
        <w:tc>
          <w:tcPr>
            <w:tcW w:w="1350" w:type="pct"/>
            <w:shd w:val="clear" w:color="auto" w:fill="CCEEFF"/>
            <w:vAlign w:val="bottom"/>
            <w:hideMark/>
          </w:tcPr>
          <w:p w14:paraId="3C25B55C" w14:textId="77777777" w:rsidR="00236301" w:rsidRDefault="00265296">
            <w:pPr>
              <w:pStyle w:val="NormalWeb"/>
              <w:jc w:val="right"/>
            </w:pPr>
            <w:r>
              <w:rPr>
                <w:sz w:val="20"/>
                <w:szCs w:val="20"/>
              </w:rPr>
              <w:t>5.91%</w:t>
            </w:r>
          </w:p>
        </w:tc>
      </w:tr>
      <w:tr w:rsidR="00236301" w14:paraId="49CD0EB0" w14:textId="77777777">
        <w:trPr>
          <w:divId w:val="254442079"/>
          <w:tblCellSpacing w:w="0" w:type="dxa"/>
        </w:trPr>
        <w:tc>
          <w:tcPr>
            <w:tcW w:w="2550" w:type="pct"/>
            <w:shd w:val="clear" w:color="auto" w:fill="FFFFFF"/>
            <w:hideMark/>
          </w:tcPr>
          <w:p w14:paraId="04C1BE0A" w14:textId="77777777" w:rsidR="00236301" w:rsidRDefault="00265296">
            <w:pPr>
              <w:pStyle w:val="NormalWeb"/>
            </w:pPr>
            <w:r>
              <w:rPr>
                <w:sz w:val="20"/>
                <w:szCs w:val="20"/>
              </w:rPr>
              <w:t>Robert E. Wolfe, New York, NY</w:t>
            </w:r>
          </w:p>
        </w:tc>
        <w:tc>
          <w:tcPr>
            <w:tcW w:w="1100" w:type="pct"/>
            <w:shd w:val="clear" w:color="auto" w:fill="FFFFFF"/>
            <w:vAlign w:val="bottom"/>
            <w:hideMark/>
          </w:tcPr>
          <w:p w14:paraId="17A43B49" w14:textId="77777777" w:rsidR="00236301" w:rsidRDefault="00265296">
            <w:pPr>
              <w:pStyle w:val="NormalWeb"/>
              <w:jc w:val="right"/>
            </w:pPr>
            <w:r>
              <w:rPr>
                <w:sz w:val="20"/>
                <w:szCs w:val="20"/>
              </w:rPr>
              <w:t>4,500</w:t>
            </w:r>
          </w:p>
        </w:tc>
        <w:tc>
          <w:tcPr>
            <w:tcW w:w="1350" w:type="pct"/>
            <w:shd w:val="clear" w:color="auto" w:fill="FFFFFF"/>
            <w:vAlign w:val="bottom"/>
            <w:hideMark/>
          </w:tcPr>
          <w:p w14:paraId="12831519" w14:textId="77777777" w:rsidR="00236301" w:rsidRDefault="00265296">
            <w:pPr>
              <w:pStyle w:val="NormalWeb"/>
              <w:jc w:val="right"/>
            </w:pPr>
            <w:r>
              <w:rPr>
                <w:sz w:val="20"/>
                <w:szCs w:val="20"/>
              </w:rPr>
              <w:t>0.196%</w:t>
            </w:r>
          </w:p>
        </w:tc>
      </w:tr>
      <w:tr w:rsidR="00236301" w14:paraId="56292075" w14:textId="77777777">
        <w:trPr>
          <w:divId w:val="254442079"/>
          <w:tblCellSpacing w:w="0" w:type="dxa"/>
        </w:trPr>
        <w:tc>
          <w:tcPr>
            <w:tcW w:w="2550" w:type="pct"/>
            <w:shd w:val="clear" w:color="auto" w:fill="CCEEFF"/>
            <w:hideMark/>
          </w:tcPr>
          <w:p w14:paraId="5AB94F07" w14:textId="77777777" w:rsidR="00236301" w:rsidRDefault="00265296">
            <w:pPr>
              <w:pStyle w:val="NormalWeb"/>
            </w:pPr>
            <w:r>
              <w:rPr>
                <w:sz w:val="20"/>
                <w:szCs w:val="20"/>
              </w:rPr>
              <w:t>Lawrence Donofrio, San Diego CA</w:t>
            </w:r>
          </w:p>
        </w:tc>
        <w:tc>
          <w:tcPr>
            <w:tcW w:w="1100" w:type="pct"/>
            <w:shd w:val="clear" w:color="auto" w:fill="CCEEFF"/>
            <w:vAlign w:val="bottom"/>
            <w:hideMark/>
          </w:tcPr>
          <w:p w14:paraId="12199843" w14:textId="77777777" w:rsidR="00236301" w:rsidRDefault="00265296">
            <w:pPr>
              <w:pStyle w:val="NormalWeb"/>
              <w:jc w:val="right"/>
            </w:pPr>
            <w:r>
              <w:rPr>
                <w:sz w:val="20"/>
                <w:szCs w:val="20"/>
              </w:rPr>
              <w:t>0</w:t>
            </w:r>
          </w:p>
        </w:tc>
        <w:tc>
          <w:tcPr>
            <w:tcW w:w="1350" w:type="pct"/>
            <w:shd w:val="clear" w:color="auto" w:fill="CCEEFF"/>
            <w:vAlign w:val="bottom"/>
            <w:hideMark/>
          </w:tcPr>
          <w:p w14:paraId="7AF2F836" w14:textId="77777777" w:rsidR="00236301" w:rsidRDefault="00265296">
            <w:pPr>
              <w:pStyle w:val="NormalWeb"/>
              <w:jc w:val="right"/>
            </w:pPr>
            <w:r>
              <w:rPr>
                <w:sz w:val="20"/>
                <w:szCs w:val="20"/>
              </w:rPr>
              <w:t>0.00%</w:t>
            </w:r>
          </w:p>
        </w:tc>
      </w:tr>
    </w:tbl>
    <w:p w14:paraId="02CF17A0" w14:textId="77777777" w:rsidR="00236301" w:rsidRDefault="00265296">
      <w:pPr>
        <w:pStyle w:val="NormalWeb"/>
        <w:divId w:val="254442079"/>
      </w:pPr>
      <w:r>
        <w:t> </w:t>
      </w:r>
    </w:p>
    <w:p w14:paraId="5DCA16E9" w14:textId="77777777" w:rsidR="00236301" w:rsidRDefault="00265296">
      <w:pPr>
        <w:pStyle w:val="NormalWeb"/>
        <w:divId w:val="254442079"/>
      </w:pPr>
      <w:bookmarkStart w:id="19" w:name="#item13"/>
      <w:bookmarkEnd w:id="19"/>
      <w:r>
        <w:rPr>
          <w:b/>
          <w:bCs/>
          <w:i/>
          <w:iCs/>
        </w:rPr>
        <w:t>ITEM 13. CERTAIN RELATIONSHIPS AND RELATED TRANSACTIONS AND DIRECTOR INDEPENDENCE</w:t>
      </w:r>
    </w:p>
    <w:p w14:paraId="2CDDD4EB" w14:textId="77777777" w:rsidR="00236301" w:rsidRDefault="00265296">
      <w:pPr>
        <w:pStyle w:val="NormalWeb"/>
        <w:divId w:val="254442079"/>
      </w:pPr>
      <w:r>
        <w:rPr>
          <w:sz w:val="20"/>
          <w:szCs w:val="20"/>
        </w:rPr>
        <w:t>The Company's transactions with its officers, directors and affiliates have been and such future transactions will be, on terms no less favorable to the Company than could have been realized by the Company in arms-length transactions with non-affiliated persons and will be approved by a majority of the independent disinterested directors.</w:t>
      </w:r>
    </w:p>
    <w:p w14:paraId="553E17E8" w14:textId="77777777" w:rsidR="00236301" w:rsidRDefault="00265296">
      <w:pPr>
        <w:pStyle w:val="NormalWeb"/>
        <w:divId w:val="254442079"/>
      </w:pPr>
      <w:r>
        <w:rPr>
          <w:sz w:val="20"/>
          <w:szCs w:val="20"/>
        </w:rPr>
        <w:t>On February 3, 2006 the Company purchased 100.00% of the stock of Anton Nielsen Vojens ApS ("ANV"), a Danish company from Borkwood Development Ltd</w:t>
      </w:r>
      <w:proofErr w:type="gramStart"/>
      <w:r>
        <w:rPr>
          <w:sz w:val="20"/>
          <w:szCs w:val="20"/>
        </w:rPr>
        <w:t>. ,</w:t>
      </w:r>
      <w:proofErr w:type="gramEnd"/>
      <w:r>
        <w:rPr>
          <w:sz w:val="20"/>
          <w:szCs w:val="20"/>
        </w:rPr>
        <w:t xml:space="preserve"> a prior shareholder of AOXY. At the time of the transaction, a director of Borkwood Development, Ltd., Aage Madsen was also a director of Anton </w:t>
      </w:r>
      <w:r>
        <w:rPr>
          <w:sz w:val="20"/>
          <w:szCs w:val="20"/>
        </w:rPr>
        <w:lastRenderedPageBreak/>
        <w:t>Nielsen Vojens ApS. As of May 25, 2007, Mr. Madsen is not a director, owner, beneficiary or affiliate of the Company or its wholly owned subsidiary Anton Nielsen Vojens, ApS.</w:t>
      </w:r>
    </w:p>
    <w:p w14:paraId="4A2805A2" w14:textId="77777777" w:rsidR="00236301" w:rsidRDefault="00265296">
      <w:pPr>
        <w:pStyle w:val="NormalWeb"/>
        <w:divId w:val="254442079"/>
      </w:pPr>
      <w:r>
        <w:rPr>
          <w:b/>
          <w:bCs/>
          <w:sz w:val="20"/>
          <w:szCs w:val="20"/>
        </w:rPr>
        <w:t>Director Independence</w:t>
      </w:r>
    </w:p>
    <w:p w14:paraId="7C6CF655" w14:textId="77777777" w:rsidR="00236301" w:rsidRDefault="00265296">
      <w:pPr>
        <w:pStyle w:val="NormalWeb"/>
        <w:divId w:val="254442079"/>
      </w:pPr>
      <w:r>
        <w:rPr>
          <w:sz w:val="20"/>
          <w:szCs w:val="20"/>
        </w:rPr>
        <w:t>During the year ended June 30, 2016, Robert Wolfe and Lawrence Donofrio served as our directors and only Mr. Donofrio is an independent director as he has no ownership, employment, or business interaction with the Company. We are currently traded on the Over-the-Counter Bulletin Board system and specifically the OTCQB. The OTCQB does not require that a majority of the Board be independent.</w:t>
      </w:r>
    </w:p>
    <w:p w14:paraId="7B331CF3" w14:textId="77777777" w:rsidR="00236301" w:rsidRDefault="00084F74">
      <w:pPr>
        <w:pStyle w:val="NormalWeb"/>
        <w:divId w:val="254442079"/>
      </w:pPr>
      <w:hyperlink w:anchor="toc" w:history="1">
        <w:r w:rsidR="00265296">
          <w:rPr>
            <w:rStyle w:val="Hyperlink"/>
            <w:b/>
            <w:bCs/>
            <w:sz w:val="20"/>
            <w:szCs w:val="20"/>
          </w:rPr>
          <w:t>Return to Table of Contents</w:t>
        </w:r>
      </w:hyperlink>
    </w:p>
    <w:p w14:paraId="72EAA311" w14:textId="77777777" w:rsidR="00236301" w:rsidRDefault="00265296">
      <w:pPr>
        <w:pStyle w:val="NormalWeb"/>
        <w:divId w:val="254442079"/>
      </w:pPr>
      <w:r>
        <w:rPr>
          <w:b/>
          <w:bCs/>
          <w:sz w:val="20"/>
          <w:szCs w:val="20"/>
        </w:rPr>
        <w:t>19</w:t>
      </w:r>
    </w:p>
    <w:p w14:paraId="2E7EA8B4" w14:textId="77777777" w:rsidR="00236301" w:rsidRDefault="00084F74">
      <w:pPr>
        <w:jc w:val="center"/>
        <w:divId w:val="254442079"/>
        <w:rPr>
          <w:rFonts w:eastAsia="Times New Roman"/>
          <w:sz w:val="20"/>
          <w:szCs w:val="20"/>
        </w:rPr>
      </w:pPr>
      <w:r>
        <w:rPr>
          <w:rFonts w:eastAsia="Times New Roman"/>
          <w:sz w:val="20"/>
          <w:szCs w:val="20"/>
        </w:rPr>
        <w:pict w14:anchorId="1157AA4D">
          <v:rect id="_x0000_i1047" style="width:.05pt;height:1pt" o:hralign="center" o:hrstd="t" o:hrnoshade="t" o:hr="t" fillcolor="blue" stroked="f"/>
        </w:pict>
      </w:r>
    </w:p>
    <w:p w14:paraId="4C1AE006" w14:textId="77777777" w:rsidR="00236301" w:rsidRDefault="00265296">
      <w:pPr>
        <w:pStyle w:val="NormalWeb"/>
        <w:divId w:val="254442079"/>
      </w:pPr>
      <w:r>
        <w:rPr>
          <w:b/>
          <w:bCs/>
          <w:i/>
          <w:iCs/>
        </w:rPr>
        <w:t>ITEM 14.   PRINCIPAL ACCOUNTANT FEES AND SERVICES</w:t>
      </w:r>
    </w:p>
    <w:p w14:paraId="3E112FD4" w14:textId="16E9B7A9" w:rsidR="00236301" w:rsidRDefault="00265296">
      <w:pPr>
        <w:pStyle w:val="NormalWeb"/>
        <w:divId w:val="254442079"/>
        <w:rPr>
          <w:sz w:val="20"/>
          <w:szCs w:val="20"/>
        </w:rPr>
      </w:pPr>
      <w:r>
        <w:rPr>
          <w:sz w:val="20"/>
          <w:szCs w:val="20"/>
        </w:rPr>
        <w:t xml:space="preserve">The Company's auditors for the period ending June 30, 2016 was Sadler Gibb &amp; Associates, LLC, 22455 East Parleys Way, Suite 320, Salt Lake City, UT 84109, </w:t>
      </w:r>
      <w:proofErr w:type="spellStart"/>
      <w:r>
        <w:rPr>
          <w:sz w:val="20"/>
          <w:szCs w:val="20"/>
        </w:rPr>
        <w:t>tel</w:t>
      </w:r>
      <w:proofErr w:type="spellEnd"/>
      <w:r>
        <w:rPr>
          <w:sz w:val="20"/>
          <w:szCs w:val="20"/>
        </w:rPr>
        <w:t xml:space="preserve">)(901)783-2950. The Company's auditors for the periods ending June 30, 2015, June 30, 2014, June 30, 2013 and June 30, 2012 was CHR. Mortensen Revisionsfirma. The Company's wholly owned subsidiary's local Danish accountant is IN-REVISION STATSAUTORISEREDE REVISORER A/S, Gersonsvej 7, </w:t>
      </w:r>
      <w:proofErr w:type="gramStart"/>
      <w:r>
        <w:rPr>
          <w:sz w:val="20"/>
          <w:szCs w:val="20"/>
        </w:rPr>
        <w:t>2900</w:t>
      </w:r>
      <w:proofErr w:type="gramEnd"/>
      <w:r>
        <w:rPr>
          <w:sz w:val="20"/>
          <w:szCs w:val="20"/>
        </w:rPr>
        <w:t xml:space="preserve"> Hellerup. The local auditors, IN-REVISION have performed work for ANV that included tax work and Danish Standards auditing work on ANV's yearly balance sheet and the profit/loss statement for the Danish Tax Authority and the Danish Ministry of Commerce. We have paid or expect to pay the following fees to Sadler Gibb &amp; Associates and CHR. Mortensen Revisionsfirma for work performed for the fiscal years ending Junes 30, 2016, </w:t>
      </w:r>
      <w:r w:rsidR="00924A12">
        <w:rPr>
          <w:sz w:val="20"/>
          <w:szCs w:val="20"/>
        </w:rPr>
        <w:t xml:space="preserve">and </w:t>
      </w:r>
      <w:r>
        <w:rPr>
          <w:sz w:val="20"/>
          <w:szCs w:val="20"/>
        </w:rPr>
        <w:t>June 30, 2015, attributable to the audits of financial statements and Internal Control over Financial Reporting for the same periods:</w:t>
      </w:r>
    </w:p>
    <w:p w14:paraId="2949690E" w14:textId="77777777" w:rsidR="00924A12" w:rsidRDefault="00924A12">
      <w:pPr>
        <w:pStyle w:val="NormalWeb"/>
        <w:divId w:val="254442079"/>
        <w:rPr>
          <w:sz w:val="20"/>
          <w:szCs w:val="20"/>
        </w:rPr>
      </w:pPr>
    </w:p>
    <w:p w14:paraId="00500ABE" w14:textId="20AB99EC" w:rsidR="00924A12" w:rsidRDefault="00924A12" w:rsidP="00DA25C9">
      <w:pPr>
        <w:pStyle w:val="NormalWeb"/>
        <w:jc w:val="center"/>
        <w:divId w:val="254442079"/>
      </w:pPr>
      <w:r>
        <w:object w:dxaOrig="7869" w:dyaOrig="1778" w14:anchorId="4F9DB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95.75pt;height:87.4pt" o:ole="">
            <v:imagedata r:id="rId6" o:title=""/>
          </v:shape>
          <o:OLEObject Type="Embed" ProgID="Excel.Sheet.12" ShapeID="_x0000_i1048" DrawAspect="Content" ObjectID="_1537945653" r:id="rId7"/>
        </w:object>
      </w:r>
    </w:p>
    <w:p w14:paraId="24C4980E" w14:textId="5CF21475" w:rsidR="00236301" w:rsidRDefault="00265296">
      <w:pPr>
        <w:pStyle w:val="NormalWeb"/>
        <w:divId w:val="254442079"/>
      </w:pPr>
      <w:r>
        <w:rPr>
          <w:sz w:val="20"/>
          <w:szCs w:val="20"/>
        </w:rPr>
        <w:t xml:space="preserve">The aggregate fees billed include amounts for an interim review of Form 10Q, review of SEC correspondence, the audit of the consolidated financial statements for 2016, and the Internal Control over Financial Reporting. </w:t>
      </w:r>
    </w:p>
    <w:p w14:paraId="250A2455" w14:textId="77777777" w:rsidR="00236301" w:rsidRDefault="00265296">
      <w:pPr>
        <w:pStyle w:val="NormalWeb"/>
        <w:spacing w:after="240" w:afterAutospacing="0"/>
        <w:divId w:val="254442079"/>
      </w:pPr>
      <w:r>
        <w:rPr>
          <w:sz w:val="20"/>
          <w:szCs w:val="20"/>
        </w:rPr>
        <w:lastRenderedPageBreak/>
        <w:t>In January 2003, the SEC released final rules to implement Title II of the Sarbanes-Oxley Act of 2003. The rules address auditor independence and have modified the proxy fee disclosure requirements. Audit fees include fees for services that normally would be provided by the accountant in connection with statutory and regulatory filings or engagements and that generally only the independent accountant can provide. In addition to fees for an audit or review in accordance with generally accepted auditing standards, this category contains fees for comfort letters, statutory audits, consents, and assistance with and review of documents filed with the SEC. Audit-related fees are assurance-related services that traditionally are performed by the independent accountant, such as employee benefit plan audits, due diligence related to mergers and acquisitions, internal control reviews, attest services that are not required by statute or regulation, and consultation concerning financial accounting and reporting standards.</w:t>
      </w:r>
    </w:p>
    <w:p w14:paraId="1120A327" w14:textId="77777777" w:rsidR="00236301" w:rsidRDefault="00265296">
      <w:pPr>
        <w:pStyle w:val="NormalWeb"/>
        <w:divId w:val="254442079"/>
      </w:pPr>
      <w:r>
        <w:rPr>
          <w:sz w:val="20"/>
          <w:szCs w:val="20"/>
        </w:rPr>
        <w:t>The board has reviewed the fees paid to Sadler Gibb &amp; Associates LLC and CHR. Mortensen Revisionsfirma and has considered whether the fees paid for non-audit services are compatible with maintaining Sadler Gibb &amp; Associates LLC independence. The board has also adopted policies and procedures to approve audit and non-audit services provided in the fiscal year 2016 by Sadler Gibb &amp; Associates LLC and CHR. Mortensen Revisionsfirma in accordance with the Sarbanes-Oxley Act and rules of the SEC promulgated thereunder. These policies and procedures involve annual pre-approval by the board of the types of services to be provided by our independent auditor and fee limits for each type of service on both a per-engagement and aggregate level. The board may additionally ratify certain de minimis services provided by the independent auditor without prior board approval, as permitted by the Sarbanes-Oxley Act and rules of the SEC promulgated thereunder.</w:t>
      </w:r>
    </w:p>
    <w:p w14:paraId="2C1FD394" w14:textId="77777777" w:rsidR="00236301" w:rsidRDefault="00265296">
      <w:pPr>
        <w:pStyle w:val="NormalWeb"/>
        <w:divId w:val="254442079"/>
      </w:pPr>
      <w:r>
        <w:rPr>
          <w:rFonts w:ascii="Arial" w:hAnsi="Arial" w:cs="Arial"/>
          <w:b/>
          <w:bCs/>
          <w:sz w:val="36"/>
          <w:szCs w:val="36"/>
        </w:rPr>
        <w:t>PART IV</w:t>
      </w:r>
    </w:p>
    <w:p w14:paraId="5C04A862" w14:textId="77777777" w:rsidR="00236301" w:rsidRDefault="00265296">
      <w:pPr>
        <w:pStyle w:val="NormalWeb"/>
        <w:divId w:val="254442079"/>
      </w:pPr>
      <w:bookmarkStart w:id="20" w:name="#item14"/>
      <w:bookmarkEnd w:id="20"/>
      <w:r>
        <w:rPr>
          <w:b/>
          <w:bCs/>
          <w:i/>
          <w:iCs/>
        </w:rPr>
        <w:t>ITEM 15:  EXHIBITS AND REPORTS ON FORMS 8K</w:t>
      </w:r>
      <w:r>
        <w:rPr>
          <w:b/>
          <w:bCs/>
          <w:i/>
          <w:iCs/>
          <w:sz w:val="20"/>
          <w:szCs w:val="20"/>
        </w:rPr>
        <w:t>,</w:t>
      </w:r>
    </w:p>
    <w:p w14:paraId="39BCACB7" w14:textId="77777777" w:rsidR="00236301" w:rsidRDefault="00265296">
      <w:pPr>
        <w:pStyle w:val="NormalWeb"/>
        <w:divId w:val="254442079"/>
      </w:pPr>
      <w:r>
        <w:rPr>
          <w:b/>
          <w:bCs/>
          <w:sz w:val="20"/>
          <w:szCs w:val="20"/>
        </w:rPr>
        <w:t>Reports filed on Form 8-K for the year ending June 30, 2016:</w:t>
      </w:r>
    </w:p>
    <w:p w14:paraId="163ABEA7" w14:textId="77777777" w:rsidR="00236301" w:rsidRDefault="00265296">
      <w:pPr>
        <w:pStyle w:val="NormalWeb"/>
        <w:divId w:val="254442079"/>
        <w:rPr>
          <w:sz w:val="20"/>
          <w:szCs w:val="20"/>
        </w:rPr>
      </w:pPr>
      <w:r>
        <w:rPr>
          <w:sz w:val="20"/>
          <w:szCs w:val="20"/>
        </w:rPr>
        <w:t>None.</w:t>
      </w:r>
    </w:p>
    <w:p w14:paraId="66B0BBCC" w14:textId="77777777" w:rsidR="00236301" w:rsidRDefault="00084F74">
      <w:pPr>
        <w:pStyle w:val="NormalWeb"/>
        <w:divId w:val="1968006681"/>
      </w:pPr>
      <w:hyperlink w:anchor="toc" w:history="1">
        <w:r w:rsidR="00265296">
          <w:rPr>
            <w:rStyle w:val="Hyperlink"/>
            <w:b/>
            <w:bCs/>
            <w:sz w:val="20"/>
            <w:szCs w:val="20"/>
          </w:rPr>
          <w:t>Return to Table of Contents</w:t>
        </w:r>
      </w:hyperlink>
    </w:p>
    <w:p w14:paraId="2521649E" w14:textId="77777777" w:rsidR="00236301" w:rsidRDefault="00265296">
      <w:pPr>
        <w:pStyle w:val="NormalWeb"/>
        <w:divId w:val="1968006681"/>
      </w:pPr>
      <w:r>
        <w:rPr>
          <w:b/>
          <w:bCs/>
          <w:sz w:val="20"/>
          <w:szCs w:val="20"/>
        </w:rPr>
        <w:t>20</w:t>
      </w:r>
      <w:r>
        <w:t xml:space="preserve"> </w:t>
      </w:r>
    </w:p>
    <w:p w14:paraId="0D1DBD45" w14:textId="77777777" w:rsidR="00236301" w:rsidRDefault="00084F74">
      <w:pPr>
        <w:divId w:val="1968006681"/>
        <w:rPr>
          <w:rFonts w:eastAsia="Times New Roman"/>
          <w:sz w:val="20"/>
          <w:szCs w:val="20"/>
        </w:rPr>
      </w:pPr>
      <w:r>
        <w:rPr>
          <w:rFonts w:eastAsia="Times New Roman"/>
          <w:sz w:val="20"/>
          <w:szCs w:val="20"/>
        </w:rPr>
        <w:pict w14:anchorId="6B2CF688">
          <v:rect id="_x0000_i1049" style="width:.05pt;height:1pt" o:hralign="center" o:hrstd="t" o:hrnoshade="t" o:hr="t" fillcolor="blue" stroked="f"/>
        </w:pict>
      </w:r>
    </w:p>
    <w:p w14:paraId="48F2B890" w14:textId="77777777" w:rsidR="00236301" w:rsidRDefault="00265296">
      <w:pPr>
        <w:pStyle w:val="NormalWeb"/>
        <w:divId w:val="254442079"/>
        <w:rPr>
          <w:b/>
          <w:bCs/>
          <w:sz w:val="20"/>
          <w:szCs w:val="20"/>
        </w:rPr>
      </w:pPr>
      <w:r>
        <w:rPr>
          <w:b/>
          <w:bCs/>
          <w:sz w:val="20"/>
          <w:szCs w:val="20"/>
        </w:rPr>
        <w:t>Exhibits</w:t>
      </w:r>
    </w:p>
    <w:tbl>
      <w:tblPr>
        <w:tblW w:w="5000" w:type="pct"/>
        <w:tblCellMar>
          <w:left w:w="0" w:type="dxa"/>
          <w:right w:w="0" w:type="dxa"/>
        </w:tblCellMar>
        <w:tblLook w:val="04A0" w:firstRow="1" w:lastRow="0" w:firstColumn="1" w:lastColumn="0" w:noHBand="0" w:noVBand="1"/>
      </w:tblPr>
      <w:tblGrid>
        <w:gridCol w:w="1685"/>
        <w:gridCol w:w="11275"/>
      </w:tblGrid>
      <w:tr w:rsidR="003E4F05" w14:paraId="1C11044D" w14:textId="77777777" w:rsidTr="003E4F05">
        <w:trPr>
          <w:divId w:val="254442079"/>
        </w:trPr>
        <w:tc>
          <w:tcPr>
            <w:tcW w:w="135" w:type="dxa"/>
            <w:tcBorders>
              <w:top w:val="nil"/>
              <w:left w:val="nil"/>
              <w:bottom w:val="single" w:sz="8" w:space="0" w:color="auto"/>
              <w:right w:val="nil"/>
            </w:tcBorders>
            <w:shd w:val="clear" w:color="auto" w:fill="CCEEFF"/>
            <w:vAlign w:val="bottom"/>
            <w:hideMark/>
          </w:tcPr>
          <w:p w14:paraId="57315CE9" w14:textId="77777777" w:rsidR="003E4F05" w:rsidRDefault="003E4F05">
            <w:pPr>
              <w:pStyle w:val="NormalWeb"/>
              <w:spacing w:before="0" w:beforeAutospacing="0" w:after="0" w:afterAutospacing="0"/>
            </w:pPr>
            <w:r>
              <w:rPr>
                <w:b/>
                <w:bCs/>
                <w:sz w:val="16"/>
                <w:szCs w:val="16"/>
              </w:rPr>
              <w:t>Exhibit</w:t>
            </w:r>
            <w:r>
              <w:rPr>
                <w:b/>
                <w:bCs/>
                <w:sz w:val="16"/>
                <w:szCs w:val="16"/>
              </w:rPr>
              <w:br/>
              <w:t>Number</w:t>
            </w:r>
          </w:p>
        </w:tc>
        <w:tc>
          <w:tcPr>
            <w:tcW w:w="4350" w:type="pct"/>
            <w:tcBorders>
              <w:top w:val="nil"/>
              <w:left w:val="nil"/>
              <w:bottom w:val="single" w:sz="8" w:space="0" w:color="auto"/>
              <w:right w:val="nil"/>
            </w:tcBorders>
            <w:shd w:val="clear" w:color="auto" w:fill="CCEEFF"/>
            <w:vAlign w:val="bottom"/>
            <w:hideMark/>
          </w:tcPr>
          <w:p w14:paraId="1BC6289E" w14:textId="77777777" w:rsidR="003E4F05" w:rsidRDefault="003E4F05">
            <w:pPr>
              <w:pStyle w:val="NormalWeb"/>
              <w:spacing w:before="0" w:beforeAutospacing="0" w:after="0" w:afterAutospacing="0"/>
              <w:jc w:val="center"/>
            </w:pPr>
            <w:r>
              <w:rPr>
                <w:b/>
                <w:bCs/>
                <w:sz w:val="16"/>
                <w:szCs w:val="16"/>
              </w:rPr>
              <w:t>Description of the Document</w:t>
            </w:r>
          </w:p>
        </w:tc>
      </w:tr>
      <w:tr w:rsidR="003E4F05" w14:paraId="402B7230" w14:textId="77777777" w:rsidTr="003E4F05">
        <w:trPr>
          <w:divId w:val="254442079"/>
        </w:trPr>
        <w:tc>
          <w:tcPr>
            <w:tcW w:w="135" w:type="dxa"/>
            <w:shd w:val="clear" w:color="auto" w:fill="FFFFFF"/>
            <w:hideMark/>
          </w:tcPr>
          <w:p w14:paraId="53DEBBB6" w14:textId="77777777" w:rsidR="003E4F05" w:rsidRDefault="003E4F05">
            <w:pPr>
              <w:rPr>
                <w:rFonts w:eastAsia="Times New Roman"/>
              </w:rPr>
            </w:pPr>
            <w:r>
              <w:rPr>
                <w:rFonts w:eastAsia="Times New Roman"/>
                <w:sz w:val="20"/>
                <w:szCs w:val="20"/>
              </w:rPr>
              <w:t>3.1</w:t>
            </w:r>
          </w:p>
        </w:tc>
        <w:tc>
          <w:tcPr>
            <w:tcW w:w="4350" w:type="pct"/>
            <w:shd w:val="clear" w:color="auto" w:fill="FFFFFF"/>
            <w:hideMark/>
          </w:tcPr>
          <w:p w14:paraId="22D428BC" w14:textId="77777777" w:rsidR="003E4F05" w:rsidRDefault="003E4F05">
            <w:pPr>
              <w:rPr>
                <w:rFonts w:eastAsia="Times New Roman"/>
              </w:rPr>
            </w:pPr>
            <w:r>
              <w:rPr>
                <w:rFonts w:eastAsia="Times New Roman"/>
                <w:sz w:val="20"/>
                <w:szCs w:val="20"/>
              </w:rPr>
              <w:t>Certificate of Incorporation as Amended and filed with the Secretary of State of Delaware effective on December 5, 2014(1)</w:t>
            </w:r>
          </w:p>
        </w:tc>
      </w:tr>
      <w:tr w:rsidR="003E4F05" w14:paraId="1ABA7EA8" w14:textId="77777777" w:rsidTr="003E4F05">
        <w:trPr>
          <w:divId w:val="254442079"/>
        </w:trPr>
        <w:tc>
          <w:tcPr>
            <w:tcW w:w="135" w:type="dxa"/>
            <w:shd w:val="clear" w:color="auto" w:fill="CCEEFF"/>
            <w:hideMark/>
          </w:tcPr>
          <w:p w14:paraId="5DC876A0" w14:textId="77777777" w:rsidR="003E4F05" w:rsidRDefault="003E4F05">
            <w:pPr>
              <w:rPr>
                <w:rFonts w:eastAsia="Times New Roman"/>
              </w:rPr>
            </w:pPr>
            <w:r>
              <w:rPr>
                <w:rFonts w:eastAsia="Times New Roman"/>
                <w:sz w:val="20"/>
                <w:szCs w:val="20"/>
              </w:rPr>
              <w:t>3.2</w:t>
            </w:r>
          </w:p>
        </w:tc>
        <w:tc>
          <w:tcPr>
            <w:tcW w:w="4350" w:type="pct"/>
            <w:shd w:val="clear" w:color="auto" w:fill="CCEEFF"/>
            <w:hideMark/>
          </w:tcPr>
          <w:p w14:paraId="6E7BB422" w14:textId="77777777" w:rsidR="003E4F05" w:rsidRDefault="003E4F05">
            <w:pPr>
              <w:rPr>
                <w:rFonts w:eastAsia="Times New Roman"/>
              </w:rPr>
            </w:pPr>
            <w:r>
              <w:rPr>
                <w:rFonts w:eastAsia="Times New Roman"/>
                <w:sz w:val="20"/>
                <w:szCs w:val="20"/>
              </w:rPr>
              <w:t>Bylaws.(1)</w:t>
            </w:r>
          </w:p>
        </w:tc>
      </w:tr>
      <w:tr w:rsidR="003E4F05" w14:paraId="28C9CA18" w14:textId="77777777" w:rsidTr="003E4F05">
        <w:trPr>
          <w:divId w:val="254442079"/>
        </w:trPr>
        <w:tc>
          <w:tcPr>
            <w:tcW w:w="135" w:type="dxa"/>
            <w:shd w:val="clear" w:color="auto" w:fill="FFFFFF"/>
            <w:hideMark/>
          </w:tcPr>
          <w:p w14:paraId="7F99A1B5" w14:textId="77777777" w:rsidR="003E4F05" w:rsidRDefault="003E4F05">
            <w:pPr>
              <w:pStyle w:val="NormalWeb"/>
            </w:pPr>
            <w:r>
              <w:rPr>
                <w:sz w:val="20"/>
                <w:szCs w:val="20"/>
              </w:rPr>
              <w:lastRenderedPageBreak/>
              <w:t>31.1</w:t>
            </w:r>
          </w:p>
        </w:tc>
        <w:tc>
          <w:tcPr>
            <w:tcW w:w="1000" w:type="pct"/>
            <w:shd w:val="clear" w:color="auto" w:fill="FFFFFF"/>
            <w:hideMark/>
          </w:tcPr>
          <w:p w14:paraId="43DDA32D" w14:textId="77777777" w:rsidR="003E4F05" w:rsidRDefault="003E4F05">
            <w:pPr>
              <w:pStyle w:val="NormalWeb"/>
              <w:spacing w:before="0" w:beforeAutospacing="0" w:after="0" w:afterAutospacing="0"/>
              <w:ind w:left="200" w:hanging="200"/>
            </w:pPr>
            <w:r>
              <w:rPr>
                <w:sz w:val="20"/>
                <w:szCs w:val="20"/>
              </w:rPr>
              <w:t>Certification of Chief Executive Officer pursuant to Exchange Act Rule 13a-14(a)/15d-14(a), as adopted pursuant to Section 302 of the Sarbanes-Oxley Act of 2002.</w:t>
            </w:r>
          </w:p>
        </w:tc>
      </w:tr>
      <w:tr w:rsidR="003E4F05" w14:paraId="704679BF" w14:textId="77777777" w:rsidTr="003E4F05">
        <w:trPr>
          <w:divId w:val="254442079"/>
        </w:trPr>
        <w:tc>
          <w:tcPr>
            <w:tcW w:w="135" w:type="dxa"/>
            <w:shd w:val="clear" w:color="auto" w:fill="CCEEFF"/>
            <w:hideMark/>
          </w:tcPr>
          <w:p w14:paraId="605ABEE7" w14:textId="77777777" w:rsidR="003E4F05" w:rsidRDefault="003E4F05">
            <w:pPr>
              <w:pStyle w:val="NormalWeb"/>
            </w:pPr>
            <w:r>
              <w:rPr>
                <w:sz w:val="20"/>
                <w:szCs w:val="20"/>
              </w:rPr>
              <w:t>31.2</w:t>
            </w:r>
          </w:p>
        </w:tc>
        <w:tc>
          <w:tcPr>
            <w:tcW w:w="4350" w:type="pct"/>
            <w:shd w:val="clear" w:color="auto" w:fill="CCEEFF"/>
            <w:hideMark/>
          </w:tcPr>
          <w:p w14:paraId="145A8900" w14:textId="77777777" w:rsidR="003E4F05" w:rsidRDefault="003E4F05">
            <w:pPr>
              <w:pStyle w:val="NormalWeb"/>
              <w:spacing w:before="0" w:beforeAutospacing="0" w:after="0" w:afterAutospacing="0"/>
              <w:ind w:left="200" w:hanging="200"/>
            </w:pPr>
            <w:r>
              <w:rPr>
                <w:sz w:val="20"/>
                <w:szCs w:val="20"/>
              </w:rPr>
              <w:t>Certification of Chief Financial Officer pursuant to Exchange Act Rule 13a-14(a)/15d-14(a), as adopted pursuant to Section 302 of the Sarbanes-Oxley Act of 2002.</w:t>
            </w:r>
          </w:p>
        </w:tc>
      </w:tr>
      <w:tr w:rsidR="003E4F05" w14:paraId="524F194D" w14:textId="77777777" w:rsidTr="003E4F05">
        <w:trPr>
          <w:divId w:val="254442079"/>
        </w:trPr>
        <w:tc>
          <w:tcPr>
            <w:tcW w:w="135" w:type="dxa"/>
            <w:shd w:val="clear" w:color="auto" w:fill="FFFFFF"/>
            <w:hideMark/>
          </w:tcPr>
          <w:p w14:paraId="5AB98FCB" w14:textId="77777777" w:rsidR="003E4F05" w:rsidRDefault="003E4F05">
            <w:pPr>
              <w:pStyle w:val="NormalWeb"/>
            </w:pPr>
            <w:r>
              <w:rPr>
                <w:sz w:val="20"/>
                <w:szCs w:val="20"/>
              </w:rPr>
              <w:t>32.1</w:t>
            </w:r>
          </w:p>
        </w:tc>
        <w:tc>
          <w:tcPr>
            <w:tcW w:w="0" w:type="auto"/>
            <w:shd w:val="clear" w:color="auto" w:fill="FFFFFF"/>
            <w:hideMark/>
          </w:tcPr>
          <w:p w14:paraId="1BCE3EE2" w14:textId="77777777" w:rsidR="003E4F05" w:rsidRDefault="003E4F05">
            <w:pPr>
              <w:pStyle w:val="NormalWeb"/>
            </w:pPr>
            <w:r>
              <w:rPr>
                <w:sz w:val="20"/>
                <w:szCs w:val="20"/>
              </w:rPr>
              <w:t>Certification of Chief Executive Officer in accordance with 18 U.S.C. Section 1350, as adopted pursuant to Section 906 of the Sarbanes-Oxley Act of 2002.</w:t>
            </w:r>
          </w:p>
        </w:tc>
      </w:tr>
      <w:tr w:rsidR="003E4F05" w14:paraId="66FB8627" w14:textId="77777777" w:rsidTr="003E4F05">
        <w:trPr>
          <w:divId w:val="254442079"/>
        </w:trPr>
        <w:tc>
          <w:tcPr>
            <w:tcW w:w="135" w:type="dxa"/>
            <w:shd w:val="clear" w:color="auto" w:fill="CCEEFF"/>
            <w:hideMark/>
          </w:tcPr>
          <w:p w14:paraId="3F8A7777" w14:textId="77777777" w:rsidR="003E4F05" w:rsidRDefault="003E4F05">
            <w:pPr>
              <w:pStyle w:val="NormalWeb"/>
              <w:spacing w:before="0" w:beforeAutospacing="0" w:after="0" w:afterAutospacing="0"/>
            </w:pPr>
            <w:r>
              <w:rPr>
                <w:sz w:val="20"/>
                <w:szCs w:val="20"/>
              </w:rPr>
              <w:t>32.2</w:t>
            </w:r>
          </w:p>
        </w:tc>
        <w:tc>
          <w:tcPr>
            <w:tcW w:w="4350" w:type="pct"/>
            <w:shd w:val="clear" w:color="auto" w:fill="CCEEFF"/>
            <w:hideMark/>
          </w:tcPr>
          <w:p w14:paraId="3E15D790" w14:textId="77777777" w:rsidR="003E4F05" w:rsidRDefault="003E4F05">
            <w:pPr>
              <w:pStyle w:val="NormalWeb"/>
              <w:spacing w:before="0" w:beforeAutospacing="0" w:after="0" w:afterAutospacing="0"/>
              <w:ind w:left="200" w:hanging="200"/>
            </w:pPr>
            <w:r>
              <w:rPr>
                <w:sz w:val="20"/>
                <w:szCs w:val="20"/>
              </w:rPr>
              <w:t>Certification of Chief Financial Officer in accordance with 18 U.S.C. Section 1350, as adopted pursuant to Section 906 of the Sarbanes-Oxley Act of 2002.</w:t>
            </w:r>
          </w:p>
        </w:tc>
      </w:tr>
      <w:tr w:rsidR="003E4F05" w14:paraId="3775D941" w14:textId="77777777" w:rsidTr="003E4F05">
        <w:trPr>
          <w:divId w:val="254442079"/>
          <w:trHeight w:val="255"/>
        </w:trPr>
        <w:tc>
          <w:tcPr>
            <w:tcW w:w="135" w:type="dxa"/>
            <w:shd w:val="clear" w:color="auto" w:fill="FFFFFF"/>
            <w:hideMark/>
          </w:tcPr>
          <w:p w14:paraId="5A567403" w14:textId="77777777" w:rsidR="003E4F05" w:rsidRDefault="003E4F05">
            <w:pPr>
              <w:pStyle w:val="NormalWeb"/>
              <w:spacing w:before="0" w:beforeAutospacing="0" w:after="0" w:afterAutospacing="0"/>
            </w:pPr>
            <w:r>
              <w:rPr>
                <w:sz w:val="20"/>
                <w:szCs w:val="20"/>
              </w:rPr>
              <w:t>101.INS</w:t>
            </w:r>
          </w:p>
        </w:tc>
        <w:tc>
          <w:tcPr>
            <w:tcW w:w="4350" w:type="pct"/>
            <w:shd w:val="clear" w:color="auto" w:fill="FFFFFF"/>
            <w:hideMark/>
          </w:tcPr>
          <w:p w14:paraId="41AD7BDE" w14:textId="77777777" w:rsidR="003E4F05" w:rsidRDefault="003E4F05">
            <w:pPr>
              <w:pStyle w:val="NormalWeb"/>
              <w:spacing w:before="0" w:beforeAutospacing="0" w:after="0" w:afterAutospacing="0"/>
              <w:ind w:left="200" w:hanging="200"/>
            </w:pPr>
            <w:r>
              <w:rPr>
                <w:sz w:val="20"/>
                <w:szCs w:val="20"/>
              </w:rPr>
              <w:t>XBRL Instance</w:t>
            </w:r>
          </w:p>
        </w:tc>
      </w:tr>
      <w:tr w:rsidR="003E4F05" w14:paraId="33D816E0" w14:textId="77777777" w:rsidTr="003E4F05">
        <w:trPr>
          <w:divId w:val="254442079"/>
        </w:trPr>
        <w:tc>
          <w:tcPr>
            <w:tcW w:w="135" w:type="dxa"/>
            <w:shd w:val="clear" w:color="auto" w:fill="CCEEFF"/>
            <w:hideMark/>
          </w:tcPr>
          <w:p w14:paraId="3F1C51C7" w14:textId="77777777" w:rsidR="003E4F05" w:rsidRDefault="003E4F05">
            <w:pPr>
              <w:pStyle w:val="NormalWeb"/>
              <w:spacing w:before="0" w:beforeAutospacing="0" w:after="0" w:afterAutospacing="0"/>
            </w:pPr>
            <w:r>
              <w:rPr>
                <w:sz w:val="20"/>
                <w:szCs w:val="20"/>
              </w:rPr>
              <w:t>101.SCH</w:t>
            </w:r>
          </w:p>
        </w:tc>
        <w:tc>
          <w:tcPr>
            <w:tcW w:w="4350" w:type="pct"/>
            <w:shd w:val="clear" w:color="auto" w:fill="CCEEFF"/>
            <w:hideMark/>
          </w:tcPr>
          <w:p w14:paraId="3C7A1DDA" w14:textId="77777777" w:rsidR="003E4F05" w:rsidRDefault="003E4F05">
            <w:pPr>
              <w:pStyle w:val="NormalWeb"/>
              <w:spacing w:before="0" w:beforeAutospacing="0" w:after="0" w:afterAutospacing="0"/>
              <w:ind w:left="200" w:hanging="200"/>
            </w:pPr>
            <w:r>
              <w:rPr>
                <w:sz w:val="20"/>
                <w:szCs w:val="20"/>
              </w:rPr>
              <w:t>XBRL Taxonomy Extension Schema Document</w:t>
            </w:r>
          </w:p>
        </w:tc>
      </w:tr>
      <w:tr w:rsidR="003E4F05" w14:paraId="26F481B4" w14:textId="77777777" w:rsidTr="003E4F05">
        <w:trPr>
          <w:divId w:val="254442079"/>
        </w:trPr>
        <w:tc>
          <w:tcPr>
            <w:tcW w:w="135" w:type="dxa"/>
            <w:shd w:val="clear" w:color="auto" w:fill="FFFFFF"/>
            <w:hideMark/>
          </w:tcPr>
          <w:p w14:paraId="03F271AF" w14:textId="77777777" w:rsidR="003E4F05" w:rsidRDefault="003E4F05">
            <w:pPr>
              <w:pStyle w:val="NormalWeb"/>
              <w:spacing w:before="0" w:beforeAutospacing="0" w:after="0" w:afterAutospacing="0"/>
            </w:pPr>
            <w:r>
              <w:rPr>
                <w:sz w:val="20"/>
                <w:szCs w:val="20"/>
              </w:rPr>
              <w:t>101.CAL</w:t>
            </w:r>
          </w:p>
        </w:tc>
        <w:tc>
          <w:tcPr>
            <w:tcW w:w="4350" w:type="pct"/>
            <w:shd w:val="clear" w:color="auto" w:fill="FFFFFF"/>
            <w:hideMark/>
          </w:tcPr>
          <w:p w14:paraId="0700060B" w14:textId="77777777" w:rsidR="003E4F05" w:rsidRDefault="003E4F05">
            <w:pPr>
              <w:pStyle w:val="NormalWeb"/>
              <w:spacing w:before="0" w:beforeAutospacing="0" w:after="0" w:afterAutospacing="0"/>
              <w:ind w:left="200" w:hanging="200"/>
            </w:pPr>
            <w:r>
              <w:rPr>
                <w:sz w:val="20"/>
                <w:szCs w:val="20"/>
              </w:rPr>
              <w:t>XBRL Taxonomy Extension Calculation Linkbase Document</w:t>
            </w:r>
          </w:p>
        </w:tc>
      </w:tr>
      <w:tr w:rsidR="003E4F05" w14:paraId="79914959" w14:textId="77777777" w:rsidTr="003E4F05">
        <w:trPr>
          <w:divId w:val="254442079"/>
        </w:trPr>
        <w:tc>
          <w:tcPr>
            <w:tcW w:w="135" w:type="dxa"/>
            <w:shd w:val="clear" w:color="auto" w:fill="CCEEFF"/>
            <w:hideMark/>
          </w:tcPr>
          <w:p w14:paraId="0D20A897" w14:textId="77777777" w:rsidR="003E4F05" w:rsidRDefault="003E4F05">
            <w:pPr>
              <w:pStyle w:val="NormalWeb"/>
              <w:spacing w:before="0" w:beforeAutospacing="0" w:after="0" w:afterAutospacing="0"/>
            </w:pPr>
            <w:r>
              <w:rPr>
                <w:sz w:val="20"/>
                <w:szCs w:val="20"/>
              </w:rPr>
              <w:t>101.DEF</w:t>
            </w:r>
          </w:p>
        </w:tc>
        <w:tc>
          <w:tcPr>
            <w:tcW w:w="4350" w:type="pct"/>
            <w:shd w:val="clear" w:color="auto" w:fill="CCEEFF"/>
            <w:hideMark/>
          </w:tcPr>
          <w:p w14:paraId="38F0664C" w14:textId="77777777" w:rsidR="003E4F05" w:rsidRDefault="003E4F05">
            <w:pPr>
              <w:pStyle w:val="NormalWeb"/>
              <w:spacing w:before="0" w:beforeAutospacing="0" w:after="0" w:afterAutospacing="0"/>
              <w:ind w:left="200" w:hanging="200"/>
            </w:pPr>
            <w:r>
              <w:rPr>
                <w:sz w:val="20"/>
                <w:szCs w:val="20"/>
              </w:rPr>
              <w:t>XBRL Taxonomy Extension Definition Linkbase Document</w:t>
            </w:r>
          </w:p>
        </w:tc>
      </w:tr>
      <w:tr w:rsidR="003E4F05" w14:paraId="706B86E8" w14:textId="77777777" w:rsidTr="003E4F05">
        <w:trPr>
          <w:divId w:val="254442079"/>
        </w:trPr>
        <w:tc>
          <w:tcPr>
            <w:tcW w:w="135" w:type="dxa"/>
            <w:shd w:val="clear" w:color="auto" w:fill="FFFFFF"/>
            <w:hideMark/>
          </w:tcPr>
          <w:p w14:paraId="55B7D012" w14:textId="77777777" w:rsidR="003E4F05" w:rsidRDefault="003E4F05">
            <w:pPr>
              <w:pStyle w:val="NormalWeb"/>
              <w:spacing w:before="0" w:beforeAutospacing="0" w:after="0" w:afterAutospacing="0"/>
            </w:pPr>
            <w:r>
              <w:rPr>
                <w:sz w:val="20"/>
                <w:szCs w:val="20"/>
              </w:rPr>
              <w:t>101.LAB</w:t>
            </w:r>
          </w:p>
        </w:tc>
        <w:tc>
          <w:tcPr>
            <w:tcW w:w="4350" w:type="pct"/>
            <w:shd w:val="clear" w:color="auto" w:fill="FFFFFF"/>
            <w:hideMark/>
          </w:tcPr>
          <w:p w14:paraId="07B61C62" w14:textId="77777777" w:rsidR="003E4F05" w:rsidRDefault="003E4F05">
            <w:pPr>
              <w:pStyle w:val="NormalWeb"/>
              <w:spacing w:before="0" w:beforeAutospacing="0" w:after="0" w:afterAutospacing="0"/>
              <w:ind w:left="200" w:hanging="200"/>
            </w:pPr>
            <w:r>
              <w:rPr>
                <w:sz w:val="20"/>
                <w:szCs w:val="20"/>
              </w:rPr>
              <w:t>XBRL Taxonomy Extension Labels Linkbase Document</w:t>
            </w:r>
          </w:p>
        </w:tc>
      </w:tr>
      <w:tr w:rsidR="003E4F05" w14:paraId="060F60C4" w14:textId="77777777" w:rsidTr="003E4F05">
        <w:trPr>
          <w:divId w:val="254442079"/>
        </w:trPr>
        <w:tc>
          <w:tcPr>
            <w:tcW w:w="135" w:type="dxa"/>
            <w:shd w:val="clear" w:color="auto" w:fill="CCEEFF"/>
            <w:hideMark/>
          </w:tcPr>
          <w:p w14:paraId="68237208" w14:textId="77777777" w:rsidR="003E4F05" w:rsidRDefault="003E4F05">
            <w:pPr>
              <w:pStyle w:val="NormalWeb"/>
              <w:spacing w:before="0" w:beforeAutospacing="0" w:after="0" w:afterAutospacing="0"/>
            </w:pPr>
            <w:r>
              <w:rPr>
                <w:sz w:val="20"/>
                <w:szCs w:val="20"/>
              </w:rPr>
              <w:t>101.PRE</w:t>
            </w:r>
          </w:p>
        </w:tc>
        <w:tc>
          <w:tcPr>
            <w:tcW w:w="4350" w:type="pct"/>
            <w:shd w:val="clear" w:color="auto" w:fill="CCEEFF"/>
            <w:hideMark/>
          </w:tcPr>
          <w:p w14:paraId="32DA9192" w14:textId="77777777" w:rsidR="003E4F05" w:rsidRDefault="003E4F05">
            <w:pPr>
              <w:pStyle w:val="NormalWeb"/>
              <w:spacing w:before="0" w:beforeAutospacing="0" w:after="0" w:afterAutospacing="0"/>
              <w:ind w:left="200" w:hanging="200"/>
            </w:pPr>
            <w:r>
              <w:rPr>
                <w:sz w:val="20"/>
                <w:szCs w:val="20"/>
              </w:rPr>
              <w:t xml:space="preserve">XBRL Taxonomy Extension Presentation Linkbase Document </w:t>
            </w:r>
          </w:p>
        </w:tc>
      </w:tr>
    </w:tbl>
    <w:p w14:paraId="44527853" w14:textId="77777777" w:rsidR="003E4F05" w:rsidRDefault="003E4F05">
      <w:pPr>
        <w:pStyle w:val="NormalWeb"/>
        <w:divId w:val="254442079"/>
      </w:pPr>
    </w:p>
    <w:p w14:paraId="01B3508D" w14:textId="4795AAEE" w:rsidR="00E47ACF" w:rsidRDefault="00E47ACF">
      <w:pPr>
        <w:pStyle w:val="NormalWeb"/>
        <w:divId w:val="254442079"/>
      </w:pPr>
      <w:r>
        <w:t>Reports Filed on Form 8-K</w:t>
      </w:r>
    </w:p>
    <w:p w14:paraId="1860E7E6" w14:textId="77777777" w:rsidR="00236301" w:rsidRDefault="00265296">
      <w:pPr>
        <w:pStyle w:val="NormalWeb"/>
        <w:divId w:val="254442079"/>
      </w:pPr>
      <w:r>
        <w:rPr>
          <w:sz w:val="20"/>
          <w:szCs w:val="20"/>
        </w:rPr>
        <w:t xml:space="preserve">A report on Form 8-K was filed on December 5, 2014, stating that the Company effected a reverse stock split of all the outstanding shares of our common stock at an exchange ratio of one for twenty (1:20) (the “Reverse Stock Split”) and changed the number our authorized shares of common stock, par value $0.01 per share, from 90,000,000 to 60,000,000 while maintaining the number of authorized shares of preferred stock, par value $0.01 per share, at 10,000,000 (the “Amendment”). Immediately prior to the effectiveness of the Amendment, we had outstanding 45,853,585 shares of common stock. As a result of the Amendment, the 45,853,585 shares of common stock outstanding have been reduced to approximately 2,292,945 shares of common stock (taking into account the rounding up of fractional share interests). The Reverse Stock Split described hereunder became market effective on December 8, 2014. FINRA has placed a “D” on the ticker symbol for 20 business days to signify that the Reverse Stock Split has occurred. As a result, effective as of December 8, 2014 and for the next 20 business days, our stock will trade under the symbol “AOXYD”. Our new CUSIP number is 00754B301. </w:t>
      </w:r>
    </w:p>
    <w:p w14:paraId="58AD0EE9" w14:textId="77777777" w:rsidR="00236301" w:rsidRDefault="00265296">
      <w:pPr>
        <w:pStyle w:val="NormalWeb"/>
        <w:divId w:val="254442079"/>
      </w:pPr>
      <w:r>
        <w:rPr>
          <w:sz w:val="20"/>
          <w:szCs w:val="20"/>
        </w:rPr>
        <w:t>A report on Form 8-K was filed on August 11, 2016 stating that on August 05, 2016, the Company was notified by CHR. Mortensen Revisionsfirma ("Accountants") that the Accountants have resigned as the Company's independent auditors</w:t>
      </w:r>
      <w:r w:rsidR="008A75C1">
        <w:rPr>
          <w:sz w:val="20"/>
          <w:szCs w:val="20"/>
        </w:rPr>
        <w:t xml:space="preserve">.  </w:t>
      </w:r>
      <w:r>
        <w:rPr>
          <w:sz w:val="20"/>
          <w:szCs w:val="20"/>
        </w:rPr>
        <w:t xml:space="preserve">The Accountant's audit reports on the Company's consolidated financial statements for the fiscal years ended June 30, 2014 and 2015 did not contain an adverse opinion or a disclaimer of opinion and were not qualified or modified as to uncertainty, audit scope or accounting principles. During the Company's fiscal years ended June 30, 2014 and 2015 and the subsequent interim period preceding the date of Accountant's resignation, there were no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During the Company's fiscal years ended June 30, 2014 and 2015 and the subsequent interim period preceding the date of Accountant's resignation, there were no "reportable events", as that term is defined in Item 304(a)(1)(v) of Regulation S-K and the instructions related thereto. The Company has provided the Accountants with a copy of the disclosures set forth above in Item 4.01 of this Current Report on Form 8-K and has requested that the Accountants furnish the Company with a letter addressed to the Securities and Exchange Commission stating whether the </w:t>
      </w:r>
      <w:r>
        <w:rPr>
          <w:sz w:val="20"/>
          <w:szCs w:val="20"/>
        </w:rPr>
        <w:lastRenderedPageBreak/>
        <w:t xml:space="preserve">Accountants agree with the statements set forth above in Item 4.01 of this Current Report on Form 8-K and, if not, stating the respects in which the Accountants do not agree. A copy of the letter from the Accountants to the Securities and Exchange Commission dated August 05, 2016 is filed as Exhibit II to this Current Report on Form 8-K. </w:t>
      </w:r>
      <w:r>
        <w:rPr>
          <w:b/>
          <w:bCs/>
          <w:i/>
          <w:iCs/>
          <w:sz w:val="20"/>
          <w:szCs w:val="20"/>
        </w:rPr>
        <w:t xml:space="preserve">Engagement of Accountants: </w:t>
      </w:r>
      <w:r>
        <w:rPr>
          <w:sz w:val="20"/>
          <w:szCs w:val="20"/>
        </w:rPr>
        <w:t>On August 05, 2016 the Company has engaged Sadler, Gibb &amp; Associates, LLC, 2455 E. Parleys Way, Suite 320, Salt Lake City, UT 84109, (801)783-2960 ("New Accountants") as its certified accounting firm/outside auditor. Additionally, the Company has not consulted the New Accountants regarding:(i) The application of accounting principles to a specific completed or contemplated transaction, or the type of audit opinion that might be rendered on the issuer's financial statements and either written or oral advice was provided that was an important factor considered by the issuer in reaching a decision as to the accounting, auditing or financial reporting issue; or (ii) Any matter that was the subject of a disagreement or event identified in response to paragraph (a)(1)(iv) of Regulation S-B section §228.304 (Item 304). The Company has provided the New Accountants with a copy of the disclosures set forth above in Item 4.01 of this Current Report on Form 8-K.</w:t>
      </w:r>
    </w:p>
    <w:p w14:paraId="0221EEDE" w14:textId="77777777" w:rsidR="00236301" w:rsidRDefault="00084F74">
      <w:pPr>
        <w:pStyle w:val="NormalWeb"/>
        <w:divId w:val="254442079"/>
      </w:pPr>
      <w:hyperlink w:anchor="toc" w:history="1">
        <w:r w:rsidR="00265296">
          <w:rPr>
            <w:rStyle w:val="Hyperlink"/>
            <w:b/>
            <w:bCs/>
            <w:sz w:val="20"/>
            <w:szCs w:val="20"/>
          </w:rPr>
          <w:t>Return to Table of Contents</w:t>
        </w:r>
      </w:hyperlink>
    </w:p>
    <w:p w14:paraId="6AD5758A" w14:textId="073B479F" w:rsidR="00236301" w:rsidRDefault="00265296">
      <w:pPr>
        <w:pStyle w:val="NormalWeb"/>
        <w:divId w:val="254442079"/>
      </w:pPr>
      <w:r>
        <w:rPr>
          <w:b/>
          <w:bCs/>
          <w:sz w:val="20"/>
          <w:szCs w:val="20"/>
        </w:rPr>
        <w:t>2</w:t>
      </w:r>
      <w:r w:rsidR="006E6018">
        <w:rPr>
          <w:b/>
          <w:bCs/>
          <w:sz w:val="20"/>
          <w:szCs w:val="20"/>
        </w:rPr>
        <w:t>2</w:t>
      </w:r>
    </w:p>
    <w:p w14:paraId="1A0B2680" w14:textId="77777777" w:rsidR="00236301" w:rsidRDefault="00084F74">
      <w:pPr>
        <w:jc w:val="center"/>
        <w:divId w:val="254442079"/>
        <w:rPr>
          <w:rFonts w:eastAsia="Times New Roman"/>
        </w:rPr>
      </w:pPr>
      <w:r>
        <w:rPr>
          <w:rFonts w:eastAsia="Times New Roman"/>
        </w:rPr>
        <w:pict w14:anchorId="508A1CE1">
          <v:rect id="_x0000_i1050" style="width:.05pt;height:1pt" o:hralign="center" o:hrstd="t" o:hrnoshade="t" o:hr="t" fillcolor="blue" stroked="f"/>
        </w:pict>
      </w:r>
    </w:p>
    <w:p w14:paraId="38D0AE2E" w14:textId="77777777" w:rsidR="00236301" w:rsidRDefault="00265296">
      <w:pPr>
        <w:pStyle w:val="NormalWeb"/>
        <w:divId w:val="254442079"/>
      </w:pPr>
      <w:r>
        <w:rPr>
          <w:b/>
          <w:bCs/>
          <w:i/>
          <w:iCs/>
          <w:sz w:val="20"/>
          <w:szCs w:val="20"/>
        </w:rPr>
        <w:t>SIGNATURES</w:t>
      </w:r>
    </w:p>
    <w:p w14:paraId="38B6DE99" w14:textId="77777777" w:rsidR="00236301" w:rsidRDefault="00265296">
      <w:pPr>
        <w:pStyle w:val="NormalWeb"/>
        <w:divId w:val="254442079"/>
      </w:pPr>
      <w:r>
        <w:rPr>
          <w:sz w:val="20"/>
          <w:szCs w:val="20"/>
        </w:rPr>
        <w:t>In accordance with Section 13 or 15(d) of the Exchange Act, the registrant caused this report to be signed on its behalf by the undersigned, thereunto duly authorized.</w:t>
      </w:r>
    </w:p>
    <w:p w14:paraId="5A865CC9" w14:textId="77777777" w:rsidR="00236301" w:rsidRDefault="00265296">
      <w:pPr>
        <w:pStyle w:val="NormalWeb"/>
        <w:divId w:val="254442079"/>
      </w:pPr>
      <w:r>
        <w:rPr>
          <w:sz w:val="20"/>
          <w:szCs w:val="20"/>
        </w:rPr>
        <w:t>(Registrant): ADVANCED OXYGEN TECHNOLOGIES, INC.</w:t>
      </w:r>
    </w:p>
    <w:p w14:paraId="6FA2769D" w14:textId="3A86C418" w:rsidR="00236301" w:rsidRDefault="00265296">
      <w:pPr>
        <w:pStyle w:val="NormalWeb"/>
        <w:divId w:val="1544367571"/>
      </w:pPr>
      <w:r>
        <w:rPr>
          <w:sz w:val="20"/>
          <w:szCs w:val="20"/>
        </w:rPr>
        <w:t xml:space="preserve">Date: </w:t>
      </w:r>
      <w:r w:rsidR="006227AD">
        <w:rPr>
          <w:sz w:val="20"/>
          <w:szCs w:val="20"/>
        </w:rPr>
        <w:t>October 1</w:t>
      </w:r>
      <w:r w:rsidR="00C56973">
        <w:rPr>
          <w:sz w:val="20"/>
          <w:szCs w:val="20"/>
        </w:rPr>
        <w:t>2</w:t>
      </w:r>
      <w:r>
        <w:rPr>
          <w:sz w:val="20"/>
          <w:szCs w:val="20"/>
        </w:rPr>
        <w:t xml:space="preserve">, 2016 </w:t>
      </w:r>
    </w:p>
    <w:p w14:paraId="46AD5EF2" w14:textId="77777777" w:rsidR="00236301" w:rsidRDefault="00265296">
      <w:pPr>
        <w:pStyle w:val="NormalWeb"/>
        <w:divId w:val="1544367571"/>
      </w:pPr>
      <w:r>
        <w:rPr>
          <w:sz w:val="20"/>
          <w:szCs w:val="20"/>
        </w:rPr>
        <w:t>By (Signature and Title):</w:t>
      </w:r>
    </w:p>
    <w:p w14:paraId="042031C6" w14:textId="77777777" w:rsidR="00236301" w:rsidRDefault="00265296">
      <w:pPr>
        <w:pStyle w:val="NormalWeb"/>
        <w:divId w:val="1544367571"/>
      </w:pPr>
      <w:r>
        <w:rPr>
          <w:sz w:val="20"/>
          <w:szCs w:val="20"/>
        </w:rPr>
        <w:t>/s/ Robert E. Wolfe /s/</w:t>
      </w:r>
    </w:p>
    <w:p w14:paraId="622233D2" w14:textId="77777777" w:rsidR="00236301" w:rsidRDefault="00265296">
      <w:pPr>
        <w:pStyle w:val="NormalWeb"/>
        <w:divId w:val="1544367571"/>
      </w:pPr>
      <w:r>
        <w:rPr>
          <w:sz w:val="20"/>
          <w:szCs w:val="20"/>
        </w:rPr>
        <w:t>Robert E. Wolfe, President</w:t>
      </w:r>
    </w:p>
    <w:p w14:paraId="552AF6A6" w14:textId="77777777" w:rsidR="00236301" w:rsidRDefault="00265296">
      <w:pPr>
        <w:pStyle w:val="NormalWeb"/>
        <w:divId w:val="254442079"/>
      </w:pPr>
      <w:r>
        <w:rPr>
          <w:sz w:val="20"/>
          <w:szCs w:val="20"/>
        </w:rPr>
        <w:t>Pursuant to the requirements of the Securities Exchange Act of 1934, this report has been signed below by the following persons on behalf of the registrant and in the capacities and on the dates indicated.</w:t>
      </w:r>
    </w:p>
    <w:p w14:paraId="6C4525B4" w14:textId="0E6EFA6D" w:rsidR="00236301" w:rsidRDefault="00265296">
      <w:pPr>
        <w:pStyle w:val="NormalWeb"/>
        <w:divId w:val="334235237"/>
      </w:pPr>
      <w:r>
        <w:t> </w:t>
      </w:r>
      <w:r>
        <w:rPr>
          <w:sz w:val="20"/>
          <w:szCs w:val="20"/>
        </w:rPr>
        <w:t xml:space="preserve">Date: </w:t>
      </w:r>
      <w:r w:rsidR="006227AD">
        <w:rPr>
          <w:sz w:val="20"/>
          <w:szCs w:val="20"/>
        </w:rPr>
        <w:t>October 1</w:t>
      </w:r>
      <w:r w:rsidR="00C56973">
        <w:rPr>
          <w:sz w:val="20"/>
          <w:szCs w:val="20"/>
        </w:rPr>
        <w:t>2</w:t>
      </w:r>
      <w:r>
        <w:rPr>
          <w:sz w:val="20"/>
          <w:szCs w:val="20"/>
        </w:rPr>
        <w:t>, 2016</w:t>
      </w:r>
    </w:p>
    <w:p w14:paraId="33C45DB5" w14:textId="77777777" w:rsidR="00236301" w:rsidRDefault="00265296">
      <w:pPr>
        <w:pStyle w:val="NormalWeb"/>
        <w:divId w:val="334235237"/>
      </w:pPr>
      <w:r>
        <w:rPr>
          <w:sz w:val="20"/>
          <w:szCs w:val="20"/>
        </w:rPr>
        <w:t>By (Signature and title):</w:t>
      </w:r>
    </w:p>
    <w:p w14:paraId="0F4BB136" w14:textId="77777777" w:rsidR="00236301" w:rsidRDefault="00265296">
      <w:pPr>
        <w:pStyle w:val="NormalWeb"/>
        <w:divId w:val="334235237"/>
      </w:pPr>
      <w:r>
        <w:rPr>
          <w:sz w:val="20"/>
          <w:szCs w:val="20"/>
        </w:rPr>
        <w:lastRenderedPageBreak/>
        <w:t>/s/Lawrence Donofrio /s/</w:t>
      </w:r>
    </w:p>
    <w:p w14:paraId="65DA30E4" w14:textId="77777777" w:rsidR="00236301" w:rsidRDefault="00265296">
      <w:pPr>
        <w:pStyle w:val="NormalWeb"/>
        <w:divId w:val="334235237"/>
      </w:pPr>
      <w:r>
        <w:rPr>
          <w:sz w:val="20"/>
          <w:szCs w:val="20"/>
        </w:rPr>
        <w:t>Lawrence Donofrio, Director</w:t>
      </w:r>
    </w:p>
    <w:p w14:paraId="7E929795" w14:textId="77777777" w:rsidR="00236301" w:rsidRDefault="00084F74">
      <w:pPr>
        <w:pStyle w:val="NormalWeb"/>
        <w:divId w:val="511728990"/>
      </w:pPr>
      <w:hyperlink w:anchor="toc" w:history="1">
        <w:r w:rsidR="00265296">
          <w:rPr>
            <w:rStyle w:val="Hyperlink"/>
            <w:b/>
            <w:bCs/>
            <w:sz w:val="20"/>
            <w:szCs w:val="20"/>
          </w:rPr>
          <w:t>Return to Table of Contents</w:t>
        </w:r>
      </w:hyperlink>
    </w:p>
    <w:p w14:paraId="58CE1987" w14:textId="282B2900" w:rsidR="00236301" w:rsidRDefault="004B4D2A">
      <w:pPr>
        <w:pStyle w:val="NormalWeb"/>
        <w:divId w:val="511728990"/>
      </w:pPr>
      <w:r>
        <w:rPr>
          <w:b/>
          <w:bCs/>
          <w:sz w:val="20"/>
          <w:szCs w:val="20"/>
        </w:rPr>
        <w:t>23</w:t>
      </w:r>
    </w:p>
    <w:p w14:paraId="75B6272E" w14:textId="77777777" w:rsidR="00236301" w:rsidRDefault="00084F74">
      <w:pPr>
        <w:divId w:val="511728990"/>
        <w:rPr>
          <w:rFonts w:eastAsia="Times New Roman"/>
        </w:rPr>
      </w:pPr>
      <w:r>
        <w:rPr>
          <w:rFonts w:eastAsia="Times New Roman"/>
        </w:rPr>
        <w:pict w14:anchorId="5D82CF55">
          <v:rect id="_x0000_i1051" style="width:.05pt;height:1pt" o:hralign="center" o:hrstd="t" o:hrnoshade="t" o:hr="t" fillcolor="blue" stroked="f"/>
        </w:pict>
      </w:r>
    </w:p>
    <w:p w14:paraId="680A196D" w14:textId="77777777" w:rsidR="00236301" w:rsidRDefault="00265296">
      <w:pPr>
        <w:pStyle w:val="NormalWeb"/>
        <w:jc w:val="center"/>
        <w:divId w:val="254442079"/>
      </w:pPr>
      <w:r>
        <w:rPr>
          <w:b/>
          <w:bCs/>
        </w:rPr>
        <w:t>EXHIBIT F</w:t>
      </w:r>
    </w:p>
    <w:tbl>
      <w:tblPr>
        <w:tblW w:w="4500" w:type="pct"/>
        <w:tblCellSpacing w:w="15" w:type="dxa"/>
        <w:tblCellMar>
          <w:left w:w="0" w:type="dxa"/>
          <w:right w:w="0" w:type="dxa"/>
        </w:tblCellMar>
        <w:tblLook w:val="04A0" w:firstRow="1" w:lastRow="0" w:firstColumn="1" w:lastColumn="0" w:noHBand="0" w:noVBand="1"/>
      </w:tblPr>
      <w:tblGrid>
        <w:gridCol w:w="11187"/>
        <w:gridCol w:w="477"/>
      </w:tblGrid>
      <w:tr w:rsidR="00236301" w14:paraId="4F95EB01" w14:textId="77777777">
        <w:trPr>
          <w:divId w:val="1733656443"/>
          <w:tblCellSpacing w:w="15" w:type="dxa"/>
        </w:trPr>
        <w:tc>
          <w:tcPr>
            <w:tcW w:w="0" w:type="auto"/>
            <w:gridSpan w:val="2"/>
            <w:shd w:val="clear" w:color="auto" w:fill="CCEEFF"/>
            <w:vAlign w:val="bottom"/>
            <w:hideMark/>
          </w:tcPr>
          <w:p w14:paraId="667E6567" w14:textId="77777777" w:rsidR="00236301" w:rsidRDefault="00265296">
            <w:pPr>
              <w:pStyle w:val="NormalWeb"/>
              <w:jc w:val="center"/>
            </w:pPr>
            <w:r>
              <w:rPr>
                <w:b/>
                <w:bCs/>
                <w:sz w:val="20"/>
                <w:szCs w:val="20"/>
              </w:rPr>
              <w:t>FINANCIAL STATEMENTS AND REPORT OF INDEPENDENT REGISTERED PUBLIC ACCOUNTING FIRM</w:t>
            </w:r>
          </w:p>
          <w:p w14:paraId="1A051575" w14:textId="77777777" w:rsidR="00236301" w:rsidRDefault="00265296">
            <w:pPr>
              <w:pStyle w:val="NormalWeb"/>
              <w:jc w:val="center"/>
            </w:pPr>
            <w:r>
              <w:rPr>
                <w:b/>
                <w:bCs/>
                <w:sz w:val="20"/>
                <w:szCs w:val="20"/>
              </w:rPr>
              <w:t>ADVANCED OXYGEN TECHNOLOGIES, INC. AND SUBSIDIARY</w:t>
            </w:r>
          </w:p>
          <w:p w14:paraId="5014F8B4" w14:textId="77777777" w:rsidR="00236301" w:rsidRDefault="00265296">
            <w:pPr>
              <w:pStyle w:val="NormalWeb"/>
              <w:jc w:val="center"/>
            </w:pPr>
            <w:r>
              <w:rPr>
                <w:b/>
                <w:bCs/>
                <w:sz w:val="20"/>
                <w:szCs w:val="20"/>
              </w:rPr>
              <w:t>June 30, 2016</w:t>
            </w:r>
          </w:p>
        </w:tc>
      </w:tr>
      <w:tr w:rsidR="00236301" w14:paraId="5E668F86" w14:textId="77777777">
        <w:trPr>
          <w:divId w:val="1733656443"/>
          <w:tblCellSpacing w:w="15" w:type="dxa"/>
        </w:trPr>
        <w:tc>
          <w:tcPr>
            <w:tcW w:w="0" w:type="auto"/>
            <w:gridSpan w:val="2"/>
            <w:shd w:val="clear" w:color="auto" w:fill="FFFFFF"/>
            <w:vAlign w:val="bottom"/>
            <w:hideMark/>
          </w:tcPr>
          <w:p w14:paraId="4565687E" w14:textId="77777777" w:rsidR="00236301" w:rsidRDefault="00265296">
            <w:pPr>
              <w:pStyle w:val="NormalWeb"/>
              <w:jc w:val="center"/>
            </w:pPr>
            <w:r>
              <w:rPr>
                <w:b/>
                <w:bCs/>
                <w:sz w:val="20"/>
                <w:szCs w:val="20"/>
              </w:rPr>
              <w:t>Table of Contents</w:t>
            </w:r>
          </w:p>
        </w:tc>
      </w:tr>
      <w:tr w:rsidR="00236301" w14:paraId="27CD45E9" w14:textId="77777777">
        <w:trPr>
          <w:divId w:val="1733656443"/>
          <w:tblCellSpacing w:w="15" w:type="dxa"/>
        </w:trPr>
        <w:tc>
          <w:tcPr>
            <w:tcW w:w="0" w:type="auto"/>
            <w:shd w:val="clear" w:color="auto" w:fill="CCEEFF"/>
            <w:vAlign w:val="bottom"/>
            <w:hideMark/>
          </w:tcPr>
          <w:p w14:paraId="1F9CFB26" w14:textId="77777777" w:rsidR="00236301" w:rsidRDefault="00265296">
            <w:pPr>
              <w:pStyle w:val="NormalWeb"/>
            </w:pPr>
            <w:r>
              <w:rPr>
                <w:b/>
                <w:bCs/>
                <w:sz w:val="20"/>
                <w:szCs w:val="20"/>
              </w:rPr>
              <w:t> </w:t>
            </w:r>
          </w:p>
        </w:tc>
        <w:tc>
          <w:tcPr>
            <w:tcW w:w="0" w:type="auto"/>
            <w:shd w:val="clear" w:color="auto" w:fill="CCEEFF"/>
            <w:vAlign w:val="bottom"/>
            <w:hideMark/>
          </w:tcPr>
          <w:p w14:paraId="645B90C2" w14:textId="77777777" w:rsidR="00236301" w:rsidRDefault="00265296">
            <w:pPr>
              <w:pStyle w:val="NormalWeb"/>
              <w:jc w:val="right"/>
            </w:pPr>
            <w:r>
              <w:rPr>
                <w:b/>
                <w:bCs/>
                <w:sz w:val="20"/>
                <w:szCs w:val="20"/>
              </w:rPr>
              <w:t>Page</w:t>
            </w:r>
          </w:p>
        </w:tc>
      </w:tr>
      <w:tr w:rsidR="00236301" w14:paraId="1D39CB24" w14:textId="77777777">
        <w:trPr>
          <w:divId w:val="1733656443"/>
          <w:tblCellSpacing w:w="15" w:type="dxa"/>
        </w:trPr>
        <w:tc>
          <w:tcPr>
            <w:tcW w:w="0" w:type="auto"/>
            <w:shd w:val="clear" w:color="auto" w:fill="FFFFFF"/>
            <w:vAlign w:val="bottom"/>
            <w:hideMark/>
          </w:tcPr>
          <w:p w14:paraId="08FFB08C" w14:textId="77777777" w:rsidR="00236301" w:rsidRDefault="00265296">
            <w:pPr>
              <w:pStyle w:val="NormalWeb"/>
            </w:pPr>
            <w:r>
              <w:t> </w:t>
            </w:r>
          </w:p>
        </w:tc>
        <w:tc>
          <w:tcPr>
            <w:tcW w:w="0" w:type="auto"/>
            <w:shd w:val="clear" w:color="auto" w:fill="FFFFFF"/>
            <w:vAlign w:val="bottom"/>
            <w:hideMark/>
          </w:tcPr>
          <w:p w14:paraId="5424A77A" w14:textId="77777777" w:rsidR="00236301" w:rsidRDefault="00265296">
            <w:pPr>
              <w:pStyle w:val="NormalWeb"/>
              <w:jc w:val="right"/>
            </w:pPr>
            <w:r>
              <w:t> </w:t>
            </w:r>
          </w:p>
        </w:tc>
      </w:tr>
      <w:tr w:rsidR="00236301" w14:paraId="3C54CFED" w14:textId="77777777">
        <w:trPr>
          <w:divId w:val="1733656443"/>
          <w:tblCellSpacing w:w="15" w:type="dxa"/>
        </w:trPr>
        <w:tc>
          <w:tcPr>
            <w:tcW w:w="0" w:type="auto"/>
            <w:shd w:val="clear" w:color="auto" w:fill="CCEEFF"/>
            <w:vAlign w:val="bottom"/>
            <w:hideMark/>
          </w:tcPr>
          <w:p w14:paraId="4D32D30F" w14:textId="77777777" w:rsidR="00236301" w:rsidRDefault="00084F74">
            <w:pPr>
              <w:pStyle w:val="NormalWeb"/>
            </w:pPr>
            <w:hyperlink w:anchor="report" w:history="1">
              <w:r w:rsidR="00265296">
                <w:rPr>
                  <w:rStyle w:val="Hyperlink"/>
                  <w:sz w:val="20"/>
                  <w:szCs w:val="20"/>
                </w:rPr>
                <w:t>Report of Independent Registered Public Accounting Firm for period ending June 30, 2016 and June 30, 2015</w:t>
              </w:r>
            </w:hyperlink>
          </w:p>
        </w:tc>
        <w:tc>
          <w:tcPr>
            <w:tcW w:w="0" w:type="auto"/>
            <w:shd w:val="clear" w:color="auto" w:fill="CCEEFF"/>
            <w:vAlign w:val="bottom"/>
            <w:hideMark/>
          </w:tcPr>
          <w:p w14:paraId="31D7BC05" w14:textId="77777777" w:rsidR="00236301" w:rsidRDefault="00265296">
            <w:pPr>
              <w:pStyle w:val="NormalWeb"/>
              <w:jc w:val="right"/>
            </w:pPr>
            <w:r>
              <w:rPr>
                <w:sz w:val="20"/>
                <w:szCs w:val="20"/>
              </w:rPr>
              <w:t>F-2</w:t>
            </w:r>
          </w:p>
        </w:tc>
      </w:tr>
      <w:tr w:rsidR="00236301" w14:paraId="44461D14" w14:textId="77777777">
        <w:trPr>
          <w:divId w:val="1733656443"/>
          <w:tblCellSpacing w:w="15" w:type="dxa"/>
        </w:trPr>
        <w:tc>
          <w:tcPr>
            <w:tcW w:w="0" w:type="auto"/>
            <w:shd w:val="clear" w:color="auto" w:fill="FFFFFF"/>
            <w:vAlign w:val="bottom"/>
            <w:hideMark/>
          </w:tcPr>
          <w:p w14:paraId="1CB99536" w14:textId="77777777" w:rsidR="00236301" w:rsidRDefault="00265296">
            <w:pPr>
              <w:pStyle w:val="NormalWeb"/>
            </w:pPr>
            <w:r>
              <w:t> </w:t>
            </w:r>
          </w:p>
        </w:tc>
        <w:tc>
          <w:tcPr>
            <w:tcW w:w="0" w:type="auto"/>
            <w:shd w:val="clear" w:color="auto" w:fill="FFFFFF"/>
            <w:vAlign w:val="bottom"/>
            <w:hideMark/>
          </w:tcPr>
          <w:p w14:paraId="169DF17E" w14:textId="77777777" w:rsidR="00236301" w:rsidRDefault="00265296">
            <w:pPr>
              <w:pStyle w:val="NormalWeb"/>
              <w:jc w:val="right"/>
            </w:pPr>
            <w:r>
              <w:t> </w:t>
            </w:r>
          </w:p>
        </w:tc>
      </w:tr>
      <w:tr w:rsidR="00236301" w14:paraId="4D7C48DC" w14:textId="77777777">
        <w:trPr>
          <w:divId w:val="1733656443"/>
          <w:tblCellSpacing w:w="15" w:type="dxa"/>
        </w:trPr>
        <w:tc>
          <w:tcPr>
            <w:tcW w:w="0" w:type="auto"/>
            <w:shd w:val="clear" w:color="auto" w:fill="CCEEFF"/>
            <w:vAlign w:val="bottom"/>
            <w:hideMark/>
          </w:tcPr>
          <w:p w14:paraId="50D66BD8" w14:textId="77777777" w:rsidR="00236301" w:rsidRDefault="00265296">
            <w:pPr>
              <w:pStyle w:val="NormalWeb"/>
            </w:pPr>
            <w:r>
              <w:rPr>
                <w:sz w:val="20"/>
                <w:szCs w:val="20"/>
              </w:rPr>
              <w:t xml:space="preserve">            </w:t>
            </w:r>
            <w:hyperlink w:anchor="bs" w:history="1">
              <w:r>
                <w:rPr>
                  <w:rStyle w:val="Hyperlink"/>
                  <w:sz w:val="20"/>
                  <w:szCs w:val="20"/>
                </w:rPr>
                <w:t>Consolidated Balance Sheet as of June 30, 2016, and June 30, 2015</w:t>
              </w:r>
            </w:hyperlink>
          </w:p>
        </w:tc>
        <w:tc>
          <w:tcPr>
            <w:tcW w:w="0" w:type="auto"/>
            <w:shd w:val="clear" w:color="auto" w:fill="CCEEFF"/>
            <w:vAlign w:val="bottom"/>
            <w:hideMark/>
          </w:tcPr>
          <w:p w14:paraId="4CF426AB" w14:textId="77777777" w:rsidR="00236301" w:rsidRDefault="00265296">
            <w:pPr>
              <w:pStyle w:val="NormalWeb"/>
              <w:jc w:val="right"/>
            </w:pPr>
            <w:r>
              <w:rPr>
                <w:sz w:val="20"/>
                <w:szCs w:val="20"/>
              </w:rPr>
              <w:t>F-3</w:t>
            </w:r>
          </w:p>
        </w:tc>
      </w:tr>
      <w:tr w:rsidR="00236301" w14:paraId="712895D6" w14:textId="77777777">
        <w:trPr>
          <w:divId w:val="1733656443"/>
          <w:tblCellSpacing w:w="15" w:type="dxa"/>
        </w:trPr>
        <w:tc>
          <w:tcPr>
            <w:tcW w:w="0" w:type="auto"/>
            <w:shd w:val="clear" w:color="auto" w:fill="FFFFFF"/>
            <w:vAlign w:val="bottom"/>
            <w:hideMark/>
          </w:tcPr>
          <w:p w14:paraId="3403F87D" w14:textId="77777777" w:rsidR="00236301" w:rsidRDefault="00265296">
            <w:pPr>
              <w:pStyle w:val="NormalWeb"/>
            </w:pPr>
            <w:r>
              <w:rPr>
                <w:sz w:val="20"/>
                <w:szCs w:val="20"/>
              </w:rPr>
              <w:t> </w:t>
            </w:r>
          </w:p>
        </w:tc>
        <w:tc>
          <w:tcPr>
            <w:tcW w:w="0" w:type="auto"/>
            <w:shd w:val="clear" w:color="auto" w:fill="FFFFFF"/>
            <w:vAlign w:val="bottom"/>
            <w:hideMark/>
          </w:tcPr>
          <w:p w14:paraId="1760A1B7" w14:textId="77777777" w:rsidR="00236301" w:rsidRDefault="00265296">
            <w:pPr>
              <w:pStyle w:val="NormalWeb"/>
              <w:jc w:val="right"/>
            </w:pPr>
            <w:r>
              <w:rPr>
                <w:sz w:val="20"/>
                <w:szCs w:val="20"/>
              </w:rPr>
              <w:t> </w:t>
            </w:r>
          </w:p>
        </w:tc>
      </w:tr>
      <w:tr w:rsidR="00236301" w14:paraId="6737D0FE" w14:textId="77777777">
        <w:trPr>
          <w:divId w:val="1733656443"/>
          <w:tblCellSpacing w:w="15" w:type="dxa"/>
        </w:trPr>
        <w:tc>
          <w:tcPr>
            <w:tcW w:w="0" w:type="auto"/>
            <w:shd w:val="clear" w:color="auto" w:fill="CCEEFF"/>
            <w:vAlign w:val="bottom"/>
            <w:hideMark/>
          </w:tcPr>
          <w:p w14:paraId="3D0920F6" w14:textId="77777777" w:rsidR="00236301" w:rsidRDefault="00265296">
            <w:pPr>
              <w:pStyle w:val="NormalWeb"/>
            </w:pPr>
            <w:r>
              <w:rPr>
                <w:sz w:val="20"/>
                <w:szCs w:val="20"/>
              </w:rPr>
              <w:t xml:space="preserve">            </w:t>
            </w:r>
            <w:hyperlink w:anchor="so" w:history="1">
              <w:r>
                <w:rPr>
                  <w:rStyle w:val="Hyperlink"/>
                  <w:sz w:val="20"/>
                  <w:szCs w:val="20"/>
                </w:rPr>
                <w:t>Consolidated Statements of Operations for the period ending June 30, 2016 and June 30, 2015</w:t>
              </w:r>
            </w:hyperlink>
          </w:p>
        </w:tc>
        <w:tc>
          <w:tcPr>
            <w:tcW w:w="0" w:type="auto"/>
            <w:shd w:val="clear" w:color="auto" w:fill="CCEEFF"/>
            <w:vAlign w:val="bottom"/>
            <w:hideMark/>
          </w:tcPr>
          <w:p w14:paraId="22425EB4" w14:textId="77777777" w:rsidR="00236301" w:rsidRDefault="00265296">
            <w:pPr>
              <w:pStyle w:val="NormalWeb"/>
              <w:jc w:val="right"/>
            </w:pPr>
            <w:r>
              <w:rPr>
                <w:sz w:val="20"/>
                <w:szCs w:val="20"/>
              </w:rPr>
              <w:t>F-4</w:t>
            </w:r>
          </w:p>
        </w:tc>
      </w:tr>
      <w:tr w:rsidR="00236301" w14:paraId="5987F4DE" w14:textId="77777777">
        <w:trPr>
          <w:divId w:val="1733656443"/>
          <w:tblCellSpacing w:w="15" w:type="dxa"/>
        </w:trPr>
        <w:tc>
          <w:tcPr>
            <w:tcW w:w="0" w:type="auto"/>
            <w:shd w:val="clear" w:color="auto" w:fill="FFFFFF"/>
            <w:vAlign w:val="bottom"/>
            <w:hideMark/>
          </w:tcPr>
          <w:p w14:paraId="6359838D" w14:textId="77777777" w:rsidR="00236301" w:rsidRDefault="00265296">
            <w:pPr>
              <w:pStyle w:val="NormalWeb"/>
            </w:pPr>
            <w:r>
              <w:rPr>
                <w:sz w:val="20"/>
                <w:szCs w:val="20"/>
              </w:rPr>
              <w:t> </w:t>
            </w:r>
          </w:p>
        </w:tc>
        <w:tc>
          <w:tcPr>
            <w:tcW w:w="0" w:type="auto"/>
            <w:shd w:val="clear" w:color="auto" w:fill="FFFFFF"/>
            <w:vAlign w:val="bottom"/>
            <w:hideMark/>
          </w:tcPr>
          <w:p w14:paraId="7C18ABE9" w14:textId="77777777" w:rsidR="00236301" w:rsidRDefault="00265296">
            <w:pPr>
              <w:pStyle w:val="NormalWeb"/>
              <w:jc w:val="right"/>
            </w:pPr>
            <w:r>
              <w:rPr>
                <w:sz w:val="20"/>
                <w:szCs w:val="20"/>
              </w:rPr>
              <w:t> </w:t>
            </w:r>
          </w:p>
        </w:tc>
      </w:tr>
      <w:tr w:rsidR="00236301" w14:paraId="7A30A5F4" w14:textId="77777777">
        <w:trPr>
          <w:divId w:val="1733656443"/>
          <w:tblCellSpacing w:w="15" w:type="dxa"/>
        </w:trPr>
        <w:tc>
          <w:tcPr>
            <w:tcW w:w="0" w:type="auto"/>
            <w:shd w:val="clear" w:color="auto" w:fill="CCEEFF"/>
            <w:vAlign w:val="bottom"/>
            <w:hideMark/>
          </w:tcPr>
          <w:p w14:paraId="4FC9BFCA" w14:textId="77777777" w:rsidR="00236301" w:rsidRDefault="00265296">
            <w:pPr>
              <w:pStyle w:val="NormalWeb"/>
            </w:pPr>
            <w:r>
              <w:rPr>
                <w:sz w:val="20"/>
                <w:szCs w:val="20"/>
              </w:rPr>
              <w:t xml:space="preserve">            </w:t>
            </w:r>
            <w:hyperlink w:anchor="se" w:history="1">
              <w:r>
                <w:rPr>
                  <w:rStyle w:val="Hyperlink"/>
                  <w:sz w:val="20"/>
                  <w:szCs w:val="20"/>
                </w:rPr>
                <w:t>Consolidated Statements of Stockholders' Equity (Capital Deficiency) for the period ending June 30, 2016 and June 30, 2015</w:t>
              </w:r>
            </w:hyperlink>
          </w:p>
        </w:tc>
        <w:tc>
          <w:tcPr>
            <w:tcW w:w="0" w:type="auto"/>
            <w:shd w:val="clear" w:color="auto" w:fill="CCEEFF"/>
            <w:vAlign w:val="bottom"/>
            <w:hideMark/>
          </w:tcPr>
          <w:p w14:paraId="09CF8BBE" w14:textId="77777777" w:rsidR="00236301" w:rsidRDefault="00265296">
            <w:pPr>
              <w:pStyle w:val="NormalWeb"/>
              <w:jc w:val="right"/>
            </w:pPr>
            <w:r>
              <w:rPr>
                <w:sz w:val="20"/>
                <w:szCs w:val="20"/>
              </w:rPr>
              <w:t>F-5</w:t>
            </w:r>
          </w:p>
        </w:tc>
      </w:tr>
      <w:tr w:rsidR="00236301" w14:paraId="258D6619" w14:textId="77777777">
        <w:trPr>
          <w:divId w:val="1733656443"/>
          <w:tblCellSpacing w:w="15" w:type="dxa"/>
        </w:trPr>
        <w:tc>
          <w:tcPr>
            <w:tcW w:w="0" w:type="auto"/>
            <w:shd w:val="clear" w:color="auto" w:fill="FFFFFF"/>
            <w:vAlign w:val="bottom"/>
            <w:hideMark/>
          </w:tcPr>
          <w:p w14:paraId="375B68BE" w14:textId="77777777" w:rsidR="00236301" w:rsidRDefault="00265296">
            <w:pPr>
              <w:pStyle w:val="NormalWeb"/>
            </w:pPr>
            <w:r>
              <w:rPr>
                <w:sz w:val="20"/>
                <w:szCs w:val="20"/>
              </w:rPr>
              <w:t> </w:t>
            </w:r>
          </w:p>
        </w:tc>
        <w:tc>
          <w:tcPr>
            <w:tcW w:w="0" w:type="auto"/>
            <w:shd w:val="clear" w:color="auto" w:fill="FFFFFF"/>
            <w:vAlign w:val="bottom"/>
            <w:hideMark/>
          </w:tcPr>
          <w:p w14:paraId="48CE1877" w14:textId="77777777" w:rsidR="00236301" w:rsidRDefault="00265296">
            <w:pPr>
              <w:pStyle w:val="NormalWeb"/>
              <w:jc w:val="right"/>
            </w:pPr>
            <w:r>
              <w:rPr>
                <w:sz w:val="20"/>
                <w:szCs w:val="20"/>
              </w:rPr>
              <w:t> </w:t>
            </w:r>
          </w:p>
        </w:tc>
      </w:tr>
      <w:tr w:rsidR="00236301" w14:paraId="2B6C3C51" w14:textId="77777777">
        <w:trPr>
          <w:divId w:val="1733656443"/>
          <w:tblCellSpacing w:w="15" w:type="dxa"/>
        </w:trPr>
        <w:tc>
          <w:tcPr>
            <w:tcW w:w="0" w:type="auto"/>
            <w:shd w:val="clear" w:color="auto" w:fill="CCEEFF"/>
            <w:vAlign w:val="bottom"/>
            <w:hideMark/>
          </w:tcPr>
          <w:p w14:paraId="3C9290E5" w14:textId="77777777" w:rsidR="00236301" w:rsidRDefault="00265296">
            <w:pPr>
              <w:pStyle w:val="NormalWeb"/>
            </w:pPr>
            <w:r>
              <w:rPr>
                <w:sz w:val="20"/>
                <w:szCs w:val="20"/>
              </w:rPr>
              <w:t xml:space="preserve">            </w:t>
            </w:r>
            <w:hyperlink w:anchor="cf" w:history="1">
              <w:r>
                <w:rPr>
                  <w:rStyle w:val="Hyperlink"/>
                  <w:sz w:val="20"/>
                  <w:szCs w:val="20"/>
                </w:rPr>
                <w:t>Consolidated Statements of Cash Flows for the period ending June 30, 2016 and June 30, 2015  </w:t>
              </w:r>
            </w:hyperlink>
          </w:p>
        </w:tc>
        <w:tc>
          <w:tcPr>
            <w:tcW w:w="0" w:type="auto"/>
            <w:shd w:val="clear" w:color="auto" w:fill="CCEEFF"/>
            <w:vAlign w:val="bottom"/>
            <w:hideMark/>
          </w:tcPr>
          <w:p w14:paraId="5DCD636D" w14:textId="77777777" w:rsidR="00236301" w:rsidRDefault="00265296">
            <w:pPr>
              <w:pStyle w:val="NormalWeb"/>
              <w:jc w:val="right"/>
            </w:pPr>
            <w:r>
              <w:rPr>
                <w:sz w:val="20"/>
                <w:szCs w:val="20"/>
              </w:rPr>
              <w:t>F-6</w:t>
            </w:r>
          </w:p>
        </w:tc>
      </w:tr>
      <w:tr w:rsidR="00236301" w14:paraId="5EACF712" w14:textId="77777777">
        <w:trPr>
          <w:divId w:val="1733656443"/>
          <w:tblCellSpacing w:w="15" w:type="dxa"/>
        </w:trPr>
        <w:tc>
          <w:tcPr>
            <w:tcW w:w="0" w:type="auto"/>
            <w:shd w:val="clear" w:color="auto" w:fill="FFFFFF"/>
            <w:vAlign w:val="bottom"/>
            <w:hideMark/>
          </w:tcPr>
          <w:p w14:paraId="7252C298" w14:textId="77777777" w:rsidR="00236301" w:rsidRDefault="00265296">
            <w:pPr>
              <w:pStyle w:val="NormalWeb"/>
            </w:pPr>
            <w:r>
              <w:rPr>
                <w:sz w:val="20"/>
                <w:szCs w:val="20"/>
              </w:rPr>
              <w:t> </w:t>
            </w:r>
          </w:p>
        </w:tc>
        <w:tc>
          <w:tcPr>
            <w:tcW w:w="0" w:type="auto"/>
            <w:shd w:val="clear" w:color="auto" w:fill="FFFFFF"/>
            <w:vAlign w:val="bottom"/>
            <w:hideMark/>
          </w:tcPr>
          <w:p w14:paraId="6C0032E2" w14:textId="77777777" w:rsidR="00236301" w:rsidRDefault="00265296">
            <w:pPr>
              <w:pStyle w:val="NormalWeb"/>
              <w:jc w:val="right"/>
            </w:pPr>
            <w:r>
              <w:rPr>
                <w:sz w:val="20"/>
                <w:szCs w:val="20"/>
              </w:rPr>
              <w:t> </w:t>
            </w:r>
          </w:p>
        </w:tc>
      </w:tr>
      <w:tr w:rsidR="00236301" w14:paraId="560BB060" w14:textId="77777777">
        <w:trPr>
          <w:divId w:val="1733656443"/>
          <w:tblCellSpacing w:w="15" w:type="dxa"/>
        </w:trPr>
        <w:tc>
          <w:tcPr>
            <w:tcW w:w="0" w:type="auto"/>
            <w:shd w:val="clear" w:color="auto" w:fill="CCEEFF"/>
            <w:vAlign w:val="bottom"/>
            <w:hideMark/>
          </w:tcPr>
          <w:p w14:paraId="2C8F47D4" w14:textId="77777777" w:rsidR="00236301" w:rsidRDefault="00084F74">
            <w:pPr>
              <w:pStyle w:val="NormalWeb"/>
            </w:pPr>
            <w:hyperlink w:anchor="notes" w:history="1">
              <w:r w:rsidR="00265296">
                <w:rPr>
                  <w:rStyle w:val="Hyperlink"/>
                  <w:sz w:val="20"/>
                  <w:szCs w:val="20"/>
                </w:rPr>
                <w:t>Notes to Consolidated Financial Statements</w:t>
              </w:r>
            </w:hyperlink>
          </w:p>
        </w:tc>
        <w:tc>
          <w:tcPr>
            <w:tcW w:w="0" w:type="auto"/>
            <w:shd w:val="clear" w:color="auto" w:fill="CCEEFF"/>
            <w:vAlign w:val="bottom"/>
            <w:hideMark/>
          </w:tcPr>
          <w:p w14:paraId="0FC36523" w14:textId="77777777" w:rsidR="00236301" w:rsidRDefault="00265296">
            <w:pPr>
              <w:pStyle w:val="NormalWeb"/>
              <w:jc w:val="right"/>
            </w:pPr>
            <w:r>
              <w:rPr>
                <w:sz w:val="20"/>
                <w:szCs w:val="20"/>
              </w:rPr>
              <w:t>F-7</w:t>
            </w:r>
          </w:p>
        </w:tc>
      </w:tr>
    </w:tbl>
    <w:p w14:paraId="197A49B7" w14:textId="77777777" w:rsidR="00236301" w:rsidRDefault="00265296">
      <w:pPr>
        <w:pStyle w:val="NormalWeb"/>
        <w:jc w:val="center"/>
        <w:divId w:val="1733656443"/>
      </w:pPr>
      <w:r>
        <w:rPr>
          <w:b/>
          <w:bCs/>
          <w:sz w:val="20"/>
          <w:szCs w:val="20"/>
        </w:rPr>
        <w:t>F-1</w:t>
      </w:r>
    </w:p>
    <w:p w14:paraId="036AA81B" w14:textId="77777777" w:rsidR="00236301" w:rsidRDefault="00084F74">
      <w:pPr>
        <w:jc w:val="center"/>
        <w:divId w:val="1733656443"/>
        <w:rPr>
          <w:rFonts w:eastAsia="Times New Roman"/>
          <w:sz w:val="20"/>
          <w:szCs w:val="20"/>
        </w:rPr>
      </w:pPr>
      <w:r>
        <w:rPr>
          <w:rFonts w:eastAsia="Times New Roman"/>
          <w:sz w:val="20"/>
          <w:szCs w:val="20"/>
        </w:rPr>
        <w:pict w14:anchorId="7E58E9C9">
          <v:rect id="_x0000_i1052" style="width:.05pt;height:1pt" o:hralign="center" o:hrstd="t" o:hrnoshade="t" o:hr="t" fillcolor="blue" stroked="f"/>
        </w:pict>
      </w:r>
    </w:p>
    <w:p w14:paraId="2DBFD73F" w14:textId="77777777" w:rsidR="00236301" w:rsidRDefault="00265296">
      <w:pPr>
        <w:pStyle w:val="NormalWeb"/>
        <w:divId w:val="1733656443"/>
      </w:pPr>
      <w:r>
        <w:rPr>
          <w:sz w:val="20"/>
          <w:szCs w:val="20"/>
        </w:rPr>
        <w:lastRenderedPageBreak/>
        <w:t> </w:t>
      </w:r>
    </w:p>
    <w:p w14:paraId="33B151A5" w14:textId="77777777" w:rsidR="00236301" w:rsidRDefault="00265296">
      <w:pPr>
        <w:pStyle w:val="NormalWeb"/>
        <w:spacing w:after="240" w:afterAutospacing="0"/>
        <w:jc w:val="center"/>
        <w:divId w:val="1733656443"/>
      </w:pPr>
      <w:bookmarkStart w:id="21" w:name="report"/>
      <w:bookmarkEnd w:id="21"/>
      <w:r>
        <w:rPr>
          <w:b/>
          <w:bCs/>
          <w:sz w:val="20"/>
          <w:szCs w:val="20"/>
        </w:rPr>
        <w:t>REPORT OF INDEPENDENT REGIST</w:t>
      </w:r>
      <w:r w:rsidR="00B1526B">
        <w:rPr>
          <w:b/>
          <w:bCs/>
          <w:sz w:val="20"/>
          <w:szCs w:val="20"/>
        </w:rPr>
        <w:t>ER</w:t>
      </w:r>
      <w:r>
        <w:rPr>
          <w:b/>
          <w:bCs/>
          <w:sz w:val="20"/>
          <w:szCs w:val="20"/>
        </w:rPr>
        <w:t>ED PUBLIC ACCOUNTING FIRM</w:t>
      </w:r>
      <w:r>
        <w:rPr>
          <w:b/>
          <w:bCs/>
          <w:sz w:val="20"/>
          <w:szCs w:val="20"/>
        </w:rPr>
        <w:br/>
      </w:r>
      <w:r>
        <w:rPr>
          <w:b/>
          <w:bCs/>
          <w:sz w:val="20"/>
          <w:szCs w:val="20"/>
        </w:rPr>
        <w:br/>
      </w:r>
    </w:p>
    <w:p w14:paraId="349604E7" w14:textId="77777777" w:rsidR="00236301" w:rsidRDefault="00265296">
      <w:pPr>
        <w:pStyle w:val="NormalWeb"/>
        <w:divId w:val="1733656443"/>
      </w:pPr>
      <w:r>
        <w:rPr>
          <w:sz w:val="20"/>
          <w:szCs w:val="20"/>
        </w:rPr>
        <w:t>To the Shareowners and Directors of Advanced Oxygen Technologies Inc.</w:t>
      </w:r>
    </w:p>
    <w:p w14:paraId="7A46E336" w14:textId="77777777" w:rsidR="00236301" w:rsidRDefault="00265296">
      <w:pPr>
        <w:pStyle w:val="NormalWeb"/>
        <w:spacing w:after="240" w:afterAutospacing="0"/>
        <w:divId w:val="1733656443"/>
      </w:pPr>
      <w:r>
        <w:rPr>
          <w:sz w:val="20"/>
          <w:szCs w:val="20"/>
        </w:rPr>
        <w:t xml:space="preserve">We have audited the accompanying consolidated balance sheet of Advanced Oxygen Technologies, Inc. ("the Company") as of June 30, 2016 and the related statements of operations and comprehensive loss, shareholders' deficit and cash flows for the year ended June 30, 2016. These consolidated financial statements are the responsibility of the Company's management. Our responsibility is to express an opinion on these consolidated financial statements based on our audit. </w:t>
      </w:r>
      <w:r>
        <w:rPr>
          <w:sz w:val="20"/>
          <w:szCs w:val="20"/>
        </w:rPr>
        <w:br/>
      </w:r>
      <w:r>
        <w:br/>
      </w:r>
      <w:r>
        <w:rPr>
          <w:sz w:val="20"/>
          <w:szCs w:val="20"/>
        </w:rPr>
        <w:t>We conducted our audit in accordance with the standards of the Public Company Accounting Oversight Board (United States). Those standards require that we plan and perform the audit to obtain reasonable assurance about whether the consolidated financial statements are free of material misstatement. The Company is not required to have, nor were we engaged to perform, an audit of its internal control over financial reporting. Our audit included consideration of internal control over financial reporting as a basis for designing audit procedures that are appropriate in the circumstances, but not for the purpose of expressing an opinion on the effectiveness of the Company's internal control over financial reporting. Accordingly, we express no such opinion. An audit also includes examining, on a test basis, evidence supporting the amounts and disclosures in the consolidated financial statements, assessing the accounting principles used and significant estimates made by management, as well as evaluating the overall financial statement presentation. We believe that our audit provides a reasonable basis for our opinion.</w:t>
      </w:r>
      <w:r>
        <w:rPr>
          <w:sz w:val="20"/>
          <w:szCs w:val="20"/>
        </w:rPr>
        <w:br/>
      </w:r>
      <w:r>
        <w:br/>
      </w:r>
      <w:r>
        <w:rPr>
          <w:sz w:val="20"/>
          <w:szCs w:val="20"/>
        </w:rPr>
        <w:t>In our opinion the consolidated financial statements referred to above present fairly, in all material respects, the financial position of Advanced Oxygen Technologies, Inc. as of June 30, 2016, and the results of its operations and cash flows for the year ended June 30, 2016, in conformity with U.S. generally accepted accounting principles.</w:t>
      </w:r>
      <w:r>
        <w:rPr>
          <w:sz w:val="20"/>
          <w:szCs w:val="20"/>
        </w:rPr>
        <w:br/>
      </w:r>
      <w:r>
        <w:br/>
      </w:r>
      <w:r>
        <w:rPr>
          <w:sz w:val="20"/>
          <w:szCs w:val="20"/>
        </w:rPr>
        <w:t>/s/ Sadler, Gibb &amp; Associates, LLC</w:t>
      </w:r>
    </w:p>
    <w:p w14:paraId="0C8791E5" w14:textId="77777777" w:rsidR="00236301" w:rsidRDefault="00265296">
      <w:pPr>
        <w:pStyle w:val="NormalWeb"/>
        <w:divId w:val="1733656443"/>
      </w:pPr>
      <w:r>
        <w:rPr>
          <w:sz w:val="20"/>
          <w:szCs w:val="20"/>
        </w:rPr>
        <w:t>Salt Lake City, UT</w:t>
      </w:r>
    </w:p>
    <w:p w14:paraId="47F4BAA9" w14:textId="6F7EE08C" w:rsidR="00236301" w:rsidRDefault="005E60D5">
      <w:pPr>
        <w:pStyle w:val="NormalWeb"/>
        <w:divId w:val="1733656443"/>
      </w:pPr>
      <w:r>
        <w:rPr>
          <w:sz w:val="20"/>
          <w:szCs w:val="20"/>
        </w:rPr>
        <w:t>October 11</w:t>
      </w:r>
      <w:r w:rsidR="00265296">
        <w:rPr>
          <w:sz w:val="20"/>
          <w:szCs w:val="20"/>
        </w:rPr>
        <w:t>, 2016</w:t>
      </w:r>
    </w:p>
    <w:p w14:paraId="12A9AF47" w14:textId="77777777" w:rsidR="00236301" w:rsidRDefault="00265296">
      <w:pPr>
        <w:pStyle w:val="NormalWeb"/>
        <w:divId w:val="1733656443"/>
      </w:pPr>
      <w:r>
        <w:t> </w:t>
      </w:r>
    </w:p>
    <w:p w14:paraId="12B5EE05" w14:textId="77777777" w:rsidR="00236301" w:rsidRDefault="00265296">
      <w:pPr>
        <w:pStyle w:val="NormalWeb"/>
        <w:jc w:val="center"/>
        <w:divId w:val="1733656443"/>
      </w:pPr>
      <w:r>
        <w:rPr>
          <w:b/>
          <w:bCs/>
          <w:sz w:val="20"/>
          <w:szCs w:val="20"/>
        </w:rPr>
        <w:t>F-2</w:t>
      </w:r>
      <w:r>
        <w:rPr>
          <w:sz w:val="20"/>
          <w:szCs w:val="20"/>
        </w:rPr>
        <w:t xml:space="preserve"> </w:t>
      </w:r>
    </w:p>
    <w:p w14:paraId="6878E445" w14:textId="77777777" w:rsidR="00236301" w:rsidRDefault="00084F74">
      <w:pPr>
        <w:jc w:val="center"/>
        <w:divId w:val="1733656443"/>
        <w:rPr>
          <w:rFonts w:eastAsia="Times New Roman"/>
          <w:sz w:val="20"/>
          <w:szCs w:val="20"/>
        </w:rPr>
      </w:pPr>
      <w:r>
        <w:rPr>
          <w:rFonts w:eastAsia="Times New Roman"/>
          <w:sz w:val="20"/>
          <w:szCs w:val="20"/>
        </w:rPr>
        <w:pict w14:anchorId="340DB22A">
          <v:rect id="_x0000_i1053" style="width:.05pt;height:1pt" o:hralign="center" o:hrstd="t" o:hrnoshade="t" o:hr="t" fillcolor="blue" stroked="f"/>
        </w:pict>
      </w:r>
    </w:p>
    <w:p w14:paraId="00DA1C96" w14:textId="77777777" w:rsidR="00236301" w:rsidRDefault="00265296">
      <w:pPr>
        <w:pStyle w:val="NormalWeb"/>
        <w:divId w:val="1733656443"/>
      </w:pPr>
      <w:r>
        <w:lastRenderedPageBreak/>
        <w:t> </w:t>
      </w:r>
    </w:p>
    <w:p w14:paraId="4A876116" w14:textId="77777777" w:rsidR="00236301" w:rsidRDefault="00265296">
      <w:pPr>
        <w:pStyle w:val="NormalWeb"/>
        <w:spacing w:after="240" w:afterAutospacing="0"/>
        <w:jc w:val="center"/>
        <w:divId w:val="1733656443"/>
      </w:pPr>
      <w:r>
        <w:rPr>
          <w:b/>
          <w:bCs/>
          <w:sz w:val="20"/>
          <w:szCs w:val="20"/>
        </w:rPr>
        <w:t>REPORT OF INDEPENDENT REGIST</w:t>
      </w:r>
      <w:r w:rsidR="00B23BBD">
        <w:rPr>
          <w:b/>
          <w:bCs/>
          <w:sz w:val="20"/>
          <w:szCs w:val="20"/>
        </w:rPr>
        <w:t>ER</w:t>
      </w:r>
      <w:r>
        <w:rPr>
          <w:b/>
          <w:bCs/>
          <w:sz w:val="20"/>
          <w:szCs w:val="20"/>
        </w:rPr>
        <w:t>ED PUBLIC ACCOUNTING FIRM</w:t>
      </w:r>
      <w:r>
        <w:rPr>
          <w:b/>
          <w:bCs/>
          <w:sz w:val="20"/>
          <w:szCs w:val="20"/>
        </w:rPr>
        <w:br/>
      </w:r>
      <w:r>
        <w:rPr>
          <w:b/>
          <w:bCs/>
          <w:sz w:val="20"/>
          <w:szCs w:val="20"/>
        </w:rPr>
        <w:br/>
      </w:r>
    </w:p>
    <w:p w14:paraId="46A4647B" w14:textId="77777777" w:rsidR="00236301" w:rsidRDefault="00265296">
      <w:pPr>
        <w:pStyle w:val="NormalWeb"/>
        <w:divId w:val="1733656443"/>
      </w:pPr>
      <w:r>
        <w:rPr>
          <w:sz w:val="20"/>
          <w:szCs w:val="20"/>
        </w:rPr>
        <w:t>To the Shareowners and Directors of Advanced Oxygen Technologies Inc.</w:t>
      </w:r>
    </w:p>
    <w:p w14:paraId="2BAF9FAC" w14:textId="77777777" w:rsidR="00236301" w:rsidRDefault="00265296">
      <w:pPr>
        <w:pStyle w:val="NormalWeb"/>
        <w:divId w:val="1733656443"/>
      </w:pPr>
      <w:r>
        <w:rPr>
          <w:sz w:val="20"/>
          <w:szCs w:val="20"/>
        </w:rPr>
        <w:t>In our opinion, the accompanying consolidated balance sheets and the related consolidated statements of earnings, of equity, and of cash flows present fairly, in all material respects, the financial position of Advanced Oxygen Technologies Inc. and its subsidiaries at June 30, 2015, and the results of their operations and their cash flows for each of the three fiscal years in the period ended June 30, 2015 in conformity with accounting principles generally accepted in the United States of America. In addition, in our opinion, the financial statement schedule listed in the index appearing under Item 8 presents fairly, in all material respects, the information set forth therein when read in conjunction with the related consolidated financial statements. Also in our opinion, the Company maintained, in all material respects, effective internal control over financial reporting as of June 30, 2015, based on criteria established in Internal Control - Integrated Framework issued by the Committee of Sponsoring Organizations of the Treadway Commission (COSO). The Company's management is responsible for these financial statements and financial statement schedule,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opinions on these financial statements, on the financial statement schedule, and on the Company's internal control over financial reporting based on our integrated audits. We conducted our audits in accordance with the standards of the Public Company Accounting Oversight Board (United States). Those standards require that we plan and perform the audits to obtain reasonable assurance about whether the financial statements are free of material misstatement and whether effective internal control over financial reporting was maintained in all material respects. Our audits of the financial statements included examining, on a test basis, evidence supporting the amounts and disclosures in the financial statements, assessing the accounting principles used and significant estimates made by management, and evaluating the overall financial statement presentation.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provide a reasonable basis for our opinions.</w:t>
      </w:r>
    </w:p>
    <w:p w14:paraId="0B8D4CEC" w14:textId="77777777" w:rsidR="00236301" w:rsidRDefault="00265296">
      <w:pPr>
        <w:pStyle w:val="NormalWeb"/>
        <w:spacing w:after="240" w:afterAutospacing="0"/>
        <w:divId w:val="1733656443"/>
      </w:pPr>
      <w:r>
        <w:rPr>
          <w:sz w:val="20"/>
          <w:szCs w:val="20"/>
        </w:rP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w:t>
      </w:r>
    </w:p>
    <w:p w14:paraId="46CCBF7E" w14:textId="77777777" w:rsidR="00236301" w:rsidRDefault="00265296">
      <w:pPr>
        <w:pStyle w:val="NormalWeb"/>
        <w:divId w:val="1733656443"/>
      </w:pPr>
      <w:r>
        <w:rPr>
          <w:sz w:val="20"/>
          <w:szCs w:val="20"/>
        </w:rP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14:paraId="37DB22BC" w14:textId="77777777" w:rsidR="00236301" w:rsidRDefault="00265296">
      <w:pPr>
        <w:pStyle w:val="NormalWeb"/>
        <w:spacing w:after="240" w:afterAutospacing="0"/>
        <w:divId w:val="1733656443"/>
      </w:pPr>
      <w:r>
        <w:rPr>
          <w:sz w:val="20"/>
          <w:szCs w:val="20"/>
        </w:rPr>
        <w:lastRenderedPageBreak/>
        <w:t>Copenhagen, October 1, 2015</w:t>
      </w:r>
    </w:p>
    <w:p w14:paraId="6CD05797" w14:textId="77777777" w:rsidR="00236301" w:rsidRDefault="00265296">
      <w:pPr>
        <w:pStyle w:val="NormalWeb"/>
        <w:divId w:val="1733656443"/>
      </w:pPr>
      <w:r>
        <w:rPr>
          <w:sz w:val="20"/>
          <w:szCs w:val="20"/>
        </w:rPr>
        <w:t>/s/ CHR. Mortensen Rivisionsfirma</w:t>
      </w:r>
    </w:p>
    <w:p w14:paraId="0FBD3F22" w14:textId="77777777" w:rsidR="00236301" w:rsidRDefault="00265296">
      <w:pPr>
        <w:pStyle w:val="NormalWeb"/>
        <w:divId w:val="1733656443"/>
      </w:pPr>
      <w:r>
        <w:rPr>
          <w:sz w:val="20"/>
          <w:szCs w:val="20"/>
        </w:rPr>
        <w:t>Copenhagen, Denmark</w:t>
      </w:r>
    </w:p>
    <w:p w14:paraId="6A2BB7D1" w14:textId="77777777" w:rsidR="00236301" w:rsidRDefault="00265296">
      <w:pPr>
        <w:pStyle w:val="NormalWeb"/>
        <w:divId w:val="1733656443"/>
      </w:pPr>
      <w:r>
        <w:rPr>
          <w:sz w:val="20"/>
          <w:szCs w:val="20"/>
        </w:rPr>
        <w:t>State Authorized Public Accountant</w:t>
      </w:r>
    </w:p>
    <w:p w14:paraId="2A37BD2C" w14:textId="77777777" w:rsidR="00236301" w:rsidRDefault="00265296">
      <w:pPr>
        <w:pStyle w:val="NormalWeb"/>
        <w:divId w:val="1733656443"/>
      </w:pPr>
      <w:r>
        <w:t> </w:t>
      </w:r>
    </w:p>
    <w:p w14:paraId="3760F835" w14:textId="77777777" w:rsidR="00236301" w:rsidRDefault="00236301">
      <w:pPr>
        <w:divId w:val="1733656443"/>
        <w:rPr>
          <w:rFonts w:eastAsia="Times New Roman"/>
        </w:rPr>
      </w:pPr>
    </w:p>
    <w:p w14:paraId="1E1EDE13" w14:textId="77777777" w:rsidR="00236301" w:rsidRDefault="00265296">
      <w:pPr>
        <w:pStyle w:val="NormalWeb"/>
        <w:jc w:val="center"/>
        <w:divId w:val="1733656443"/>
      </w:pPr>
      <w:r>
        <w:rPr>
          <w:b/>
          <w:bCs/>
          <w:sz w:val="20"/>
          <w:szCs w:val="20"/>
        </w:rPr>
        <w:t>F-3</w:t>
      </w:r>
    </w:p>
    <w:p w14:paraId="213A4A0F" w14:textId="77777777" w:rsidR="00236301" w:rsidRDefault="00084F74">
      <w:pPr>
        <w:jc w:val="center"/>
        <w:divId w:val="1733656443"/>
        <w:rPr>
          <w:rFonts w:eastAsia="Times New Roman"/>
          <w:sz w:val="20"/>
          <w:szCs w:val="20"/>
        </w:rPr>
      </w:pPr>
      <w:r>
        <w:rPr>
          <w:rFonts w:eastAsia="Times New Roman"/>
          <w:sz w:val="20"/>
          <w:szCs w:val="20"/>
        </w:rPr>
        <w:pict w14:anchorId="0C78CFB3">
          <v:rect id="_x0000_i1054" style="width:.05pt;height:1pt" o:hralign="center" o:hrstd="t" o:hrnoshade="t" o:hr="t" fillcolor="blue" stroked="f"/>
        </w:pict>
      </w:r>
    </w:p>
    <w:p w14:paraId="5437DC0B" w14:textId="77777777" w:rsidR="00236301" w:rsidRDefault="00236301">
      <w:pPr>
        <w:divId w:val="1733656443"/>
        <w:rPr>
          <w:rFonts w:eastAsia="Times New Roman"/>
        </w:rPr>
      </w:pPr>
    </w:p>
    <w:tbl>
      <w:tblPr>
        <w:tblW w:w="4500" w:type="pct"/>
        <w:tblCellSpacing w:w="0" w:type="dxa"/>
        <w:tblCellMar>
          <w:left w:w="0" w:type="dxa"/>
          <w:right w:w="0" w:type="dxa"/>
        </w:tblCellMar>
        <w:tblLook w:val="04A0" w:firstRow="1" w:lastRow="0" w:firstColumn="1" w:lastColumn="0" w:noHBand="0" w:noVBand="1"/>
      </w:tblPr>
      <w:tblGrid>
        <w:gridCol w:w="8164"/>
        <w:gridCol w:w="1750"/>
        <w:gridCol w:w="1750"/>
      </w:tblGrid>
      <w:tr w:rsidR="00236301" w14:paraId="17D1FF92" w14:textId="77777777" w:rsidTr="00155BFC">
        <w:trPr>
          <w:divId w:val="1733656443"/>
          <w:tblCellSpacing w:w="0" w:type="dxa"/>
        </w:trPr>
        <w:tc>
          <w:tcPr>
            <w:tcW w:w="0" w:type="auto"/>
            <w:gridSpan w:val="3"/>
            <w:shd w:val="clear" w:color="auto" w:fill="CCEEFF"/>
            <w:vAlign w:val="bottom"/>
            <w:hideMark/>
          </w:tcPr>
          <w:p w14:paraId="7E016D7B" w14:textId="77777777" w:rsidR="00236301" w:rsidRDefault="00265296">
            <w:pPr>
              <w:pStyle w:val="NormalWeb"/>
              <w:jc w:val="center"/>
            </w:pPr>
            <w:bookmarkStart w:id="22" w:name="bs"/>
            <w:bookmarkEnd w:id="22"/>
            <w:r>
              <w:rPr>
                <w:b/>
                <w:bCs/>
                <w:sz w:val="20"/>
                <w:szCs w:val="20"/>
              </w:rPr>
              <w:t> ADVANCED OXYGEN TECHNOLOGIES, INC.</w:t>
            </w:r>
            <w:r>
              <w:rPr>
                <w:b/>
                <w:bCs/>
                <w:sz w:val="20"/>
                <w:szCs w:val="20"/>
              </w:rPr>
              <w:br/>
              <w:t>AND SUBSIDIARY</w:t>
            </w:r>
            <w:r>
              <w:rPr>
                <w:b/>
                <w:bCs/>
                <w:sz w:val="20"/>
                <w:szCs w:val="20"/>
              </w:rPr>
              <w:br/>
              <w:t>CONSOL</w:t>
            </w:r>
            <w:r w:rsidR="00B23BBD">
              <w:rPr>
                <w:b/>
                <w:bCs/>
                <w:sz w:val="20"/>
                <w:szCs w:val="20"/>
              </w:rPr>
              <w:t>ID</w:t>
            </w:r>
            <w:r>
              <w:rPr>
                <w:b/>
                <w:bCs/>
                <w:sz w:val="20"/>
                <w:szCs w:val="20"/>
              </w:rPr>
              <w:t>ATED BALANCE SHEETS</w:t>
            </w:r>
          </w:p>
        </w:tc>
      </w:tr>
      <w:tr w:rsidR="00236301" w14:paraId="1972F4AE" w14:textId="77777777" w:rsidTr="00155BFC">
        <w:trPr>
          <w:divId w:val="1733656443"/>
          <w:tblCellSpacing w:w="0" w:type="dxa"/>
        </w:trPr>
        <w:tc>
          <w:tcPr>
            <w:tcW w:w="3500" w:type="pct"/>
            <w:shd w:val="clear" w:color="auto" w:fill="FFFFFF"/>
            <w:vAlign w:val="bottom"/>
            <w:hideMark/>
          </w:tcPr>
          <w:p w14:paraId="6E464F7D" w14:textId="77777777" w:rsidR="00236301" w:rsidRDefault="00265296">
            <w:pPr>
              <w:rPr>
                <w:rFonts w:eastAsia="Times New Roman"/>
              </w:rPr>
            </w:pPr>
            <w:r>
              <w:rPr>
                <w:rFonts w:eastAsia="Times New Roman"/>
              </w:rPr>
              <w:t> </w:t>
            </w:r>
          </w:p>
        </w:tc>
        <w:tc>
          <w:tcPr>
            <w:tcW w:w="0" w:type="auto"/>
            <w:gridSpan w:val="2"/>
            <w:shd w:val="clear" w:color="auto" w:fill="FFFFFF"/>
            <w:vAlign w:val="bottom"/>
            <w:hideMark/>
          </w:tcPr>
          <w:p w14:paraId="1A646B3E" w14:textId="77777777" w:rsidR="00236301" w:rsidRDefault="00265296">
            <w:pPr>
              <w:pStyle w:val="NormalWeb"/>
              <w:jc w:val="center"/>
            </w:pPr>
            <w:r>
              <w:rPr>
                <w:b/>
                <w:bCs/>
                <w:sz w:val="20"/>
                <w:szCs w:val="20"/>
              </w:rPr>
              <w:t>As of June 30,</w:t>
            </w:r>
          </w:p>
        </w:tc>
      </w:tr>
      <w:tr w:rsidR="00236301" w14:paraId="3A37CE34" w14:textId="77777777" w:rsidTr="00155BFC">
        <w:trPr>
          <w:divId w:val="1733656443"/>
          <w:tblCellSpacing w:w="0" w:type="dxa"/>
        </w:trPr>
        <w:tc>
          <w:tcPr>
            <w:tcW w:w="0" w:type="auto"/>
            <w:shd w:val="clear" w:color="auto" w:fill="CCEEFF"/>
            <w:vAlign w:val="bottom"/>
            <w:hideMark/>
          </w:tcPr>
          <w:p w14:paraId="6A2171CD" w14:textId="77777777" w:rsidR="00236301" w:rsidRDefault="00265296">
            <w:pPr>
              <w:pStyle w:val="NormalWeb"/>
            </w:pPr>
            <w:r>
              <w:rPr>
                <w:b/>
                <w:bCs/>
                <w:sz w:val="20"/>
                <w:szCs w:val="20"/>
              </w:rPr>
              <w:t>ASSETS</w:t>
            </w:r>
          </w:p>
        </w:tc>
        <w:tc>
          <w:tcPr>
            <w:tcW w:w="750" w:type="pct"/>
            <w:shd w:val="clear" w:color="auto" w:fill="CCEEFF"/>
            <w:vAlign w:val="bottom"/>
            <w:hideMark/>
          </w:tcPr>
          <w:p w14:paraId="2017C753" w14:textId="77777777" w:rsidR="00236301" w:rsidRDefault="00265296">
            <w:pPr>
              <w:pStyle w:val="NormalWeb"/>
              <w:jc w:val="center"/>
            </w:pPr>
            <w:r>
              <w:rPr>
                <w:b/>
                <w:bCs/>
                <w:sz w:val="20"/>
                <w:szCs w:val="20"/>
              </w:rPr>
              <w:t>2016 </w:t>
            </w:r>
          </w:p>
          <w:p w14:paraId="4B468CAD" w14:textId="77777777" w:rsidR="00236301" w:rsidRDefault="00084F74">
            <w:pPr>
              <w:rPr>
                <w:rFonts w:eastAsia="Times New Roman"/>
              </w:rPr>
            </w:pPr>
            <w:r>
              <w:rPr>
                <w:rFonts w:eastAsia="Times New Roman"/>
              </w:rPr>
              <w:pict w14:anchorId="11C4C2B9">
                <v:rect id="_x0000_i1055" style="width:.05pt;height:1pt" o:hralign="center" o:hrstd="t" o:hr="t" fillcolor="#a0a0a0" stroked="f"/>
              </w:pict>
            </w:r>
          </w:p>
        </w:tc>
        <w:tc>
          <w:tcPr>
            <w:tcW w:w="750" w:type="pct"/>
            <w:shd w:val="clear" w:color="auto" w:fill="CCEEFF"/>
            <w:vAlign w:val="bottom"/>
            <w:hideMark/>
          </w:tcPr>
          <w:p w14:paraId="6C8F944C" w14:textId="77777777" w:rsidR="00236301" w:rsidRDefault="00265296">
            <w:pPr>
              <w:pStyle w:val="NormalWeb"/>
              <w:jc w:val="center"/>
            </w:pPr>
            <w:r>
              <w:rPr>
                <w:b/>
                <w:bCs/>
                <w:sz w:val="20"/>
                <w:szCs w:val="20"/>
              </w:rPr>
              <w:t>2015 </w:t>
            </w:r>
          </w:p>
          <w:p w14:paraId="5B392470" w14:textId="77777777" w:rsidR="00236301" w:rsidRDefault="00084F74">
            <w:pPr>
              <w:jc w:val="center"/>
              <w:rPr>
                <w:rFonts w:eastAsia="Times New Roman"/>
              </w:rPr>
            </w:pPr>
            <w:r>
              <w:rPr>
                <w:rFonts w:eastAsia="Times New Roman"/>
              </w:rPr>
              <w:pict w14:anchorId="446EEBA1">
                <v:rect id="_x0000_i1056" style="width:.05pt;height:1pt" o:hralign="center" o:hrstd="t" o:hr="t" fillcolor="#a0a0a0" stroked="f"/>
              </w:pict>
            </w:r>
          </w:p>
        </w:tc>
      </w:tr>
      <w:tr w:rsidR="00236301" w14:paraId="7D2A7C83" w14:textId="77777777" w:rsidTr="00155BFC">
        <w:trPr>
          <w:divId w:val="1733656443"/>
          <w:tblCellSpacing w:w="0" w:type="dxa"/>
        </w:trPr>
        <w:tc>
          <w:tcPr>
            <w:tcW w:w="0" w:type="auto"/>
            <w:shd w:val="clear" w:color="auto" w:fill="FFFFFF"/>
            <w:vAlign w:val="bottom"/>
            <w:hideMark/>
          </w:tcPr>
          <w:p w14:paraId="09EE81DA" w14:textId="77777777" w:rsidR="00236301" w:rsidRDefault="00265296">
            <w:pPr>
              <w:pStyle w:val="NormalWeb"/>
            </w:pPr>
            <w:r>
              <w:rPr>
                <w:sz w:val="20"/>
                <w:szCs w:val="20"/>
              </w:rPr>
              <w:t> </w:t>
            </w:r>
          </w:p>
        </w:tc>
        <w:tc>
          <w:tcPr>
            <w:tcW w:w="0" w:type="auto"/>
            <w:shd w:val="clear" w:color="auto" w:fill="FFFFFF"/>
            <w:vAlign w:val="bottom"/>
            <w:hideMark/>
          </w:tcPr>
          <w:p w14:paraId="1DF83D52" w14:textId="77777777" w:rsidR="00236301" w:rsidRDefault="00265296">
            <w:pPr>
              <w:rPr>
                <w:rFonts w:eastAsia="Times New Roman"/>
              </w:rPr>
            </w:pPr>
            <w:r>
              <w:rPr>
                <w:rFonts w:eastAsia="Times New Roman"/>
              </w:rPr>
              <w:t> </w:t>
            </w:r>
          </w:p>
        </w:tc>
        <w:tc>
          <w:tcPr>
            <w:tcW w:w="0" w:type="auto"/>
            <w:shd w:val="clear" w:color="auto" w:fill="FFFFFF"/>
            <w:vAlign w:val="bottom"/>
            <w:hideMark/>
          </w:tcPr>
          <w:p w14:paraId="5755444F" w14:textId="77777777" w:rsidR="00236301" w:rsidRDefault="00265296">
            <w:pPr>
              <w:rPr>
                <w:rFonts w:eastAsia="Times New Roman"/>
              </w:rPr>
            </w:pPr>
            <w:r>
              <w:rPr>
                <w:rFonts w:eastAsia="Times New Roman"/>
              </w:rPr>
              <w:t> </w:t>
            </w:r>
          </w:p>
        </w:tc>
      </w:tr>
      <w:tr w:rsidR="00236301" w14:paraId="4A3DF35F" w14:textId="77777777" w:rsidTr="00155BFC">
        <w:trPr>
          <w:divId w:val="1733656443"/>
          <w:tblCellSpacing w:w="0" w:type="dxa"/>
        </w:trPr>
        <w:tc>
          <w:tcPr>
            <w:tcW w:w="0" w:type="auto"/>
            <w:shd w:val="clear" w:color="auto" w:fill="CCEEFF"/>
            <w:vAlign w:val="bottom"/>
            <w:hideMark/>
          </w:tcPr>
          <w:p w14:paraId="61F7AA6B" w14:textId="77777777" w:rsidR="00236301" w:rsidRDefault="00265296">
            <w:pPr>
              <w:pStyle w:val="NormalWeb"/>
            </w:pPr>
            <w:r>
              <w:rPr>
                <w:sz w:val="20"/>
                <w:szCs w:val="20"/>
              </w:rPr>
              <w:t>CURRENT ASSETS</w:t>
            </w:r>
          </w:p>
        </w:tc>
        <w:tc>
          <w:tcPr>
            <w:tcW w:w="0" w:type="auto"/>
            <w:shd w:val="clear" w:color="auto" w:fill="CCEEFF"/>
            <w:vAlign w:val="bottom"/>
            <w:hideMark/>
          </w:tcPr>
          <w:p w14:paraId="7551BC62" w14:textId="77777777" w:rsidR="00236301" w:rsidRDefault="00265296">
            <w:pPr>
              <w:rPr>
                <w:rFonts w:eastAsia="Times New Roman"/>
              </w:rPr>
            </w:pPr>
            <w:r>
              <w:rPr>
                <w:rFonts w:eastAsia="Times New Roman"/>
              </w:rPr>
              <w:t> </w:t>
            </w:r>
          </w:p>
        </w:tc>
        <w:tc>
          <w:tcPr>
            <w:tcW w:w="0" w:type="auto"/>
            <w:shd w:val="clear" w:color="auto" w:fill="CCEEFF"/>
            <w:vAlign w:val="bottom"/>
            <w:hideMark/>
          </w:tcPr>
          <w:p w14:paraId="5BB502EC" w14:textId="77777777" w:rsidR="00236301" w:rsidRDefault="00265296">
            <w:pPr>
              <w:rPr>
                <w:rFonts w:eastAsia="Times New Roman"/>
              </w:rPr>
            </w:pPr>
            <w:r>
              <w:rPr>
                <w:rFonts w:eastAsia="Times New Roman"/>
              </w:rPr>
              <w:t> </w:t>
            </w:r>
          </w:p>
        </w:tc>
      </w:tr>
      <w:tr w:rsidR="00236301" w14:paraId="0C0CDD92" w14:textId="77777777" w:rsidTr="00155BFC">
        <w:trPr>
          <w:divId w:val="1733656443"/>
          <w:tblCellSpacing w:w="0" w:type="dxa"/>
        </w:trPr>
        <w:tc>
          <w:tcPr>
            <w:tcW w:w="0" w:type="auto"/>
            <w:shd w:val="clear" w:color="auto" w:fill="FFFFFF"/>
            <w:vAlign w:val="bottom"/>
            <w:hideMark/>
          </w:tcPr>
          <w:p w14:paraId="45AE62F8" w14:textId="77777777" w:rsidR="00236301" w:rsidRDefault="00265296">
            <w:pPr>
              <w:pStyle w:val="NormalWeb"/>
            </w:pPr>
            <w:r>
              <w:rPr>
                <w:sz w:val="20"/>
                <w:szCs w:val="20"/>
              </w:rPr>
              <w:t>   Cash</w:t>
            </w:r>
          </w:p>
        </w:tc>
        <w:tc>
          <w:tcPr>
            <w:tcW w:w="0" w:type="auto"/>
            <w:shd w:val="clear" w:color="auto" w:fill="FFFFFF"/>
            <w:vAlign w:val="bottom"/>
            <w:hideMark/>
          </w:tcPr>
          <w:p w14:paraId="4E17ADAB" w14:textId="77777777" w:rsidR="00236301" w:rsidRDefault="00265296">
            <w:pPr>
              <w:pStyle w:val="NormalWeb"/>
              <w:jc w:val="right"/>
            </w:pPr>
            <w:r>
              <w:rPr>
                <w:sz w:val="20"/>
                <w:szCs w:val="20"/>
              </w:rPr>
              <w:t>$     46,170</w:t>
            </w:r>
          </w:p>
        </w:tc>
        <w:tc>
          <w:tcPr>
            <w:tcW w:w="0" w:type="auto"/>
            <w:shd w:val="clear" w:color="auto" w:fill="FFFFFF"/>
            <w:vAlign w:val="bottom"/>
            <w:hideMark/>
          </w:tcPr>
          <w:p w14:paraId="7D6E5056" w14:textId="77777777" w:rsidR="00236301" w:rsidRDefault="00265296">
            <w:pPr>
              <w:pStyle w:val="NormalWeb"/>
              <w:jc w:val="right"/>
            </w:pPr>
            <w:r>
              <w:rPr>
                <w:sz w:val="20"/>
                <w:szCs w:val="20"/>
              </w:rPr>
              <w:t>$     68,260</w:t>
            </w:r>
          </w:p>
        </w:tc>
      </w:tr>
      <w:tr w:rsidR="00236301" w14:paraId="77F0954C" w14:textId="77777777" w:rsidTr="00155BFC">
        <w:trPr>
          <w:divId w:val="1733656443"/>
          <w:tblCellSpacing w:w="0" w:type="dxa"/>
        </w:trPr>
        <w:tc>
          <w:tcPr>
            <w:tcW w:w="0" w:type="auto"/>
            <w:shd w:val="clear" w:color="auto" w:fill="CCEEFF"/>
            <w:vAlign w:val="bottom"/>
            <w:hideMark/>
          </w:tcPr>
          <w:p w14:paraId="649CD3EC" w14:textId="77777777" w:rsidR="00236301" w:rsidRDefault="00265296">
            <w:pPr>
              <w:pStyle w:val="NormalWeb"/>
            </w:pPr>
            <w:r>
              <w:rPr>
                <w:sz w:val="20"/>
                <w:szCs w:val="20"/>
              </w:rPr>
              <w:t>   Deferred Taxes</w:t>
            </w:r>
          </w:p>
        </w:tc>
        <w:tc>
          <w:tcPr>
            <w:tcW w:w="0" w:type="auto"/>
            <w:shd w:val="clear" w:color="auto" w:fill="CCEEFF"/>
            <w:vAlign w:val="bottom"/>
            <w:hideMark/>
          </w:tcPr>
          <w:p w14:paraId="6F7AF32D" w14:textId="77777777" w:rsidR="00236301" w:rsidRDefault="00265296">
            <w:pPr>
              <w:jc w:val="right"/>
              <w:rPr>
                <w:rFonts w:eastAsia="Times New Roman"/>
              </w:rPr>
            </w:pPr>
            <w:r>
              <w:rPr>
                <w:rFonts w:eastAsia="Times New Roman"/>
                <w:sz w:val="20"/>
                <w:szCs w:val="20"/>
              </w:rPr>
              <w:t>1,173</w:t>
            </w:r>
          </w:p>
        </w:tc>
        <w:tc>
          <w:tcPr>
            <w:tcW w:w="0" w:type="auto"/>
            <w:shd w:val="clear" w:color="auto" w:fill="CCEEFF"/>
            <w:vAlign w:val="bottom"/>
            <w:hideMark/>
          </w:tcPr>
          <w:p w14:paraId="5ACFFB82" w14:textId="77777777" w:rsidR="00236301" w:rsidRDefault="00265296">
            <w:pPr>
              <w:jc w:val="right"/>
              <w:rPr>
                <w:rFonts w:eastAsia="Times New Roman"/>
              </w:rPr>
            </w:pPr>
            <w:r>
              <w:rPr>
                <w:rFonts w:eastAsia="Times New Roman"/>
                <w:sz w:val="20"/>
                <w:szCs w:val="20"/>
              </w:rPr>
              <w:t>1,194</w:t>
            </w:r>
          </w:p>
        </w:tc>
      </w:tr>
      <w:tr w:rsidR="00236301" w14:paraId="67F47672" w14:textId="77777777" w:rsidTr="00155BFC">
        <w:trPr>
          <w:divId w:val="1733656443"/>
          <w:tblCellSpacing w:w="0" w:type="dxa"/>
        </w:trPr>
        <w:tc>
          <w:tcPr>
            <w:tcW w:w="0" w:type="auto"/>
            <w:shd w:val="clear" w:color="auto" w:fill="FFFFFF"/>
            <w:vAlign w:val="bottom"/>
            <w:hideMark/>
          </w:tcPr>
          <w:p w14:paraId="639C741A" w14:textId="77777777" w:rsidR="00236301" w:rsidRDefault="00265296">
            <w:pPr>
              <w:rPr>
                <w:rFonts w:eastAsia="Times New Roman"/>
              </w:rPr>
            </w:pPr>
            <w:r>
              <w:rPr>
                <w:rFonts w:eastAsia="Times New Roman"/>
              </w:rPr>
              <w:t> </w:t>
            </w:r>
          </w:p>
        </w:tc>
        <w:tc>
          <w:tcPr>
            <w:tcW w:w="0" w:type="auto"/>
            <w:shd w:val="clear" w:color="auto" w:fill="FFFFFF"/>
            <w:vAlign w:val="bottom"/>
            <w:hideMark/>
          </w:tcPr>
          <w:p w14:paraId="041EEE14" w14:textId="77777777" w:rsidR="00236301" w:rsidRDefault="00265296">
            <w:pPr>
              <w:pStyle w:val="NormalWeb"/>
              <w:jc w:val="right"/>
            </w:pPr>
            <w:r>
              <w:rPr>
                <w:sz w:val="20"/>
                <w:szCs w:val="20"/>
              </w:rPr>
              <w:t>------------</w:t>
            </w:r>
          </w:p>
        </w:tc>
        <w:tc>
          <w:tcPr>
            <w:tcW w:w="0" w:type="auto"/>
            <w:shd w:val="clear" w:color="auto" w:fill="FFFFFF"/>
            <w:vAlign w:val="bottom"/>
            <w:hideMark/>
          </w:tcPr>
          <w:p w14:paraId="31A02692" w14:textId="77777777" w:rsidR="00236301" w:rsidRDefault="00265296">
            <w:pPr>
              <w:pStyle w:val="NormalWeb"/>
              <w:jc w:val="right"/>
            </w:pPr>
            <w:r>
              <w:rPr>
                <w:sz w:val="20"/>
                <w:szCs w:val="20"/>
              </w:rPr>
              <w:t>------------</w:t>
            </w:r>
          </w:p>
        </w:tc>
      </w:tr>
      <w:tr w:rsidR="00236301" w14:paraId="281BA09E" w14:textId="77777777" w:rsidTr="00155BFC">
        <w:trPr>
          <w:divId w:val="1733656443"/>
          <w:tblCellSpacing w:w="0" w:type="dxa"/>
        </w:trPr>
        <w:tc>
          <w:tcPr>
            <w:tcW w:w="0" w:type="auto"/>
            <w:shd w:val="clear" w:color="auto" w:fill="CCEEFF"/>
            <w:vAlign w:val="bottom"/>
            <w:hideMark/>
          </w:tcPr>
          <w:p w14:paraId="2870D13A" w14:textId="77777777" w:rsidR="00236301" w:rsidRDefault="00265296">
            <w:pPr>
              <w:pStyle w:val="NormalWeb"/>
            </w:pPr>
            <w:r>
              <w:rPr>
                <w:sz w:val="20"/>
                <w:szCs w:val="20"/>
              </w:rPr>
              <w:t>   Total Current Assets</w:t>
            </w:r>
          </w:p>
        </w:tc>
        <w:tc>
          <w:tcPr>
            <w:tcW w:w="0" w:type="auto"/>
            <w:shd w:val="clear" w:color="auto" w:fill="CCEEFF"/>
            <w:vAlign w:val="bottom"/>
            <w:hideMark/>
          </w:tcPr>
          <w:p w14:paraId="0B17616F" w14:textId="77777777" w:rsidR="00236301" w:rsidRDefault="00265296">
            <w:pPr>
              <w:pStyle w:val="NormalWeb"/>
              <w:jc w:val="right"/>
            </w:pPr>
            <w:r>
              <w:rPr>
                <w:sz w:val="20"/>
                <w:szCs w:val="20"/>
              </w:rPr>
              <w:t>47,343</w:t>
            </w:r>
          </w:p>
        </w:tc>
        <w:tc>
          <w:tcPr>
            <w:tcW w:w="0" w:type="auto"/>
            <w:shd w:val="clear" w:color="auto" w:fill="CCEEFF"/>
            <w:vAlign w:val="bottom"/>
            <w:hideMark/>
          </w:tcPr>
          <w:p w14:paraId="1B019E1E" w14:textId="77777777" w:rsidR="00236301" w:rsidRDefault="00265296">
            <w:pPr>
              <w:pStyle w:val="NormalWeb"/>
              <w:jc w:val="right"/>
            </w:pPr>
            <w:r>
              <w:rPr>
                <w:sz w:val="20"/>
                <w:szCs w:val="20"/>
              </w:rPr>
              <w:t>69,454</w:t>
            </w:r>
          </w:p>
        </w:tc>
      </w:tr>
      <w:tr w:rsidR="00236301" w14:paraId="0E46DFAA" w14:textId="77777777" w:rsidTr="00155BFC">
        <w:trPr>
          <w:divId w:val="1733656443"/>
          <w:tblCellSpacing w:w="0" w:type="dxa"/>
        </w:trPr>
        <w:tc>
          <w:tcPr>
            <w:tcW w:w="0" w:type="auto"/>
            <w:shd w:val="clear" w:color="auto" w:fill="FFFFFF"/>
            <w:vAlign w:val="bottom"/>
            <w:hideMark/>
          </w:tcPr>
          <w:p w14:paraId="46ED9E52" w14:textId="77777777" w:rsidR="00236301" w:rsidRDefault="00265296">
            <w:pPr>
              <w:pStyle w:val="NormalWeb"/>
            </w:pPr>
            <w:r>
              <w:rPr>
                <w:sz w:val="20"/>
                <w:szCs w:val="20"/>
              </w:rPr>
              <w:t> </w:t>
            </w:r>
          </w:p>
        </w:tc>
        <w:tc>
          <w:tcPr>
            <w:tcW w:w="0" w:type="auto"/>
            <w:shd w:val="clear" w:color="auto" w:fill="FFFFFF"/>
            <w:vAlign w:val="bottom"/>
            <w:hideMark/>
          </w:tcPr>
          <w:p w14:paraId="24DF9039" w14:textId="77777777" w:rsidR="00236301" w:rsidRDefault="00265296">
            <w:pPr>
              <w:rPr>
                <w:rFonts w:eastAsia="Times New Roman"/>
              </w:rPr>
            </w:pPr>
            <w:r>
              <w:rPr>
                <w:rFonts w:eastAsia="Times New Roman"/>
              </w:rPr>
              <w:t> </w:t>
            </w:r>
          </w:p>
        </w:tc>
        <w:tc>
          <w:tcPr>
            <w:tcW w:w="0" w:type="auto"/>
            <w:shd w:val="clear" w:color="auto" w:fill="FFFFFF"/>
            <w:vAlign w:val="bottom"/>
            <w:hideMark/>
          </w:tcPr>
          <w:p w14:paraId="2FACABC8" w14:textId="77777777" w:rsidR="00236301" w:rsidRDefault="00265296">
            <w:pPr>
              <w:rPr>
                <w:rFonts w:eastAsia="Times New Roman"/>
              </w:rPr>
            </w:pPr>
            <w:r>
              <w:rPr>
                <w:rFonts w:eastAsia="Times New Roman"/>
              </w:rPr>
              <w:t> </w:t>
            </w:r>
          </w:p>
        </w:tc>
      </w:tr>
      <w:tr w:rsidR="00236301" w14:paraId="01415691" w14:textId="77777777" w:rsidTr="00155BFC">
        <w:trPr>
          <w:divId w:val="1733656443"/>
          <w:tblCellSpacing w:w="0" w:type="dxa"/>
        </w:trPr>
        <w:tc>
          <w:tcPr>
            <w:tcW w:w="0" w:type="auto"/>
            <w:shd w:val="clear" w:color="auto" w:fill="CCEEFF"/>
            <w:vAlign w:val="bottom"/>
            <w:hideMark/>
          </w:tcPr>
          <w:p w14:paraId="4FFF4596" w14:textId="77777777" w:rsidR="00236301" w:rsidRDefault="00265296">
            <w:pPr>
              <w:pStyle w:val="NormalWeb"/>
            </w:pPr>
            <w:r>
              <w:rPr>
                <w:sz w:val="20"/>
                <w:szCs w:val="20"/>
              </w:rPr>
              <w:t>FIXED ASSETS</w:t>
            </w:r>
          </w:p>
        </w:tc>
        <w:tc>
          <w:tcPr>
            <w:tcW w:w="0" w:type="auto"/>
            <w:shd w:val="clear" w:color="auto" w:fill="CCEEFF"/>
            <w:vAlign w:val="bottom"/>
            <w:hideMark/>
          </w:tcPr>
          <w:p w14:paraId="0F1D7A9D" w14:textId="77777777" w:rsidR="00236301" w:rsidRDefault="00265296">
            <w:pPr>
              <w:rPr>
                <w:rFonts w:eastAsia="Times New Roman"/>
              </w:rPr>
            </w:pPr>
            <w:r>
              <w:rPr>
                <w:rFonts w:eastAsia="Times New Roman"/>
              </w:rPr>
              <w:t> </w:t>
            </w:r>
          </w:p>
        </w:tc>
        <w:tc>
          <w:tcPr>
            <w:tcW w:w="0" w:type="auto"/>
            <w:shd w:val="clear" w:color="auto" w:fill="CCEEFF"/>
            <w:vAlign w:val="bottom"/>
            <w:hideMark/>
          </w:tcPr>
          <w:p w14:paraId="78F59AD2" w14:textId="77777777" w:rsidR="00236301" w:rsidRDefault="00265296">
            <w:pPr>
              <w:rPr>
                <w:rFonts w:eastAsia="Times New Roman"/>
              </w:rPr>
            </w:pPr>
            <w:r>
              <w:rPr>
                <w:rFonts w:eastAsia="Times New Roman"/>
              </w:rPr>
              <w:t> </w:t>
            </w:r>
          </w:p>
        </w:tc>
      </w:tr>
      <w:tr w:rsidR="00236301" w14:paraId="793945D3" w14:textId="77777777" w:rsidTr="00155BFC">
        <w:trPr>
          <w:divId w:val="1733656443"/>
          <w:tblCellSpacing w:w="0" w:type="dxa"/>
        </w:trPr>
        <w:tc>
          <w:tcPr>
            <w:tcW w:w="0" w:type="auto"/>
            <w:shd w:val="clear" w:color="auto" w:fill="FFFFFF"/>
            <w:vAlign w:val="bottom"/>
            <w:hideMark/>
          </w:tcPr>
          <w:p w14:paraId="42A297EC" w14:textId="77777777" w:rsidR="00236301" w:rsidRDefault="00265296">
            <w:pPr>
              <w:pStyle w:val="NormalWeb"/>
            </w:pPr>
            <w:r>
              <w:rPr>
                <w:sz w:val="20"/>
                <w:szCs w:val="20"/>
              </w:rPr>
              <w:t>Land and buildings</w:t>
            </w:r>
          </w:p>
        </w:tc>
        <w:tc>
          <w:tcPr>
            <w:tcW w:w="0" w:type="auto"/>
            <w:shd w:val="clear" w:color="auto" w:fill="FFFFFF"/>
            <w:vAlign w:val="bottom"/>
            <w:hideMark/>
          </w:tcPr>
          <w:p w14:paraId="72AB08C2" w14:textId="4FEC4A11" w:rsidR="00236301" w:rsidRDefault="00265296" w:rsidP="00A11D9A">
            <w:pPr>
              <w:pStyle w:val="NormalWeb"/>
              <w:jc w:val="right"/>
            </w:pPr>
            <w:r>
              <w:rPr>
                <w:sz w:val="20"/>
                <w:szCs w:val="20"/>
              </w:rPr>
              <w:t>595,2</w:t>
            </w:r>
            <w:r w:rsidR="00A11D9A">
              <w:rPr>
                <w:sz w:val="20"/>
                <w:szCs w:val="20"/>
              </w:rPr>
              <w:t>80</w:t>
            </w:r>
          </w:p>
        </w:tc>
        <w:tc>
          <w:tcPr>
            <w:tcW w:w="0" w:type="auto"/>
            <w:shd w:val="clear" w:color="auto" w:fill="FFFFFF"/>
            <w:vAlign w:val="bottom"/>
            <w:hideMark/>
          </w:tcPr>
          <w:p w14:paraId="267BDF7B" w14:textId="520F0A36" w:rsidR="00236301" w:rsidRDefault="00935664">
            <w:pPr>
              <w:pStyle w:val="NormalWeb"/>
              <w:jc w:val="right"/>
            </w:pPr>
            <w:r>
              <w:rPr>
                <w:sz w:val="20"/>
                <w:szCs w:val="20"/>
              </w:rPr>
              <w:t>605,448</w:t>
            </w:r>
          </w:p>
        </w:tc>
      </w:tr>
      <w:tr w:rsidR="00236301" w14:paraId="4E0AC4D5" w14:textId="77777777" w:rsidTr="00155BFC">
        <w:trPr>
          <w:divId w:val="1733656443"/>
          <w:tblCellSpacing w:w="0" w:type="dxa"/>
        </w:trPr>
        <w:tc>
          <w:tcPr>
            <w:tcW w:w="0" w:type="auto"/>
            <w:shd w:val="clear" w:color="auto" w:fill="CCEEFF"/>
            <w:vAlign w:val="bottom"/>
            <w:hideMark/>
          </w:tcPr>
          <w:p w14:paraId="2538AF2F" w14:textId="77777777" w:rsidR="00236301" w:rsidRDefault="00265296">
            <w:pPr>
              <w:pStyle w:val="NormalWeb"/>
            </w:pPr>
            <w:r>
              <w:rPr>
                <w:sz w:val="20"/>
                <w:szCs w:val="20"/>
              </w:rPr>
              <w:t> </w:t>
            </w:r>
          </w:p>
        </w:tc>
        <w:tc>
          <w:tcPr>
            <w:tcW w:w="0" w:type="auto"/>
            <w:shd w:val="clear" w:color="auto" w:fill="CCEEFF"/>
            <w:vAlign w:val="bottom"/>
            <w:hideMark/>
          </w:tcPr>
          <w:p w14:paraId="0AA5578C" w14:textId="77777777" w:rsidR="00236301" w:rsidRDefault="00265296">
            <w:pPr>
              <w:pStyle w:val="NormalWeb"/>
              <w:jc w:val="right"/>
            </w:pPr>
            <w:r>
              <w:rPr>
                <w:sz w:val="20"/>
                <w:szCs w:val="20"/>
              </w:rPr>
              <w:t>------------</w:t>
            </w:r>
          </w:p>
        </w:tc>
        <w:tc>
          <w:tcPr>
            <w:tcW w:w="0" w:type="auto"/>
            <w:shd w:val="clear" w:color="auto" w:fill="CCEEFF"/>
            <w:vAlign w:val="bottom"/>
            <w:hideMark/>
          </w:tcPr>
          <w:p w14:paraId="041C558D" w14:textId="77777777" w:rsidR="00236301" w:rsidRDefault="00265296">
            <w:pPr>
              <w:pStyle w:val="NormalWeb"/>
              <w:jc w:val="right"/>
            </w:pPr>
            <w:r>
              <w:rPr>
                <w:sz w:val="20"/>
                <w:szCs w:val="20"/>
              </w:rPr>
              <w:t>------------</w:t>
            </w:r>
          </w:p>
        </w:tc>
      </w:tr>
      <w:tr w:rsidR="00236301" w14:paraId="38F79B5F" w14:textId="77777777" w:rsidTr="00155BFC">
        <w:trPr>
          <w:divId w:val="1733656443"/>
          <w:tblCellSpacing w:w="0" w:type="dxa"/>
        </w:trPr>
        <w:tc>
          <w:tcPr>
            <w:tcW w:w="0" w:type="auto"/>
            <w:shd w:val="clear" w:color="auto" w:fill="FFFFFF"/>
            <w:vAlign w:val="bottom"/>
            <w:hideMark/>
          </w:tcPr>
          <w:p w14:paraId="0E2E0B94" w14:textId="77777777" w:rsidR="00236301" w:rsidRDefault="00265296">
            <w:pPr>
              <w:pStyle w:val="NormalWeb"/>
            </w:pPr>
            <w:r>
              <w:rPr>
                <w:sz w:val="20"/>
                <w:szCs w:val="20"/>
              </w:rPr>
              <w:t>TOTAL ASSETS</w:t>
            </w:r>
          </w:p>
        </w:tc>
        <w:tc>
          <w:tcPr>
            <w:tcW w:w="0" w:type="auto"/>
            <w:shd w:val="clear" w:color="auto" w:fill="FFFFFF"/>
            <w:vAlign w:val="bottom"/>
            <w:hideMark/>
          </w:tcPr>
          <w:p w14:paraId="177EEB55" w14:textId="21D1F48D" w:rsidR="00236301" w:rsidRDefault="00265296" w:rsidP="00A11D9A">
            <w:pPr>
              <w:pStyle w:val="NormalWeb"/>
              <w:jc w:val="right"/>
            </w:pPr>
            <w:r>
              <w:rPr>
                <w:sz w:val="20"/>
                <w:szCs w:val="20"/>
              </w:rPr>
              <w:t>$    642,6</w:t>
            </w:r>
            <w:r w:rsidR="00A11D9A">
              <w:rPr>
                <w:sz w:val="20"/>
                <w:szCs w:val="20"/>
              </w:rPr>
              <w:t>23</w:t>
            </w:r>
          </w:p>
        </w:tc>
        <w:tc>
          <w:tcPr>
            <w:tcW w:w="0" w:type="auto"/>
            <w:shd w:val="clear" w:color="auto" w:fill="FFFFFF"/>
            <w:vAlign w:val="bottom"/>
            <w:hideMark/>
          </w:tcPr>
          <w:p w14:paraId="7B16E90D" w14:textId="04F266B8" w:rsidR="00236301" w:rsidRDefault="00265296" w:rsidP="00155BFC">
            <w:pPr>
              <w:pStyle w:val="NormalWeb"/>
              <w:jc w:val="right"/>
            </w:pPr>
            <w:r>
              <w:rPr>
                <w:sz w:val="20"/>
                <w:szCs w:val="20"/>
              </w:rPr>
              <w:t xml:space="preserve">$    </w:t>
            </w:r>
            <w:r w:rsidR="00935664">
              <w:rPr>
                <w:sz w:val="20"/>
                <w:szCs w:val="20"/>
              </w:rPr>
              <w:t>67</w:t>
            </w:r>
            <w:r w:rsidR="00155BFC">
              <w:rPr>
                <w:sz w:val="20"/>
                <w:szCs w:val="20"/>
              </w:rPr>
              <w:t>4</w:t>
            </w:r>
            <w:r w:rsidR="00935664">
              <w:rPr>
                <w:sz w:val="20"/>
                <w:szCs w:val="20"/>
              </w:rPr>
              <w:t>,902</w:t>
            </w:r>
          </w:p>
        </w:tc>
      </w:tr>
      <w:tr w:rsidR="00236301" w14:paraId="20EAB55D" w14:textId="77777777" w:rsidTr="00155BFC">
        <w:trPr>
          <w:divId w:val="1733656443"/>
          <w:tblCellSpacing w:w="0" w:type="dxa"/>
        </w:trPr>
        <w:tc>
          <w:tcPr>
            <w:tcW w:w="0" w:type="auto"/>
            <w:shd w:val="clear" w:color="auto" w:fill="CCEEFF"/>
            <w:vAlign w:val="bottom"/>
            <w:hideMark/>
          </w:tcPr>
          <w:p w14:paraId="0E106AE6" w14:textId="220F0F9B" w:rsidR="00236301" w:rsidRDefault="00236301">
            <w:pPr>
              <w:pStyle w:val="NormalWeb"/>
              <w:jc w:val="center"/>
            </w:pPr>
          </w:p>
        </w:tc>
        <w:tc>
          <w:tcPr>
            <w:tcW w:w="0" w:type="auto"/>
            <w:shd w:val="clear" w:color="auto" w:fill="CCEEFF"/>
            <w:vAlign w:val="bottom"/>
            <w:hideMark/>
          </w:tcPr>
          <w:p w14:paraId="26E1B5CD" w14:textId="77777777" w:rsidR="00236301" w:rsidRDefault="00265296">
            <w:pPr>
              <w:pStyle w:val="NormalWeb"/>
              <w:jc w:val="right"/>
            </w:pPr>
            <w:r>
              <w:rPr>
                <w:sz w:val="20"/>
                <w:szCs w:val="20"/>
              </w:rPr>
              <w:t>============</w:t>
            </w:r>
          </w:p>
        </w:tc>
        <w:tc>
          <w:tcPr>
            <w:tcW w:w="0" w:type="auto"/>
            <w:shd w:val="clear" w:color="auto" w:fill="CCEEFF"/>
            <w:vAlign w:val="bottom"/>
            <w:hideMark/>
          </w:tcPr>
          <w:p w14:paraId="3C082E73" w14:textId="77777777" w:rsidR="00236301" w:rsidRDefault="00265296">
            <w:pPr>
              <w:pStyle w:val="NormalWeb"/>
              <w:jc w:val="right"/>
            </w:pPr>
            <w:r>
              <w:rPr>
                <w:sz w:val="20"/>
                <w:szCs w:val="20"/>
              </w:rPr>
              <w:t>============</w:t>
            </w:r>
          </w:p>
        </w:tc>
      </w:tr>
      <w:tr w:rsidR="00236301" w14:paraId="5A174019" w14:textId="77777777" w:rsidTr="00155BFC">
        <w:trPr>
          <w:divId w:val="1733656443"/>
          <w:tblCellSpacing w:w="0" w:type="dxa"/>
        </w:trPr>
        <w:tc>
          <w:tcPr>
            <w:tcW w:w="0" w:type="auto"/>
            <w:shd w:val="clear" w:color="auto" w:fill="FFFFFF"/>
            <w:vAlign w:val="bottom"/>
            <w:hideMark/>
          </w:tcPr>
          <w:p w14:paraId="673C847A" w14:textId="77777777" w:rsidR="00236301" w:rsidRDefault="00265296">
            <w:pPr>
              <w:pStyle w:val="NormalWeb"/>
            </w:pPr>
            <w:r>
              <w:rPr>
                <w:b/>
                <w:bCs/>
                <w:sz w:val="20"/>
                <w:szCs w:val="20"/>
              </w:rPr>
              <w:t>            LIABILITIES AND STOCKHOLDERS' EQUITY              </w:t>
            </w:r>
            <w:r>
              <w:rPr>
                <w:sz w:val="20"/>
                <w:szCs w:val="20"/>
              </w:rPr>
              <w:t>         </w:t>
            </w:r>
          </w:p>
        </w:tc>
        <w:tc>
          <w:tcPr>
            <w:tcW w:w="0" w:type="auto"/>
            <w:shd w:val="clear" w:color="auto" w:fill="FFFFFF"/>
            <w:vAlign w:val="bottom"/>
            <w:hideMark/>
          </w:tcPr>
          <w:p w14:paraId="17B33868" w14:textId="77777777" w:rsidR="00236301" w:rsidRDefault="00265296">
            <w:pPr>
              <w:rPr>
                <w:rFonts w:eastAsia="Times New Roman"/>
              </w:rPr>
            </w:pPr>
            <w:r>
              <w:rPr>
                <w:rFonts w:eastAsia="Times New Roman"/>
              </w:rPr>
              <w:t> </w:t>
            </w:r>
          </w:p>
        </w:tc>
        <w:tc>
          <w:tcPr>
            <w:tcW w:w="0" w:type="auto"/>
            <w:shd w:val="clear" w:color="auto" w:fill="FFFFFF"/>
            <w:vAlign w:val="bottom"/>
            <w:hideMark/>
          </w:tcPr>
          <w:p w14:paraId="51879977" w14:textId="77777777" w:rsidR="00236301" w:rsidRDefault="00265296">
            <w:pPr>
              <w:rPr>
                <w:rFonts w:eastAsia="Times New Roman"/>
              </w:rPr>
            </w:pPr>
            <w:r>
              <w:rPr>
                <w:rFonts w:eastAsia="Times New Roman"/>
              </w:rPr>
              <w:t> </w:t>
            </w:r>
          </w:p>
        </w:tc>
      </w:tr>
      <w:tr w:rsidR="00236301" w14:paraId="65A988D6" w14:textId="77777777" w:rsidTr="00155BFC">
        <w:trPr>
          <w:divId w:val="1733656443"/>
          <w:tblCellSpacing w:w="0" w:type="dxa"/>
        </w:trPr>
        <w:tc>
          <w:tcPr>
            <w:tcW w:w="0" w:type="auto"/>
            <w:shd w:val="clear" w:color="auto" w:fill="CCEEFF"/>
            <w:vAlign w:val="bottom"/>
            <w:hideMark/>
          </w:tcPr>
          <w:p w14:paraId="4902DF11" w14:textId="77777777" w:rsidR="00236301" w:rsidRDefault="00265296">
            <w:pPr>
              <w:pStyle w:val="NormalWeb"/>
            </w:pPr>
            <w:r>
              <w:rPr>
                <w:sz w:val="20"/>
                <w:szCs w:val="20"/>
              </w:rPr>
              <w:lastRenderedPageBreak/>
              <w:t> </w:t>
            </w:r>
          </w:p>
        </w:tc>
        <w:tc>
          <w:tcPr>
            <w:tcW w:w="0" w:type="auto"/>
            <w:shd w:val="clear" w:color="auto" w:fill="CCEEFF"/>
            <w:vAlign w:val="bottom"/>
            <w:hideMark/>
          </w:tcPr>
          <w:p w14:paraId="0E345CCE" w14:textId="77777777" w:rsidR="00236301" w:rsidRDefault="00265296">
            <w:pPr>
              <w:rPr>
                <w:rFonts w:eastAsia="Times New Roman"/>
              </w:rPr>
            </w:pPr>
            <w:r>
              <w:rPr>
                <w:rFonts w:eastAsia="Times New Roman"/>
              </w:rPr>
              <w:t> </w:t>
            </w:r>
          </w:p>
        </w:tc>
        <w:tc>
          <w:tcPr>
            <w:tcW w:w="0" w:type="auto"/>
            <w:shd w:val="clear" w:color="auto" w:fill="CCEEFF"/>
            <w:vAlign w:val="bottom"/>
            <w:hideMark/>
          </w:tcPr>
          <w:p w14:paraId="09D90535" w14:textId="77777777" w:rsidR="00236301" w:rsidRDefault="00265296">
            <w:pPr>
              <w:rPr>
                <w:rFonts w:eastAsia="Times New Roman"/>
              </w:rPr>
            </w:pPr>
            <w:r>
              <w:rPr>
                <w:rFonts w:eastAsia="Times New Roman"/>
              </w:rPr>
              <w:t> </w:t>
            </w:r>
          </w:p>
        </w:tc>
      </w:tr>
      <w:tr w:rsidR="00236301" w14:paraId="05223077" w14:textId="77777777" w:rsidTr="00155BFC">
        <w:trPr>
          <w:divId w:val="1733656443"/>
          <w:tblCellSpacing w:w="0" w:type="dxa"/>
        </w:trPr>
        <w:tc>
          <w:tcPr>
            <w:tcW w:w="0" w:type="auto"/>
            <w:shd w:val="clear" w:color="auto" w:fill="FFFFFF"/>
            <w:vAlign w:val="bottom"/>
            <w:hideMark/>
          </w:tcPr>
          <w:p w14:paraId="33F357A1" w14:textId="77777777" w:rsidR="00236301" w:rsidRDefault="00265296">
            <w:pPr>
              <w:pStyle w:val="NormalWeb"/>
            </w:pPr>
            <w:r>
              <w:rPr>
                <w:sz w:val="20"/>
                <w:szCs w:val="20"/>
              </w:rPr>
              <w:t>CURRENT LIABILITIES</w:t>
            </w:r>
          </w:p>
        </w:tc>
        <w:tc>
          <w:tcPr>
            <w:tcW w:w="0" w:type="auto"/>
            <w:shd w:val="clear" w:color="auto" w:fill="FFFFFF"/>
            <w:vAlign w:val="bottom"/>
            <w:hideMark/>
          </w:tcPr>
          <w:p w14:paraId="197585D2" w14:textId="77777777" w:rsidR="00236301" w:rsidRDefault="00265296">
            <w:pPr>
              <w:rPr>
                <w:rFonts w:eastAsia="Times New Roman"/>
              </w:rPr>
            </w:pPr>
            <w:r>
              <w:rPr>
                <w:rFonts w:eastAsia="Times New Roman"/>
              </w:rPr>
              <w:t> </w:t>
            </w:r>
          </w:p>
        </w:tc>
        <w:tc>
          <w:tcPr>
            <w:tcW w:w="0" w:type="auto"/>
            <w:shd w:val="clear" w:color="auto" w:fill="FFFFFF"/>
            <w:vAlign w:val="bottom"/>
            <w:hideMark/>
          </w:tcPr>
          <w:p w14:paraId="4C9B83F5" w14:textId="77777777" w:rsidR="00236301" w:rsidRDefault="00265296">
            <w:pPr>
              <w:rPr>
                <w:rFonts w:eastAsia="Times New Roman"/>
              </w:rPr>
            </w:pPr>
            <w:r>
              <w:rPr>
                <w:rFonts w:eastAsia="Times New Roman"/>
              </w:rPr>
              <w:t> </w:t>
            </w:r>
          </w:p>
        </w:tc>
      </w:tr>
      <w:tr w:rsidR="00236301" w14:paraId="307F7D7A" w14:textId="77777777" w:rsidTr="00155BFC">
        <w:trPr>
          <w:divId w:val="1733656443"/>
          <w:tblCellSpacing w:w="0" w:type="dxa"/>
        </w:trPr>
        <w:tc>
          <w:tcPr>
            <w:tcW w:w="0" w:type="auto"/>
            <w:shd w:val="clear" w:color="auto" w:fill="CCEEFF"/>
            <w:vAlign w:val="bottom"/>
            <w:hideMark/>
          </w:tcPr>
          <w:p w14:paraId="0BA9EC46" w14:textId="77777777" w:rsidR="00236301" w:rsidRDefault="00265296">
            <w:pPr>
              <w:pStyle w:val="NormalWeb"/>
            </w:pPr>
            <w:r>
              <w:rPr>
                <w:sz w:val="20"/>
                <w:szCs w:val="20"/>
              </w:rPr>
              <w:t>  Accounts Payable</w:t>
            </w:r>
          </w:p>
        </w:tc>
        <w:tc>
          <w:tcPr>
            <w:tcW w:w="0" w:type="auto"/>
            <w:shd w:val="clear" w:color="auto" w:fill="CCEEFF"/>
            <w:vAlign w:val="bottom"/>
            <w:hideMark/>
          </w:tcPr>
          <w:p w14:paraId="10D9DEE6" w14:textId="48265C28" w:rsidR="00236301" w:rsidRDefault="00265296" w:rsidP="001E78C8">
            <w:pPr>
              <w:pStyle w:val="NormalWeb"/>
              <w:jc w:val="right"/>
            </w:pPr>
            <w:r>
              <w:rPr>
                <w:sz w:val="20"/>
                <w:szCs w:val="20"/>
              </w:rPr>
              <w:t>$  </w:t>
            </w:r>
            <w:r w:rsidR="001E78C8">
              <w:rPr>
                <w:sz w:val="20"/>
                <w:szCs w:val="20"/>
              </w:rPr>
              <w:t>2,599</w:t>
            </w:r>
          </w:p>
        </w:tc>
        <w:tc>
          <w:tcPr>
            <w:tcW w:w="0" w:type="auto"/>
            <w:shd w:val="clear" w:color="auto" w:fill="CCEEFF"/>
            <w:vAlign w:val="bottom"/>
            <w:hideMark/>
          </w:tcPr>
          <w:p w14:paraId="1148CA24" w14:textId="02AA3B02" w:rsidR="00236301" w:rsidRDefault="00265296" w:rsidP="001E78C8">
            <w:pPr>
              <w:pStyle w:val="NormalWeb"/>
              <w:jc w:val="right"/>
            </w:pPr>
            <w:r>
              <w:rPr>
                <w:sz w:val="20"/>
                <w:szCs w:val="20"/>
              </w:rPr>
              <w:t>$  </w:t>
            </w:r>
            <w:r w:rsidR="001E78C8">
              <w:rPr>
                <w:sz w:val="20"/>
                <w:szCs w:val="20"/>
              </w:rPr>
              <w:t>2,763</w:t>
            </w:r>
          </w:p>
        </w:tc>
      </w:tr>
      <w:tr w:rsidR="00236301" w14:paraId="6DF74E04" w14:textId="77777777" w:rsidTr="00155BFC">
        <w:trPr>
          <w:divId w:val="1733656443"/>
          <w:tblCellSpacing w:w="0" w:type="dxa"/>
        </w:trPr>
        <w:tc>
          <w:tcPr>
            <w:tcW w:w="0" w:type="auto"/>
            <w:shd w:val="clear" w:color="auto" w:fill="FFFFFF"/>
            <w:vAlign w:val="bottom"/>
            <w:hideMark/>
          </w:tcPr>
          <w:p w14:paraId="25FD8637" w14:textId="5BDB3334" w:rsidR="00236301" w:rsidRDefault="00265296" w:rsidP="00084610">
            <w:pPr>
              <w:pStyle w:val="NormalWeb"/>
            </w:pPr>
            <w:r>
              <w:rPr>
                <w:sz w:val="20"/>
                <w:szCs w:val="20"/>
              </w:rPr>
              <w:t> </w:t>
            </w:r>
            <w:r w:rsidR="00084610">
              <w:rPr>
                <w:sz w:val="20"/>
                <w:szCs w:val="20"/>
              </w:rPr>
              <w:t xml:space="preserve"> </w:t>
            </w:r>
            <w:r w:rsidR="00814383">
              <w:rPr>
                <w:sz w:val="20"/>
                <w:szCs w:val="20"/>
              </w:rPr>
              <w:t xml:space="preserve">Taxes Payable </w:t>
            </w:r>
          </w:p>
        </w:tc>
        <w:tc>
          <w:tcPr>
            <w:tcW w:w="0" w:type="auto"/>
            <w:shd w:val="clear" w:color="auto" w:fill="FFFFFF"/>
            <w:vAlign w:val="bottom"/>
            <w:hideMark/>
          </w:tcPr>
          <w:p w14:paraId="0A12BE1B" w14:textId="1AF4B71E" w:rsidR="00236301" w:rsidRDefault="001E78C8" w:rsidP="005848B3">
            <w:pPr>
              <w:pStyle w:val="NormalWeb"/>
              <w:jc w:val="right"/>
            </w:pPr>
            <w:r>
              <w:rPr>
                <w:sz w:val="20"/>
                <w:szCs w:val="20"/>
              </w:rPr>
              <w:t>24,028</w:t>
            </w:r>
            <w:r w:rsidR="00814383">
              <w:rPr>
                <w:sz w:val="20"/>
                <w:szCs w:val="20"/>
              </w:rPr>
              <w:t xml:space="preserve"> </w:t>
            </w:r>
          </w:p>
        </w:tc>
        <w:tc>
          <w:tcPr>
            <w:tcW w:w="0" w:type="auto"/>
            <w:shd w:val="clear" w:color="auto" w:fill="FFFFFF"/>
            <w:vAlign w:val="bottom"/>
            <w:hideMark/>
          </w:tcPr>
          <w:p w14:paraId="0C13C849" w14:textId="5B475615" w:rsidR="00236301" w:rsidRDefault="001E78C8" w:rsidP="00084610">
            <w:pPr>
              <w:pStyle w:val="NormalWeb"/>
              <w:jc w:val="right"/>
            </w:pPr>
            <w:r>
              <w:rPr>
                <w:sz w:val="20"/>
                <w:szCs w:val="20"/>
              </w:rPr>
              <w:t>48,714</w:t>
            </w:r>
            <w:r w:rsidR="00814383">
              <w:rPr>
                <w:sz w:val="20"/>
                <w:szCs w:val="20"/>
              </w:rPr>
              <w:t xml:space="preserve"> </w:t>
            </w:r>
          </w:p>
        </w:tc>
      </w:tr>
      <w:tr w:rsidR="00236301" w14:paraId="6F6A13BB" w14:textId="77777777" w:rsidTr="00155BFC">
        <w:trPr>
          <w:divId w:val="1733656443"/>
          <w:tblCellSpacing w:w="0" w:type="dxa"/>
        </w:trPr>
        <w:tc>
          <w:tcPr>
            <w:tcW w:w="0" w:type="auto"/>
            <w:shd w:val="clear" w:color="auto" w:fill="CCEEFF"/>
            <w:vAlign w:val="bottom"/>
            <w:hideMark/>
          </w:tcPr>
          <w:p w14:paraId="4378E3D1" w14:textId="4BC00B60" w:rsidR="00236301" w:rsidRDefault="00265296" w:rsidP="00D27240">
            <w:pPr>
              <w:pStyle w:val="NormalWeb"/>
            </w:pPr>
            <w:r>
              <w:rPr>
                <w:sz w:val="20"/>
                <w:szCs w:val="20"/>
              </w:rPr>
              <w:t>  Note Payable</w:t>
            </w:r>
          </w:p>
        </w:tc>
        <w:tc>
          <w:tcPr>
            <w:tcW w:w="0" w:type="auto"/>
            <w:shd w:val="clear" w:color="auto" w:fill="CCEEFF"/>
            <w:vAlign w:val="bottom"/>
            <w:hideMark/>
          </w:tcPr>
          <w:p w14:paraId="0FC8A637" w14:textId="5ABE4077" w:rsidR="00236301" w:rsidRDefault="001E78C8">
            <w:pPr>
              <w:pStyle w:val="NormalWeb"/>
              <w:jc w:val="right"/>
            </w:pPr>
            <w:r>
              <w:rPr>
                <w:sz w:val="20"/>
                <w:szCs w:val="20"/>
              </w:rPr>
              <w:t>150,887</w:t>
            </w:r>
          </w:p>
        </w:tc>
        <w:tc>
          <w:tcPr>
            <w:tcW w:w="0" w:type="auto"/>
            <w:shd w:val="clear" w:color="auto" w:fill="CCEEFF"/>
            <w:vAlign w:val="bottom"/>
            <w:hideMark/>
          </w:tcPr>
          <w:p w14:paraId="1F9D44EE" w14:textId="4FBBF118" w:rsidR="00236301" w:rsidRDefault="001E78C8">
            <w:pPr>
              <w:pStyle w:val="NormalWeb"/>
              <w:jc w:val="right"/>
            </w:pPr>
            <w:r>
              <w:rPr>
                <w:sz w:val="20"/>
                <w:szCs w:val="20"/>
              </w:rPr>
              <w:t>151,833</w:t>
            </w:r>
          </w:p>
        </w:tc>
      </w:tr>
      <w:tr w:rsidR="00236301" w14:paraId="74C58845" w14:textId="77777777" w:rsidTr="00155BFC">
        <w:trPr>
          <w:divId w:val="1733656443"/>
          <w:tblCellSpacing w:w="0" w:type="dxa"/>
        </w:trPr>
        <w:tc>
          <w:tcPr>
            <w:tcW w:w="0" w:type="auto"/>
            <w:shd w:val="clear" w:color="auto" w:fill="FFFFFF"/>
            <w:vAlign w:val="bottom"/>
            <w:hideMark/>
          </w:tcPr>
          <w:p w14:paraId="5383F2C1" w14:textId="74816C6C" w:rsidR="00236301" w:rsidRDefault="00265296" w:rsidP="001E78C8">
            <w:pPr>
              <w:pStyle w:val="NormalWeb"/>
            </w:pPr>
            <w:r>
              <w:rPr>
                <w:sz w:val="20"/>
                <w:szCs w:val="20"/>
              </w:rPr>
              <w:t>  </w:t>
            </w:r>
            <w:r w:rsidR="001E78C8">
              <w:rPr>
                <w:sz w:val="20"/>
                <w:szCs w:val="20"/>
              </w:rPr>
              <w:t>Advances From a Related Party</w:t>
            </w:r>
          </w:p>
        </w:tc>
        <w:tc>
          <w:tcPr>
            <w:tcW w:w="0" w:type="auto"/>
            <w:shd w:val="clear" w:color="auto" w:fill="FFFFFF"/>
            <w:vAlign w:val="bottom"/>
            <w:hideMark/>
          </w:tcPr>
          <w:p w14:paraId="0804BFD7" w14:textId="2EFC04EB" w:rsidR="00236301" w:rsidRDefault="001E78C8" w:rsidP="005848B3">
            <w:pPr>
              <w:pStyle w:val="NormalWeb"/>
              <w:jc w:val="right"/>
            </w:pPr>
            <w:r>
              <w:rPr>
                <w:sz w:val="20"/>
                <w:szCs w:val="20"/>
              </w:rPr>
              <w:t>78,262</w:t>
            </w:r>
          </w:p>
        </w:tc>
        <w:tc>
          <w:tcPr>
            <w:tcW w:w="0" w:type="auto"/>
            <w:shd w:val="clear" w:color="auto" w:fill="FFFFFF"/>
            <w:vAlign w:val="bottom"/>
            <w:hideMark/>
          </w:tcPr>
          <w:p w14:paraId="394059E5" w14:textId="15556897" w:rsidR="00236301" w:rsidRDefault="001E78C8">
            <w:pPr>
              <w:pStyle w:val="NormalWeb"/>
              <w:jc w:val="right"/>
            </w:pPr>
            <w:r>
              <w:rPr>
                <w:sz w:val="20"/>
                <w:szCs w:val="20"/>
              </w:rPr>
              <w:t>60,998</w:t>
            </w:r>
          </w:p>
        </w:tc>
      </w:tr>
      <w:tr w:rsidR="00236301" w14:paraId="0A3197D2" w14:textId="77777777" w:rsidTr="00155BFC">
        <w:trPr>
          <w:divId w:val="1733656443"/>
          <w:tblCellSpacing w:w="0" w:type="dxa"/>
        </w:trPr>
        <w:tc>
          <w:tcPr>
            <w:tcW w:w="0" w:type="auto"/>
            <w:shd w:val="clear" w:color="auto" w:fill="CCEEFF"/>
            <w:vAlign w:val="bottom"/>
            <w:hideMark/>
          </w:tcPr>
          <w:p w14:paraId="5909B65A" w14:textId="77777777" w:rsidR="00236301" w:rsidRDefault="00265296">
            <w:pPr>
              <w:pStyle w:val="NormalWeb"/>
            </w:pPr>
            <w:r>
              <w:rPr>
                <w:sz w:val="20"/>
                <w:szCs w:val="20"/>
              </w:rPr>
              <w:t> </w:t>
            </w:r>
          </w:p>
        </w:tc>
        <w:tc>
          <w:tcPr>
            <w:tcW w:w="0" w:type="auto"/>
            <w:shd w:val="clear" w:color="auto" w:fill="CCEEFF"/>
            <w:vAlign w:val="bottom"/>
            <w:hideMark/>
          </w:tcPr>
          <w:p w14:paraId="64A57B20" w14:textId="77777777" w:rsidR="00236301" w:rsidRDefault="00265296">
            <w:pPr>
              <w:pStyle w:val="NormalWeb"/>
              <w:jc w:val="right"/>
            </w:pPr>
            <w:r>
              <w:rPr>
                <w:sz w:val="20"/>
                <w:szCs w:val="20"/>
              </w:rPr>
              <w:t>------------</w:t>
            </w:r>
          </w:p>
        </w:tc>
        <w:tc>
          <w:tcPr>
            <w:tcW w:w="0" w:type="auto"/>
            <w:shd w:val="clear" w:color="auto" w:fill="CCEEFF"/>
            <w:vAlign w:val="bottom"/>
            <w:hideMark/>
          </w:tcPr>
          <w:p w14:paraId="3B717210" w14:textId="77777777" w:rsidR="00236301" w:rsidRDefault="00265296">
            <w:pPr>
              <w:pStyle w:val="NormalWeb"/>
              <w:jc w:val="right"/>
            </w:pPr>
            <w:r>
              <w:rPr>
                <w:sz w:val="20"/>
                <w:szCs w:val="20"/>
              </w:rPr>
              <w:t>------------</w:t>
            </w:r>
          </w:p>
        </w:tc>
      </w:tr>
      <w:tr w:rsidR="00236301" w14:paraId="74F9C737" w14:textId="77777777" w:rsidTr="00155BFC">
        <w:trPr>
          <w:divId w:val="1733656443"/>
          <w:tblCellSpacing w:w="0" w:type="dxa"/>
        </w:trPr>
        <w:tc>
          <w:tcPr>
            <w:tcW w:w="0" w:type="auto"/>
            <w:shd w:val="clear" w:color="auto" w:fill="FFFFFF"/>
            <w:vAlign w:val="bottom"/>
            <w:hideMark/>
          </w:tcPr>
          <w:p w14:paraId="2B9A1C1F" w14:textId="77777777" w:rsidR="00236301" w:rsidRDefault="00265296">
            <w:pPr>
              <w:pStyle w:val="NormalWeb"/>
            </w:pPr>
            <w:r>
              <w:rPr>
                <w:sz w:val="20"/>
                <w:szCs w:val="20"/>
              </w:rPr>
              <w:t>Total current liabilities</w:t>
            </w:r>
          </w:p>
        </w:tc>
        <w:tc>
          <w:tcPr>
            <w:tcW w:w="0" w:type="auto"/>
            <w:shd w:val="clear" w:color="auto" w:fill="FFFFFF"/>
            <w:vAlign w:val="bottom"/>
            <w:hideMark/>
          </w:tcPr>
          <w:p w14:paraId="52359A04" w14:textId="089A2BB2" w:rsidR="00236301" w:rsidRDefault="001E78C8" w:rsidP="005020B0">
            <w:pPr>
              <w:pStyle w:val="NormalWeb"/>
              <w:jc w:val="right"/>
            </w:pPr>
            <w:r>
              <w:rPr>
                <w:sz w:val="20"/>
                <w:szCs w:val="20"/>
              </w:rPr>
              <w:t>255,776</w:t>
            </w:r>
          </w:p>
        </w:tc>
        <w:tc>
          <w:tcPr>
            <w:tcW w:w="0" w:type="auto"/>
            <w:shd w:val="clear" w:color="auto" w:fill="FFFFFF"/>
            <w:vAlign w:val="bottom"/>
            <w:hideMark/>
          </w:tcPr>
          <w:p w14:paraId="6D62739A" w14:textId="1D8B000B" w:rsidR="00236301" w:rsidRDefault="001E78C8">
            <w:pPr>
              <w:pStyle w:val="NormalWeb"/>
              <w:jc w:val="right"/>
            </w:pPr>
            <w:r>
              <w:rPr>
                <w:sz w:val="20"/>
                <w:szCs w:val="20"/>
              </w:rPr>
              <w:t>264,308</w:t>
            </w:r>
          </w:p>
        </w:tc>
      </w:tr>
      <w:tr w:rsidR="00236301" w14:paraId="3DAF74AA" w14:textId="77777777" w:rsidTr="00155BFC">
        <w:trPr>
          <w:divId w:val="1733656443"/>
          <w:tblCellSpacing w:w="0" w:type="dxa"/>
        </w:trPr>
        <w:tc>
          <w:tcPr>
            <w:tcW w:w="0" w:type="auto"/>
            <w:shd w:val="clear" w:color="auto" w:fill="CCEEFF"/>
            <w:vAlign w:val="bottom"/>
            <w:hideMark/>
          </w:tcPr>
          <w:p w14:paraId="2D5C74F4" w14:textId="77777777" w:rsidR="00236301" w:rsidRDefault="00265296">
            <w:pPr>
              <w:pStyle w:val="NormalWeb"/>
            </w:pPr>
            <w:r>
              <w:rPr>
                <w:sz w:val="20"/>
                <w:szCs w:val="20"/>
              </w:rPr>
              <w:t> </w:t>
            </w:r>
          </w:p>
        </w:tc>
        <w:tc>
          <w:tcPr>
            <w:tcW w:w="0" w:type="auto"/>
            <w:shd w:val="clear" w:color="auto" w:fill="CCEEFF"/>
            <w:vAlign w:val="bottom"/>
            <w:hideMark/>
          </w:tcPr>
          <w:p w14:paraId="4EFF84BD" w14:textId="77777777" w:rsidR="00236301" w:rsidRDefault="00265296">
            <w:pPr>
              <w:rPr>
                <w:rFonts w:eastAsia="Times New Roman"/>
              </w:rPr>
            </w:pPr>
            <w:r>
              <w:rPr>
                <w:rFonts w:eastAsia="Times New Roman"/>
              </w:rPr>
              <w:t> </w:t>
            </w:r>
          </w:p>
        </w:tc>
        <w:tc>
          <w:tcPr>
            <w:tcW w:w="0" w:type="auto"/>
            <w:shd w:val="clear" w:color="auto" w:fill="CCEEFF"/>
            <w:vAlign w:val="bottom"/>
            <w:hideMark/>
          </w:tcPr>
          <w:p w14:paraId="3B94272B" w14:textId="77777777" w:rsidR="00236301" w:rsidRDefault="00265296">
            <w:pPr>
              <w:rPr>
                <w:rFonts w:eastAsia="Times New Roman"/>
              </w:rPr>
            </w:pPr>
            <w:r>
              <w:rPr>
                <w:rFonts w:eastAsia="Times New Roman"/>
              </w:rPr>
              <w:t> </w:t>
            </w:r>
          </w:p>
        </w:tc>
      </w:tr>
      <w:tr w:rsidR="00236301" w14:paraId="0FE94E2E" w14:textId="77777777" w:rsidTr="00155BFC">
        <w:trPr>
          <w:divId w:val="1733656443"/>
          <w:tblCellSpacing w:w="0" w:type="dxa"/>
        </w:trPr>
        <w:tc>
          <w:tcPr>
            <w:tcW w:w="0" w:type="auto"/>
            <w:shd w:val="clear" w:color="auto" w:fill="FFFFFF"/>
            <w:vAlign w:val="bottom"/>
            <w:hideMark/>
          </w:tcPr>
          <w:p w14:paraId="0F1B61A5" w14:textId="4A4316B5" w:rsidR="00236301" w:rsidRDefault="00265296" w:rsidP="00084610">
            <w:pPr>
              <w:pStyle w:val="NormalWeb"/>
            </w:pPr>
            <w:r>
              <w:rPr>
                <w:sz w:val="20"/>
                <w:szCs w:val="20"/>
              </w:rPr>
              <w:t xml:space="preserve">   </w:t>
            </w:r>
            <w:r w:rsidR="00084610">
              <w:rPr>
                <w:sz w:val="20"/>
                <w:szCs w:val="20"/>
              </w:rPr>
              <w:t>Notes Payable, net of current portion</w:t>
            </w:r>
          </w:p>
        </w:tc>
        <w:tc>
          <w:tcPr>
            <w:tcW w:w="0" w:type="auto"/>
            <w:shd w:val="clear" w:color="auto" w:fill="FFFFFF"/>
            <w:vAlign w:val="bottom"/>
            <w:hideMark/>
          </w:tcPr>
          <w:p w14:paraId="287DC026" w14:textId="0D87F650" w:rsidR="00236301" w:rsidRDefault="00265296" w:rsidP="0087131A">
            <w:pPr>
              <w:pStyle w:val="NormalWeb"/>
              <w:jc w:val="right"/>
            </w:pPr>
            <w:r>
              <w:rPr>
                <w:sz w:val="20"/>
                <w:szCs w:val="20"/>
              </w:rPr>
              <w:t>122,60</w:t>
            </w:r>
            <w:r w:rsidR="0087131A">
              <w:rPr>
                <w:sz w:val="20"/>
                <w:szCs w:val="20"/>
              </w:rPr>
              <w:t>9</w:t>
            </w:r>
          </w:p>
        </w:tc>
        <w:tc>
          <w:tcPr>
            <w:tcW w:w="0" w:type="auto"/>
            <w:shd w:val="clear" w:color="auto" w:fill="FFFFFF"/>
            <w:vAlign w:val="bottom"/>
            <w:hideMark/>
          </w:tcPr>
          <w:p w14:paraId="7B413709" w14:textId="77777777" w:rsidR="00236301" w:rsidRDefault="00265296">
            <w:pPr>
              <w:pStyle w:val="NormalWeb"/>
              <w:jc w:val="right"/>
            </w:pPr>
            <w:r>
              <w:rPr>
                <w:sz w:val="20"/>
                <w:szCs w:val="20"/>
              </w:rPr>
              <w:t>149,648</w:t>
            </w:r>
          </w:p>
        </w:tc>
      </w:tr>
      <w:tr w:rsidR="00236301" w14:paraId="78F499B0" w14:textId="77777777" w:rsidTr="00155BFC">
        <w:trPr>
          <w:divId w:val="1733656443"/>
          <w:tblCellSpacing w:w="0" w:type="dxa"/>
        </w:trPr>
        <w:tc>
          <w:tcPr>
            <w:tcW w:w="0" w:type="auto"/>
            <w:shd w:val="clear" w:color="auto" w:fill="CCEEFF"/>
            <w:vAlign w:val="bottom"/>
            <w:hideMark/>
          </w:tcPr>
          <w:p w14:paraId="04690292" w14:textId="788D5832" w:rsidR="00236301" w:rsidRDefault="00265296" w:rsidP="001E78C8">
            <w:pPr>
              <w:pStyle w:val="NormalWeb"/>
            </w:pPr>
            <w:r>
              <w:rPr>
                <w:sz w:val="20"/>
                <w:szCs w:val="20"/>
              </w:rPr>
              <w:t xml:space="preserve">   </w:t>
            </w:r>
          </w:p>
        </w:tc>
        <w:tc>
          <w:tcPr>
            <w:tcW w:w="0" w:type="auto"/>
            <w:shd w:val="clear" w:color="auto" w:fill="CCEEFF"/>
            <w:vAlign w:val="bottom"/>
            <w:hideMark/>
          </w:tcPr>
          <w:p w14:paraId="4B9455EF" w14:textId="617D6AD3" w:rsidR="00236301" w:rsidRDefault="00236301">
            <w:pPr>
              <w:pStyle w:val="NormalWeb"/>
              <w:jc w:val="right"/>
            </w:pPr>
          </w:p>
        </w:tc>
        <w:tc>
          <w:tcPr>
            <w:tcW w:w="0" w:type="auto"/>
            <w:shd w:val="clear" w:color="auto" w:fill="CCEEFF"/>
            <w:vAlign w:val="bottom"/>
            <w:hideMark/>
          </w:tcPr>
          <w:p w14:paraId="14B182D3" w14:textId="237819D0" w:rsidR="00236301" w:rsidRDefault="00236301">
            <w:pPr>
              <w:pStyle w:val="NormalWeb"/>
              <w:jc w:val="right"/>
            </w:pPr>
          </w:p>
        </w:tc>
      </w:tr>
      <w:tr w:rsidR="00236301" w14:paraId="0EFAAC53" w14:textId="77777777" w:rsidTr="00155BFC">
        <w:trPr>
          <w:divId w:val="1733656443"/>
          <w:tblCellSpacing w:w="0" w:type="dxa"/>
        </w:trPr>
        <w:tc>
          <w:tcPr>
            <w:tcW w:w="0" w:type="auto"/>
            <w:shd w:val="clear" w:color="auto" w:fill="FFFFFF"/>
            <w:vAlign w:val="bottom"/>
            <w:hideMark/>
          </w:tcPr>
          <w:p w14:paraId="5AB8E840" w14:textId="77777777" w:rsidR="00236301" w:rsidRDefault="00265296">
            <w:pPr>
              <w:pStyle w:val="NormalWeb"/>
            </w:pPr>
            <w:r>
              <w:rPr>
                <w:sz w:val="20"/>
                <w:szCs w:val="20"/>
              </w:rPr>
              <w:t> </w:t>
            </w:r>
          </w:p>
        </w:tc>
        <w:tc>
          <w:tcPr>
            <w:tcW w:w="0" w:type="auto"/>
            <w:shd w:val="clear" w:color="auto" w:fill="FFFFFF"/>
            <w:vAlign w:val="bottom"/>
            <w:hideMark/>
          </w:tcPr>
          <w:p w14:paraId="02B2CE13" w14:textId="77777777" w:rsidR="00236301" w:rsidRDefault="00265296">
            <w:pPr>
              <w:pStyle w:val="NormalWeb"/>
              <w:jc w:val="right"/>
            </w:pPr>
            <w:r>
              <w:rPr>
                <w:sz w:val="20"/>
                <w:szCs w:val="20"/>
              </w:rPr>
              <w:t>------------</w:t>
            </w:r>
          </w:p>
        </w:tc>
        <w:tc>
          <w:tcPr>
            <w:tcW w:w="0" w:type="auto"/>
            <w:shd w:val="clear" w:color="auto" w:fill="FFFFFF"/>
            <w:vAlign w:val="bottom"/>
            <w:hideMark/>
          </w:tcPr>
          <w:p w14:paraId="209854D1" w14:textId="77777777" w:rsidR="00236301" w:rsidRDefault="00265296">
            <w:pPr>
              <w:pStyle w:val="NormalWeb"/>
              <w:jc w:val="right"/>
            </w:pPr>
            <w:r>
              <w:rPr>
                <w:sz w:val="20"/>
                <w:szCs w:val="20"/>
              </w:rPr>
              <w:t>------------</w:t>
            </w:r>
          </w:p>
        </w:tc>
      </w:tr>
      <w:tr w:rsidR="00236301" w14:paraId="35D324FD" w14:textId="77777777" w:rsidTr="00155BFC">
        <w:trPr>
          <w:divId w:val="1733656443"/>
          <w:tblCellSpacing w:w="0" w:type="dxa"/>
        </w:trPr>
        <w:tc>
          <w:tcPr>
            <w:tcW w:w="0" w:type="auto"/>
            <w:shd w:val="clear" w:color="auto" w:fill="CCEEFF"/>
            <w:vAlign w:val="bottom"/>
            <w:hideMark/>
          </w:tcPr>
          <w:p w14:paraId="41B1A0D4" w14:textId="77777777" w:rsidR="00236301" w:rsidRDefault="00265296">
            <w:pPr>
              <w:pStyle w:val="NormalWeb"/>
            </w:pPr>
            <w:r>
              <w:rPr>
                <w:sz w:val="20"/>
                <w:szCs w:val="20"/>
              </w:rPr>
              <w:t>Total Long Term Debt</w:t>
            </w:r>
          </w:p>
        </w:tc>
        <w:tc>
          <w:tcPr>
            <w:tcW w:w="0" w:type="auto"/>
            <w:shd w:val="clear" w:color="auto" w:fill="CCEEFF"/>
            <w:vAlign w:val="bottom"/>
            <w:hideMark/>
          </w:tcPr>
          <w:p w14:paraId="5673B317" w14:textId="2BF2261A" w:rsidR="00236301" w:rsidRDefault="00081865" w:rsidP="0087131A">
            <w:pPr>
              <w:pStyle w:val="NormalWeb"/>
              <w:jc w:val="right"/>
            </w:pPr>
            <w:r>
              <w:rPr>
                <w:sz w:val="20"/>
                <w:szCs w:val="20"/>
              </w:rPr>
              <w:t>122,609</w:t>
            </w:r>
          </w:p>
        </w:tc>
        <w:tc>
          <w:tcPr>
            <w:tcW w:w="0" w:type="auto"/>
            <w:shd w:val="clear" w:color="auto" w:fill="CCEEFF"/>
            <w:vAlign w:val="bottom"/>
            <w:hideMark/>
          </w:tcPr>
          <w:p w14:paraId="2FAA5D89" w14:textId="03AC84D2" w:rsidR="00236301" w:rsidRDefault="00081865">
            <w:pPr>
              <w:pStyle w:val="NormalWeb"/>
              <w:jc w:val="right"/>
            </w:pPr>
            <w:r>
              <w:rPr>
                <w:sz w:val="20"/>
                <w:szCs w:val="20"/>
              </w:rPr>
              <w:t>149,648</w:t>
            </w:r>
          </w:p>
        </w:tc>
      </w:tr>
      <w:tr w:rsidR="00236301" w14:paraId="583FD1C2" w14:textId="77777777" w:rsidTr="00155BFC">
        <w:trPr>
          <w:divId w:val="1733656443"/>
          <w:tblCellSpacing w:w="0" w:type="dxa"/>
        </w:trPr>
        <w:tc>
          <w:tcPr>
            <w:tcW w:w="0" w:type="auto"/>
            <w:shd w:val="clear" w:color="auto" w:fill="FFFFFF"/>
            <w:vAlign w:val="bottom"/>
            <w:hideMark/>
          </w:tcPr>
          <w:p w14:paraId="003EDE0C" w14:textId="77777777" w:rsidR="00236301" w:rsidRDefault="00265296">
            <w:pPr>
              <w:pStyle w:val="NormalWeb"/>
            </w:pPr>
            <w:r>
              <w:rPr>
                <w:sz w:val="20"/>
                <w:szCs w:val="20"/>
              </w:rPr>
              <w:t> </w:t>
            </w:r>
          </w:p>
        </w:tc>
        <w:tc>
          <w:tcPr>
            <w:tcW w:w="0" w:type="auto"/>
            <w:shd w:val="clear" w:color="auto" w:fill="FFFFFF"/>
            <w:vAlign w:val="bottom"/>
            <w:hideMark/>
          </w:tcPr>
          <w:p w14:paraId="06D92790" w14:textId="77777777" w:rsidR="00236301" w:rsidRDefault="00265296">
            <w:pPr>
              <w:rPr>
                <w:rFonts w:eastAsia="Times New Roman"/>
              </w:rPr>
            </w:pPr>
            <w:r>
              <w:rPr>
                <w:rFonts w:eastAsia="Times New Roman"/>
              </w:rPr>
              <w:t> </w:t>
            </w:r>
          </w:p>
        </w:tc>
        <w:tc>
          <w:tcPr>
            <w:tcW w:w="0" w:type="auto"/>
            <w:shd w:val="clear" w:color="auto" w:fill="FFFFFF"/>
            <w:vAlign w:val="bottom"/>
            <w:hideMark/>
          </w:tcPr>
          <w:p w14:paraId="53CF7171" w14:textId="77777777" w:rsidR="00236301" w:rsidRDefault="00265296">
            <w:pPr>
              <w:rPr>
                <w:rFonts w:eastAsia="Times New Roman"/>
              </w:rPr>
            </w:pPr>
            <w:r>
              <w:rPr>
                <w:rFonts w:eastAsia="Times New Roman"/>
              </w:rPr>
              <w:t> </w:t>
            </w:r>
          </w:p>
        </w:tc>
      </w:tr>
      <w:tr w:rsidR="00236301" w14:paraId="2B61AB8C" w14:textId="77777777" w:rsidTr="00155BFC">
        <w:trPr>
          <w:divId w:val="1733656443"/>
          <w:tblCellSpacing w:w="0" w:type="dxa"/>
        </w:trPr>
        <w:tc>
          <w:tcPr>
            <w:tcW w:w="0" w:type="auto"/>
            <w:shd w:val="clear" w:color="auto" w:fill="CCEEFF"/>
            <w:vAlign w:val="bottom"/>
            <w:hideMark/>
          </w:tcPr>
          <w:p w14:paraId="235EE89A" w14:textId="77777777" w:rsidR="00236301" w:rsidRDefault="00265296">
            <w:pPr>
              <w:pStyle w:val="NormalWeb"/>
            </w:pPr>
            <w:r>
              <w:rPr>
                <w:sz w:val="20"/>
                <w:szCs w:val="20"/>
              </w:rPr>
              <w:t>Total Liabilities</w:t>
            </w:r>
          </w:p>
        </w:tc>
        <w:tc>
          <w:tcPr>
            <w:tcW w:w="0" w:type="auto"/>
            <w:shd w:val="clear" w:color="auto" w:fill="CCEEFF"/>
            <w:vAlign w:val="bottom"/>
            <w:hideMark/>
          </w:tcPr>
          <w:p w14:paraId="0B0E2FB8" w14:textId="5224B4B9" w:rsidR="00236301" w:rsidRDefault="00F24B43" w:rsidP="00C2414C">
            <w:pPr>
              <w:pStyle w:val="NormalWeb"/>
              <w:jc w:val="right"/>
            </w:pPr>
            <w:r>
              <w:rPr>
                <w:sz w:val="20"/>
                <w:szCs w:val="20"/>
              </w:rPr>
              <w:t>378,385</w:t>
            </w:r>
          </w:p>
        </w:tc>
        <w:tc>
          <w:tcPr>
            <w:tcW w:w="0" w:type="auto"/>
            <w:shd w:val="clear" w:color="auto" w:fill="CCEEFF"/>
            <w:vAlign w:val="bottom"/>
            <w:hideMark/>
          </w:tcPr>
          <w:p w14:paraId="3A495C2B" w14:textId="77777777" w:rsidR="00236301" w:rsidRDefault="00265296">
            <w:pPr>
              <w:pStyle w:val="NormalWeb"/>
              <w:jc w:val="right"/>
            </w:pPr>
            <w:r>
              <w:rPr>
                <w:sz w:val="20"/>
                <w:szCs w:val="20"/>
              </w:rPr>
              <w:t>413,956</w:t>
            </w:r>
          </w:p>
        </w:tc>
      </w:tr>
      <w:tr w:rsidR="00236301" w14:paraId="77C5CC5C" w14:textId="77777777" w:rsidTr="00155BFC">
        <w:trPr>
          <w:divId w:val="1733656443"/>
          <w:tblCellSpacing w:w="0" w:type="dxa"/>
        </w:trPr>
        <w:tc>
          <w:tcPr>
            <w:tcW w:w="0" w:type="auto"/>
            <w:shd w:val="clear" w:color="auto" w:fill="FFFFFF"/>
            <w:vAlign w:val="bottom"/>
            <w:hideMark/>
          </w:tcPr>
          <w:p w14:paraId="5CFEF01A" w14:textId="77777777" w:rsidR="00236301" w:rsidRDefault="00265296">
            <w:pPr>
              <w:pStyle w:val="NormalWeb"/>
            </w:pPr>
            <w:r>
              <w:rPr>
                <w:sz w:val="20"/>
                <w:szCs w:val="20"/>
              </w:rPr>
              <w:t> </w:t>
            </w:r>
          </w:p>
        </w:tc>
        <w:tc>
          <w:tcPr>
            <w:tcW w:w="0" w:type="auto"/>
            <w:shd w:val="clear" w:color="auto" w:fill="FFFFFF"/>
            <w:vAlign w:val="bottom"/>
            <w:hideMark/>
          </w:tcPr>
          <w:p w14:paraId="3B4DF1E8" w14:textId="77777777" w:rsidR="00236301" w:rsidRDefault="00265296">
            <w:pPr>
              <w:rPr>
                <w:rFonts w:eastAsia="Times New Roman"/>
              </w:rPr>
            </w:pPr>
            <w:r>
              <w:rPr>
                <w:rFonts w:eastAsia="Times New Roman"/>
              </w:rPr>
              <w:t> </w:t>
            </w:r>
          </w:p>
        </w:tc>
        <w:tc>
          <w:tcPr>
            <w:tcW w:w="0" w:type="auto"/>
            <w:shd w:val="clear" w:color="auto" w:fill="FFFFFF"/>
            <w:vAlign w:val="bottom"/>
            <w:hideMark/>
          </w:tcPr>
          <w:p w14:paraId="384630AA" w14:textId="77777777" w:rsidR="00236301" w:rsidRDefault="00265296">
            <w:pPr>
              <w:rPr>
                <w:rFonts w:eastAsia="Times New Roman"/>
              </w:rPr>
            </w:pPr>
            <w:r>
              <w:rPr>
                <w:rFonts w:eastAsia="Times New Roman"/>
              </w:rPr>
              <w:t> </w:t>
            </w:r>
          </w:p>
        </w:tc>
      </w:tr>
      <w:tr w:rsidR="00236301" w14:paraId="07E7458C" w14:textId="77777777" w:rsidTr="00155BFC">
        <w:trPr>
          <w:divId w:val="1733656443"/>
          <w:tblCellSpacing w:w="0" w:type="dxa"/>
        </w:trPr>
        <w:tc>
          <w:tcPr>
            <w:tcW w:w="0" w:type="auto"/>
            <w:shd w:val="clear" w:color="auto" w:fill="CCEEFF"/>
            <w:vAlign w:val="bottom"/>
            <w:hideMark/>
          </w:tcPr>
          <w:p w14:paraId="7A3DE71F" w14:textId="77777777" w:rsidR="00236301" w:rsidRDefault="00265296">
            <w:pPr>
              <w:pStyle w:val="NormalWeb"/>
            </w:pPr>
            <w:r>
              <w:rPr>
                <w:sz w:val="20"/>
                <w:szCs w:val="20"/>
              </w:rPr>
              <w:t>STOCKHOLDERS' EQUITY-</w:t>
            </w:r>
          </w:p>
        </w:tc>
        <w:tc>
          <w:tcPr>
            <w:tcW w:w="0" w:type="auto"/>
            <w:shd w:val="clear" w:color="auto" w:fill="CCEEFF"/>
            <w:vAlign w:val="bottom"/>
            <w:hideMark/>
          </w:tcPr>
          <w:p w14:paraId="33D87A49" w14:textId="77777777" w:rsidR="00236301" w:rsidRDefault="00265296">
            <w:pPr>
              <w:rPr>
                <w:rFonts w:eastAsia="Times New Roman"/>
              </w:rPr>
            </w:pPr>
            <w:r>
              <w:rPr>
                <w:rFonts w:eastAsia="Times New Roman"/>
              </w:rPr>
              <w:t> </w:t>
            </w:r>
          </w:p>
        </w:tc>
        <w:tc>
          <w:tcPr>
            <w:tcW w:w="0" w:type="auto"/>
            <w:shd w:val="clear" w:color="auto" w:fill="CCEEFF"/>
            <w:vAlign w:val="bottom"/>
            <w:hideMark/>
          </w:tcPr>
          <w:p w14:paraId="12D81D43" w14:textId="77777777" w:rsidR="00236301" w:rsidRDefault="00265296">
            <w:pPr>
              <w:rPr>
                <w:rFonts w:eastAsia="Times New Roman"/>
              </w:rPr>
            </w:pPr>
            <w:r>
              <w:rPr>
                <w:rFonts w:eastAsia="Times New Roman"/>
              </w:rPr>
              <w:t> </w:t>
            </w:r>
          </w:p>
        </w:tc>
      </w:tr>
      <w:tr w:rsidR="00236301" w14:paraId="0B94E90F" w14:textId="77777777" w:rsidTr="00155BFC">
        <w:trPr>
          <w:divId w:val="1733656443"/>
          <w:tblCellSpacing w:w="0" w:type="dxa"/>
        </w:trPr>
        <w:tc>
          <w:tcPr>
            <w:tcW w:w="0" w:type="auto"/>
            <w:shd w:val="clear" w:color="auto" w:fill="FFFFFF"/>
            <w:vAlign w:val="bottom"/>
            <w:hideMark/>
          </w:tcPr>
          <w:p w14:paraId="4E63B3CC" w14:textId="0ACAEB88" w:rsidR="00236301" w:rsidRDefault="00265296" w:rsidP="009307A4">
            <w:pPr>
              <w:pStyle w:val="NormalWeb"/>
            </w:pPr>
            <w:r>
              <w:rPr>
                <w:sz w:val="20"/>
                <w:szCs w:val="20"/>
              </w:rPr>
              <w:t xml:space="preserve">   Convertible preferred stock, Series 2, par value $0.01; authorized  10,000,000 shares; issued and outstanding 5,000 </w:t>
            </w:r>
            <w:r w:rsidR="009307A4">
              <w:rPr>
                <w:sz w:val="20"/>
                <w:szCs w:val="20"/>
              </w:rPr>
              <w:t>At June 30, 2016 and June 30, 2015</w:t>
            </w:r>
          </w:p>
        </w:tc>
        <w:tc>
          <w:tcPr>
            <w:tcW w:w="0" w:type="auto"/>
            <w:shd w:val="clear" w:color="auto" w:fill="FFFFFF"/>
            <w:vAlign w:val="bottom"/>
            <w:hideMark/>
          </w:tcPr>
          <w:p w14:paraId="61F56BD4" w14:textId="77777777" w:rsidR="00236301" w:rsidRDefault="00265296">
            <w:pPr>
              <w:pStyle w:val="NormalWeb"/>
              <w:jc w:val="right"/>
            </w:pPr>
            <w:r>
              <w:rPr>
                <w:sz w:val="20"/>
                <w:szCs w:val="20"/>
              </w:rPr>
              <w:t>50</w:t>
            </w:r>
          </w:p>
        </w:tc>
        <w:tc>
          <w:tcPr>
            <w:tcW w:w="0" w:type="auto"/>
            <w:shd w:val="clear" w:color="auto" w:fill="FFFFFF"/>
            <w:vAlign w:val="bottom"/>
            <w:hideMark/>
          </w:tcPr>
          <w:p w14:paraId="1F36923D" w14:textId="77777777" w:rsidR="00236301" w:rsidRDefault="00265296">
            <w:pPr>
              <w:pStyle w:val="NormalWeb"/>
              <w:jc w:val="right"/>
            </w:pPr>
            <w:r>
              <w:rPr>
                <w:sz w:val="20"/>
                <w:szCs w:val="20"/>
              </w:rPr>
              <w:t>50</w:t>
            </w:r>
          </w:p>
        </w:tc>
      </w:tr>
      <w:tr w:rsidR="00236301" w14:paraId="4B803F51" w14:textId="77777777" w:rsidTr="00155BFC">
        <w:trPr>
          <w:divId w:val="1733656443"/>
          <w:tblCellSpacing w:w="0" w:type="dxa"/>
        </w:trPr>
        <w:tc>
          <w:tcPr>
            <w:tcW w:w="0" w:type="auto"/>
            <w:shd w:val="clear" w:color="auto" w:fill="CCEEFF"/>
            <w:vAlign w:val="bottom"/>
            <w:hideMark/>
          </w:tcPr>
          <w:p w14:paraId="510D3C34" w14:textId="77777777" w:rsidR="00236301" w:rsidRDefault="00265296">
            <w:pPr>
              <w:pStyle w:val="NormalWeb"/>
            </w:pPr>
            <w:r>
              <w:rPr>
                <w:sz w:val="20"/>
                <w:szCs w:val="20"/>
              </w:rPr>
              <w:t> </w:t>
            </w:r>
          </w:p>
        </w:tc>
        <w:tc>
          <w:tcPr>
            <w:tcW w:w="0" w:type="auto"/>
            <w:shd w:val="clear" w:color="auto" w:fill="CCEEFF"/>
            <w:vAlign w:val="bottom"/>
            <w:hideMark/>
          </w:tcPr>
          <w:p w14:paraId="03CB6558" w14:textId="77777777" w:rsidR="00236301" w:rsidRDefault="00265296">
            <w:pPr>
              <w:rPr>
                <w:rFonts w:eastAsia="Times New Roman"/>
              </w:rPr>
            </w:pPr>
            <w:r>
              <w:rPr>
                <w:rFonts w:eastAsia="Times New Roman"/>
              </w:rPr>
              <w:t> </w:t>
            </w:r>
          </w:p>
        </w:tc>
        <w:tc>
          <w:tcPr>
            <w:tcW w:w="0" w:type="auto"/>
            <w:shd w:val="clear" w:color="auto" w:fill="CCEEFF"/>
            <w:vAlign w:val="bottom"/>
            <w:hideMark/>
          </w:tcPr>
          <w:p w14:paraId="2CFB9B44" w14:textId="77777777" w:rsidR="00236301" w:rsidRDefault="00265296">
            <w:pPr>
              <w:rPr>
                <w:rFonts w:eastAsia="Times New Roman"/>
              </w:rPr>
            </w:pPr>
            <w:r>
              <w:rPr>
                <w:rFonts w:eastAsia="Times New Roman"/>
              </w:rPr>
              <w:t> </w:t>
            </w:r>
          </w:p>
        </w:tc>
      </w:tr>
      <w:tr w:rsidR="0011057E" w14:paraId="3A2BAE18" w14:textId="77777777" w:rsidTr="00155BFC">
        <w:trPr>
          <w:divId w:val="1733656443"/>
          <w:tblCellSpacing w:w="0" w:type="dxa"/>
        </w:trPr>
        <w:tc>
          <w:tcPr>
            <w:tcW w:w="0" w:type="auto"/>
            <w:shd w:val="clear" w:color="auto" w:fill="FFFFFF"/>
            <w:vAlign w:val="bottom"/>
          </w:tcPr>
          <w:p w14:paraId="21F2BA53" w14:textId="21689F1E" w:rsidR="0011057E" w:rsidRDefault="0011057E" w:rsidP="00823D1F">
            <w:pPr>
              <w:pStyle w:val="NormalWeb"/>
              <w:rPr>
                <w:sz w:val="20"/>
                <w:szCs w:val="20"/>
              </w:rPr>
            </w:pPr>
            <w:r>
              <w:rPr>
                <w:sz w:val="20"/>
                <w:szCs w:val="20"/>
              </w:rPr>
              <w:t xml:space="preserve">   Convertible preferred stock, Series 3, par value $0.01; authorized</w:t>
            </w:r>
            <w:r w:rsidR="00823D1F">
              <w:rPr>
                <w:sz w:val="20"/>
                <w:szCs w:val="20"/>
              </w:rPr>
              <w:t>,</w:t>
            </w:r>
            <w:r>
              <w:rPr>
                <w:sz w:val="20"/>
                <w:szCs w:val="20"/>
              </w:rPr>
              <w:t xml:space="preserve"> 1,670,000 shares</w:t>
            </w:r>
            <w:r w:rsidR="00823D1F">
              <w:rPr>
                <w:sz w:val="20"/>
                <w:szCs w:val="20"/>
              </w:rPr>
              <w:t xml:space="preserve"> issued and outstanding</w:t>
            </w:r>
          </w:p>
        </w:tc>
        <w:tc>
          <w:tcPr>
            <w:tcW w:w="0" w:type="auto"/>
            <w:shd w:val="clear" w:color="auto" w:fill="FFFFFF"/>
            <w:vAlign w:val="bottom"/>
          </w:tcPr>
          <w:p w14:paraId="77E2B3C0" w14:textId="7480AA24" w:rsidR="0011057E" w:rsidRDefault="003628C8">
            <w:pPr>
              <w:pStyle w:val="NormalWeb"/>
              <w:jc w:val="right"/>
              <w:rPr>
                <w:b/>
                <w:bCs/>
                <w:sz w:val="20"/>
                <w:szCs w:val="20"/>
              </w:rPr>
            </w:pPr>
            <w:r>
              <w:rPr>
                <w:b/>
                <w:bCs/>
                <w:sz w:val="20"/>
                <w:szCs w:val="20"/>
              </w:rPr>
              <w:t>-</w:t>
            </w:r>
          </w:p>
        </w:tc>
        <w:tc>
          <w:tcPr>
            <w:tcW w:w="0" w:type="auto"/>
            <w:shd w:val="clear" w:color="auto" w:fill="FFFFFF"/>
            <w:vAlign w:val="bottom"/>
          </w:tcPr>
          <w:p w14:paraId="4F16D665" w14:textId="45ACF599" w:rsidR="0011057E" w:rsidRDefault="003628C8">
            <w:pPr>
              <w:pStyle w:val="NormalWeb"/>
              <w:jc w:val="right"/>
              <w:rPr>
                <w:b/>
                <w:bCs/>
                <w:sz w:val="20"/>
                <w:szCs w:val="20"/>
              </w:rPr>
            </w:pPr>
            <w:r>
              <w:rPr>
                <w:b/>
                <w:bCs/>
                <w:sz w:val="20"/>
                <w:szCs w:val="20"/>
              </w:rPr>
              <w:t>-</w:t>
            </w:r>
          </w:p>
        </w:tc>
      </w:tr>
      <w:tr w:rsidR="0011057E" w14:paraId="44C150A7" w14:textId="77777777" w:rsidTr="00155BFC">
        <w:trPr>
          <w:divId w:val="1733656443"/>
          <w:tblCellSpacing w:w="0" w:type="dxa"/>
        </w:trPr>
        <w:tc>
          <w:tcPr>
            <w:tcW w:w="0" w:type="auto"/>
            <w:shd w:val="clear" w:color="auto" w:fill="CCEEFF"/>
            <w:vAlign w:val="bottom"/>
            <w:hideMark/>
          </w:tcPr>
          <w:p w14:paraId="7D8A923C" w14:textId="77777777" w:rsidR="0011057E" w:rsidRDefault="0011057E" w:rsidP="00CF47C2">
            <w:pPr>
              <w:pStyle w:val="NormalWeb"/>
            </w:pPr>
            <w:r>
              <w:rPr>
                <w:sz w:val="20"/>
                <w:szCs w:val="20"/>
              </w:rPr>
              <w:t> </w:t>
            </w:r>
          </w:p>
        </w:tc>
        <w:tc>
          <w:tcPr>
            <w:tcW w:w="0" w:type="auto"/>
            <w:shd w:val="clear" w:color="auto" w:fill="CCEEFF"/>
            <w:vAlign w:val="bottom"/>
            <w:hideMark/>
          </w:tcPr>
          <w:p w14:paraId="48190D8B" w14:textId="77777777" w:rsidR="0011057E" w:rsidRDefault="0011057E" w:rsidP="00CF47C2">
            <w:pPr>
              <w:rPr>
                <w:rFonts w:eastAsia="Times New Roman"/>
              </w:rPr>
            </w:pPr>
            <w:r>
              <w:rPr>
                <w:rFonts w:eastAsia="Times New Roman"/>
              </w:rPr>
              <w:t> </w:t>
            </w:r>
          </w:p>
        </w:tc>
        <w:tc>
          <w:tcPr>
            <w:tcW w:w="0" w:type="auto"/>
            <w:shd w:val="clear" w:color="auto" w:fill="CCEEFF"/>
            <w:vAlign w:val="bottom"/>
            <w:hideMark/>
          </w:tcPr>
          <w:p w14:paraId="0429702E" w14:textId="77777777" w:rsidR="0011057E" w:rsidRDefault="0011057E" w:rsidP="00CF47C2">
            <w:pPr>
              <w:rPr>
                <w:rFonts w:eastAsia="Times New Roman"/>
              </w:rPr>
            </w:pPr>
            <w:r>
              <w:rPr>
                <w:rFonts w:eastAsia="Times New Roman"/>
              </w:rPr>
              <w:t> </w:t>
            </w:r>
          </w:p>
        </w:tc>
      </w:tr>
      <w:tr w:rsidR="00236301" w14:paraId="4A27E8C3" w14:textId="77777777" w:rsidTr="00155BFC">
        <w:trPr>
          <w:divId w:val="1733656443"/>
          <w:tblCellSpacing w:w="0" w:type="dxa"/>
        </w:trPr>
        <w:tc>
          <w:tcPr>
            <w:tcW w:w="0" w:type="auto"/>
            <w:shd w:val="clear" w:color="auto" w:fill="FFFFFF"/>
            <w:vAlign w:val="bottom"/>
            <w:hideMark/>
          </w:tcPr>
          <w:p w14:paraId="2EAC0728" w14:textId="77777777" w:rsidR="00236301" w:rsidRDefault="00265296">
            <w:pPr>
              <w:pStyle w:val="NormalWeb"/>
            </w:pPr>
            <w:r>
              <w:rPr>
                <w:sz w:val="20"/>
                <w:szCs w:val="20"/>
              </w:rPr>
              <w:t>   Convertible preferred stock, Series 5; issued, 1 share</w:t>
            </w:r>
          </w:p>
        </w:tc>
        <w:tc>
          <w:tcPr>
            <w:tcW w:w="0" w:type="auto"/>
            <w:shd w:val="clear" w:color="auto" w:fill="FFFFFF"/>
            <w:vAlign w:val="bottom"/>
            <w:hideMark/>
          </w:tcPr>
          <w:p w14:paraId="189B45B4" w14:textId="77777777" w:rsidR="00236301" w:rsidRDefault="00265296">
            <w:pPr>
              <w:pStyle w:val="NormalWeb"/>
              <w:jc w:val="right"/>
            </w:pPr>
            <w:r>
              <w:rPr>
                <w:b/>
                <w:bCs/>
                <w:sz w:val="20"/>
                <w:szCs w:val="20"/>
              </w:rPr>
              <w:t>-</w:t>
            </w:r>
          </w:p>
        </w:tc>
        <w:tc>
          <w:tcPr>
            <w:tcW w:w="0" w:type="auto"/>
            <w:shd w:val="clear" w:color="auto" w:fill="FFFFFF"/>
            <w:vAlign w:val="bottom"/>
            <w:hideMark/>
          </w:tcPr>
          <w:p w14:paraId="17CDB866" w14:textId="77777777" w:rsidR="00236301" w:rsidRDefault="00265296">
            <w:pPr>
              <w:pStyle w:val="NormalWeb"/>
              <w:jc w:val="right"/>
            </w:pPr>
            <w:r>
              <w:rPr>
                <w:b/>
                <w:bCs/>
                <w:sz w:val="20"/>
                <w:szCs w:val="20"/>
              </w:rPr>
              <w:t>-</w:t>
            </w:r>
          </w:p>
        </w:tc>
      </w:tr>
      <w:tr w:rsidR="00236301" w14:paraId="44018F4E" w14:textId="77777777" w:rsidTr="00155BFC">
        <w:trPr>
          <w:divId w:val="1733656443"/>
          <w:tblCellSpacing w:w="0" w:type="dxa"/>
        </w:trPr>
        <w:tc>
          <w:tcPr>
            <w:tcW w:w="0" w:type="auto"/>
            <w:shd w:val="clear" w:color="auto" w:fill="CCEEFF"/>
            <w:vAlign w:val="bottom"/>
            <w:hideMark/>
          </w:tcPr>
          <w:p w14:paraId="78195428" w14:textId="77777777" w:rsidR="00236301" w:rsidRDefault="00265296">
            <w:pPr>
              <w:pStyle w:val="NormalWeb"/>
            </w:pPr>
            <w:r>
              <w:rPr>
                <w:b/>
                <w:bCs/>
                <w:sz w:val="20"/>
                <w:szCs w:val="20"/>
              </w:rPr>
              <w:t> </w:t>
            </w:r>
          </w:p>
        </w:tc>
        <w:tc>
          <w:tcPr>
            <w:tcW w:w="0" w:type="auto"/>
            <w:shd w:val="clear" w:color="auto" w:fill="CCEEFF"/>
            <w:vAlign w:val="bottom"/>
            <w:hideMark/>
          </w:tcPr>
          <w:p w14:paraId="7EBE8221" w14:textId="77777777" w:rsidR="00236301" w:rsidRDefault="00265296">
            <w:pPr>
              <w:rPr>
                <w:rFonts w:eastAsia="Times New Roman"/>
              </w:rPr>
            </w:pPr>
            <w:r>
              <w:rPr>
                <w:rFonts w:eastAsia="Times New Roman"/>
                <w:b/>
                <w:bCs/>
              </w:rPr>
              <w:t> </w:t>
            </w:r>
          </w:p>
        </w:tc>
        <w:tc>
          <w:tcPr>
            <w:tcW w:w="0" w:type="auto"/>
            <w:shd w:val="clear" w:color="auto" w:fill="CCEEFF"/>
            <w:vAlign w:val="bottom"/>
            <w:hideMark/>
          </w:tcPr>
          <w:p w14:paraId="6D933913" w14:textId="77777777" w:rsidR="00236301" w:rsidRDefault="00265296">
            <w:pPr>
              <w:rPr>
                <w:rFonts w:eastAsia="Times New Roman"/>
              </w:rPr>
            </w:pPr>
            <w:r>
              <w:rPr>
                <w:rFonts w:eastAsia="Times New Roman"/>
                <w:b/>
                <w:bCs/>
              </w:rPr>
              <w:t> </w:t>
            </w:r>
          </w:p>
        </w:tc>
      </w:tr>
      <w:tr w:rsidR="00236301" w14:paraId="0BFFF5DA" w14:textId="77777777" w:rsidTr="00155BFC">
        <w:trPr>
          <w:divId w:val="1733656443"/>
          <w:tblCellSpacing w:w="0" w:type="dxa"/>
        </w:trPr>
        <w:tc>
          <w:tcPr>
            <w:tcW w:w="0" w:type="auto"/>
            <w:shd w:val="clear" w:color="auto" w:fill="FFFFFF"/>
            <w:vAlign w:val="bottom"/>
            <w:hideMark/>
          </w:tcPr>
          <w:p w14:paraId="0AE3717D" w14:textId="71795D9B" w:rsidR="00236301" w:rsidRDefault="00265296" w:rsidP="0083408A">
            <w:pPr>
              <w:pStyle w:val="NormalWeb"/>
            </w:pPr>
            <w:r>
              <w:rPr>
                <w:sz w:val="20"/>
                <w:szCs w:val="20"/>
              </w:rPr>
              <w:t xml:space="preserve">   Common stock, par value $0.01; At June 30, 2016 and June 30, 2015, authorized 60,000,000 shares; issued and outstanding 2,292,945 shares. </w:t>
            </w:r>
          </w:p>
        </w:tc>
        <w:tc>
          <w:tcPr>
            <w:tcW w:w="0" w:type="auto"/>
            <w:shd w:val="clear" w:color="auto" w:fill="FFFFFF"/>
            <w:vAlign w:val="bottom"/>
            <w:hideMark/>
          </w:tcPr>
          <w:p w14:paraId="52858D32" w14:textId="77777777" w:rsidR="00236301" w:rsidRDefault="00265296">
            <w:pPr>
              <w:pStyle w:val="NormalWeb"/>
              <w:jc w:val="right"/>
            </w:pPr>
            <w:r>
              <w:rPr>
                <w:sz w:val="20"/>
                <w:szCs w:val="20"/>
              </w:rPr>
              <w:t>22,929</w:t>
            </w:r>
          </w:p>
        </w:tc>
        <w:tc>
          <w:tcPr>
            <w:tcW w:w="0" w:type="auto"/>
            <w:shd w:val="clear" w:color="auto" w:fill="FFFFFF"/>
            <w:vAlign w:val="bottom"/>
            <w:hideMark/>
          </w:tcPr>
          <w:p w14:paraId="68868743" w14:textId="77777777" w:rsidR="00236301" w:rsidRDefault="00265296">
            <w:pPr>
              <w:pStyle w:val="NormalWeb"/>
              <w:jc w:val="right"/>
            </w:pPr>
            <w:r>
              <w:rPr>
                <w:sz w:val="20"/>
                <w:szCs w:val="20"/>
              </w:rPr>
              <w:t>22,929</w:t>
            </w:r>
          </w:p>
        </w:tc>
      </w:tr>
      <w:tr w:rsidR="00236301" w14:paraId="0032B4D7" w14:textId="77777777" w:rsidTr="00155BFC">
        <w:trPr>
          <w:divId w:val="1733656443"/>
          <w:tblCellSpacing w:w="0" w:type="dxa"/>
        </w:trPr>
        <w:tc>
          <w:tcPr>
            <w:tcW w:w="0" w:type="auto"/>
            <w:shd w:val="clear" w:color="auto" w:fill="CCEEFF"/>
            <w:vAlign w:val="bottom"/>
            <w:hideMark/>
          </w:tcPr>
          <w:p w14:paraId="75875DDF" w14:textId="77777777" w:rsidR="00236301" w:rsidRDefault="00265296">
            <w:pPr>
              <w:pStyle w:val="NormalWeb"/>
            </w:pPr>
            <w:r>
              <w:rPr>
                <w:sz w:val="20"/>
                <w:szCs w:val="20"/>
              </w:rPr>
              <w:t> </w:t>
            </w:r>
          </w:p>
        </w:tc>
        <w:tc>
          <w:tcPr>
            <w:tcW w:w="0" w:type="auto"/>
            <w:shd w:val="clear" w:color="auto" w:fill="CCEEFF"/>
            <w:vAlign w:val="bottom"/>
            <w:hideMark/>
          </w:tcPr>
          <w:p w14:paraId="65291E42" w14:textId="77777777" w:rsidR="00236301" w:rsidRDefault="00265296">
            <w:pPr>
              <w:rPr>
                <w:rFonts w:eastAsia="Times New Roman"/>
              </w:rPr>
            </w:pPr>
            <w:r>
              <w:rPr>
                <w:rFonts w:eastAsia="Times New Roman"/>
              </w:rPr>
              <w:t> </w:t>
            </w:r>
          </w:p>
        </w:tc>
        <w:tc>
          <w:tcPr>
            <w:tcW w:w="0" w:type="auto"/>
            <w:shd w:val="clear" w:color="auto" w:fill="CCEEFF"/>
            <w:vAlign w:val="bottom"/>
            <w:hideMark/>
          </w:tcPr>
          <w:p w14:paraId="757AB9B1" w14:textId="77777777" w:rsidR="00236301" w:rsidRDefault="00265296">
            <w:pPr>
              <w:rPr>
                <w:rFonts w:eastAsia="Times New Roman"/>
              </w:rPr>
            </w:pPr>
            <w:r>
              <w:rPr>
                <w:rFonts w:eastAsia="Times New Roman"/>
              </w:rPr>
              <w:t> </w:t>
            </w:r>
          </w:p>
        </w:tc>
      </w:tr>
      <w:tr w:rsidR="00236301" w14:paraId="36A5F1C0" w14:textId="77777777" w:rsidTr="00155BFC">
        <w:trPr>
          <w:divId w:val="1733656443"/>
          <w:tblCellSpacing w:w="0" w:type="dxa"/>
        </w:trPr>
        <w:tc>
          <w:tcPr>
            <w:tcW w:w="0" w:type="auto"/>
            <w:shd w:val="clear" w:color="auto" w:fill="FFFFFF"/>
            <w:vAlign w:val="bottom"/>
            <w:hideMark/>
          </w:tcPr>
          <w:p w14:paraId="34504132" w14:textId="77777777" w:rsidR="00236301" w:rsidRDefault="00265296">
            <w:pPr>
              <w:pStyle w:val="NormalWeb"/>
            </w:pPr>
            <w:r>
              <w:rPr>
                <w:sz w:val="20"/>
                <w:szCs w:val="20"/>
              </w:rPr>
              <w:t>   Additional paid-in capital</w:t>
            </w:r>
          </w:p>
        </w:tc>
        <w:tc>
          <w:tcPr>
            <w:tcW w:w="0" w:type="auto"/>
            <w:shd w:val="clear" w:color="auto" w:fill="FFFFFF"/>
            <w:vAlign w:val="bottom"/>
            <w:hideMark/>
          </w:tcPr>
          <w:p w14:paraId="05E1F1A3" w14:textId="645D7F13" w:rsidR="00236301" w:rsidRDefault="00265296" w:rsidP="00C2414C">
            <w:pPr>
              <w:pStyle w:val="NormalWeb"/>
              <w:jc w:val="right"/>
            </w:pPr>
            <w:r>
              <w:rPr>
                <w:sz w:val="20"/>
                <w:szCs w:val="20"/>
              </w:rPr>
              <w:t>20,</w:t>
            </w:r>
            <w:r w:rsidR="00C2414C">
              <w:rPr>
                <w:sz w:val="20"/>
                <w:szCs w:val="20"/>
              </w:rPr>
              <w:t>953,991</w:t>
            </w:r>
          </w:p>
        </w:tc>
        <w:tc>
          <w:tcPr>
            <w:tcW w:w="0" w:type="auto"/>
            <w:shd w:val="clear" w:color="auto" w:fill="FFFFFF"/>
            <w:vAlign w:val="bottom"/>
            <w:hideMark/>
          </w:tcPr>
          <w:p w14:paraId="47FFAD3E" w14:textId="1756D529" w:rsidR="00236301" w:rsidRDefault="00265296" w:rsidP="00222F73">
            <w:pPr>
              <w:pStyle w:val="NormalWeb"/>
              <w:jc w:val="right"/>
            </w:pPr>
            <w:r>
              <w:rPr>
                <w:sz w:val="20"/>
                <w:szCs w:val="20"/>
              </w:rPr>
              <w:t>20,</w:t>
            </w:r>
            <w:r w:rsidR="00222F73">
              <w:rPr>
                <w:sz w:val="20"/>
                <w:szCs w:val="20"/>
              </w:rPr>
              <w:t>953,991</w:t>
            </w:r>
          </w:p>
        </w:tc>
      </w:tr>
      <w:tr w:rsidR="00236301" w14:paraId="15862C6F" w14:textId="77777777" w:rsidTr="00155BFC">
        <w:trPr>
          <w:divId w:val="1733656443"/>
          <w:tblCellSpacing w:w="0" w:type="dxa"/>
        </w:trPr>
        <w:tc>
          <w:tcPr>
            <w:tcW w:w="0" w:type="auto"/>
            <w:shd w:val="clear" w:color="auto" w:fill="CCEEFF"/>
            <w:vAlign w:val="bottom"/>
            <w:hideMark/>
          </w:tcPr>
          <w:p w14:paraId="17381E81" w14:textId="77777777" w:rsidR="00236301" w:rsidRDefault="00265296">
            <w:pPr>
              <w:pStyle w:val="NormalWeb"/>
            </w:pPr>
            <w:r>
              <w:rPr>
                <w:sz w:val="20"/>
                <w:szCs w:val="20"/>
              </w:rPr>
              <w:t> </w:t>
            </w:r>
          </w:p>
        </w:tc>
        <w:tc>
          <w:tcPr>
            <w:tcW w:w="0" w:type="auto"/>
            <w:shd w:val="clear" w:color="auto" w:fill="CCEEFF"/>
            <w:vAlign w:val="bottom"/>
            <w:hideMark/>
          </w:tcPr>
          <w:p w14:paraId="5EF706D7" w14:textId="77777777" w:rsidR="00236301" w:rsidRDefault="00265296">
            <w:pPr>
              <w:rPr>
                <w:rFonts w:eastAsia="Times New Roman"/>
              </w:rPr>
            </w:pPr>
            <w:r>
              <w:rPr>
                <w:rFonts w:eastAsia="Times New Roman"/>
              </w:rPr>
              <w:t> </w:t>
            </w:r>
          </w:p>
        </w:tc>
        <w:tc>
          <w:tcPr>
            <w:tcW w:w="0" w:type="auto"/>
            <w:shd w:val="clear" w:color="auto" w:fill="CCEEFF"/>
            <w:vAlign w:val="bottom"/>
            <w:hideMark/>
          </w:tcPr>
          <w:p w14:paraId="45CE46FD" w14:textId="77777777" w:rsidR="00236301" w:rsidRDefault="00265296">
            <w:pPr>
              <w:rPr>
                <w:rFonts w:eastAsia="Times New Roman"/>
              </w:rPr>
            </w:pPr>
            <w:r>
              <w:rPr>
                <w:rFonts w:eastAsia="Times New Roman"/>
              </w:rPr>
              <w:t> </w:t>
            </w:r>
          </w:p>
        </w:tc>
      </w:tr>
      <w:tr w:rsidR="00236301" w14:paraId="724B713F" w14:textId="77777777" w:rsidTr="00155BFC">
        <w:trPr>
          <w:divId w:val="1733656443"/>
          <w:tblCellSpacing w:w="0" w:type="dxa"/>
        </w:trPr>
        <w:tc>
          <w:tcPr>
            <w:tcW w:w="0" w:type="auto"/>
            <w:shd w:val="clear" w:color="auto" w:fill="FFFFFF"/>
            <w:vAlign w:val="bottom"/>
            <w:hideMark/>
          </w:tcPr>
          <w:p w14:paraId="57634D9A" w14:textId="77777777" w:rsidR="00236301" w:rsidRDefault="00265296">
            <w:pPr>
              <w:pStyle w:val="NormalWeb"/>
            </w:pPr>
            <w:r>
              <w:rPr>
                <w:sz w:val="20"/>
                <w:szCs w:val="20"/>
              </w:rPr>
              <w:t>   Accumulated deficit</w:t>
            </w:r>
          </w:p>
        </w:tc>
        <w:tc>
          <w:tcPr>
            <w:tcW w:w="0" w:type="auto"/>
            <w:shd w:val="clear" w:color="auto" w:fill="FFFFFF"/>
            <w:vAlign w:val="bottom"/>
            <w:hideMark/>
          </w:tcPr>
          <w:p w14:paraId="17A4FE64" w14:textId="55F078CA" w:rsidR="00236301" w:rsidRDefault="00265296" w:rsidP="00982238">
            <w:pPr>
              <w:pStyle w:val="NormalWeb"/>
              <w:jc w:val="right"/>
            </w:pPr>
            <w:r>
              <w:rPr>
                <w:sz w:val="20"/>
                <w:szCs w:val="20"/>
              </w:rPr>
              <w:t>(</w:t>
            </w:r>
            <w:r w:rsidR="00935664">
              <w:rPr>
                <w:sz w:val="20"/>
                <w:szCs w:val="20"/>
              </w:rPr>
              <w:t>20,</w:t>
            </w:r>
            <w:r w:rsidR="00982238">
              <w:rPr>
                <w:sz w:val="20"/>
                <w:szCs w:val="20"/>
              </w:rPr>
              <w:t>739,817</w:t>
            </w:r>
            <w:r>
              <w:rPr>
                <w:sz w:val="20"/>
                <w:szCs w:val="20"/>
              </w:rPr>
              <w:t>)</w:t>
            </w:r>
          </w:p>
        </w:tc>
        <w:tc>
          <w:tcPr>
            <w:tcW w:w="0" w:type="auto"/>
            <w:shd w:val="clear" w:color="auto" w:fill="FFFFFF"/>
            <w:vAlign w:val="bottom"/>
            <w:hideMark/>
          </w:tcPr>
          <w:p w14:paraId="2FBFF5F4" w14:textId="61AC14E0" w:rsidR="00236301" w:rsidRDefault="00265296" w:rsidP="00935664">
            <w:pPr>
              <w:pStyle w:val="NormalWeb"/>
              <w:jc w:val="right"/>
            </w:pPr>
            <w:r>
              <w:rPr>
                <w:sz w:val="20"/>
                <w:szCs w:val="20"/>
              </w:rPr>
              <w:t>(</w:t>
            </w:r>
            <w:r w:rsidR="00935664">
              <w:rPr>
                <w:sz w:val="20"/>
                <w:szCs w:val="20"/>
              </w:rPr>
              <w:t>20,750,838</w:t>
            </w:r>
            <w:r>
              <w:rPr>
                <w:sz w:val="20"/>
                <w:szCs w:val="20"/>
              </w:rPr>
              <w:t>)</w:t>
            </w:r>
          </w:p>
        </w:tc>
      </w:tr>
      <w:tr w:rsidR="00236301" w14:paraId="69ACBC6B" w14:textId="77777777" w:rsidTr="00155BFC">
        <w:trPr>
          <w:divId w:val="1733656443"/>
          <w:tblCellSpacing w:w="0" w:type="dxa"/>
        </w:trPr>
        <w:tc>
          <w:tcPr>
            <w:tcW w:w="0" w:type="auto"/>
            <w:shd w:val="clear" w:color="auto" w:fill="CCEEFF"/>
            <w:vAlign w:val="bottom"/>
            <w:hideMark/>
          </w:tcPr>
          <w:p w14:paraId="53447566" w14:textId="77777777" w:rsidR="00236301" w:rsidRDefault="00265296">
            <w:pPr>
              <w:pStyle w:val="NormalWeb"/>
            </w:pPr>
            <w:r>
              <w:rPr>
                <w:sz w:val="20"/>
                <w:szCs w:val="20"/>
              </w:rPr>
              <w:t> </w:t>
            </w:r>
          </w:p>
        </w:tc>
        <w:tc>
          <w:tcPr>
            <w:tcW w:w="0" w:type="auto"/>
            <w:shd w:val="clear" w:color="auto" w:fill="CCEEFF"/>
            <w:vAlign w:val="bottom"/>
            <w:hideMark/>
          </w:tcPr>
          <w:p w14:paraId="0458991C" w14:textId="77777777" w:rsidR="00236301" w:rsidRDefault="00265296">
            <w:pPr>
              <w:rPr>
                <w:rFonts w:eastAsia="Times New Roman"/>
              </w:rPr>
            </w:pPr>
            <w:r>
              <w:rPr>
                <w:rFonts w:eastAsia="Times New Roman"/>
              </w:rPr>
              <w:t> </w:t>
            </w:r>
          </w:p>
        </w:tc>
        <w:tc>
          <w:tcPr>
            <w:tcW w:w="0" w:type="auto"/>
            <w:shd w:val="clear" w:color="auto" w:fill="CCEEFF"/>
            <w:vAlign w:val="bottom"/>
            <w:hideMark/>
          </w:tcPr>
          <w:p w14:paraId="55F66C7C" w14:textId="77777777" w:rsidR="00236301" w:rsidRDefault="00265296">
            <w:pPr>
              <w:rPr>
                <w:rFonts w:eastAsia="Times New Roman"/>
              </w:rPr>
            </w:pPr>
            <w:r>
              <w:rPr>
                <w:rFonts w:eastAsia="Times New Roman"/>
              </w:rPr>
              <w:t> </w:t>
            </w:r>
          </w:p>
        </w:tc>
      </w:tr>
      <w:tr w:rsidR="00236301" w14:paraId="756DB810" w14:textId="77777777" w:rsidTr="00155BFC">
        <w:trPr>
          <w:divId w:val="1733656443"/>
          <w:tblCellSpacing w:w="0" w:type="dxa"/>
        </w:trPr>
        <w:tc>
          <w:tcPr>
            <w:tcW w:w="0" w:type="auto"/>
            <w:shd w:val="clear" w:color="auto" w:fill="FFFFFF"/>
            <w:vAlign w:val="bottom"/>
            <w:hideMark/>
          </w:tcPr>
          <w:p w14:paraId="71AEF3D5" w14:textId="16C48CCC" w:rsidR="00236301" w:rsidRDefault="00265296" w:rsidP="00750F06">
            <w:pPr>
              <w:pStyle w:val="NormalWeb"/>
            </w:pPr>
            <w:r>
              <w:rPr>
                <w:sz w:val="20"/>
                <w:szCs w:val="20"/>
              </w:rPr>
              <w:t xml:space="preserve">   Other Comprehensive Income </w:t>
            </w:r>
          </w:p>
        </w:tc>
        <w:tc>
          <w:tcPr>
            <w:tcW w:w="0" w:type="auto"/>
            <w:shd w:val="clear" w:color="auto" w:fill="FFFFFF"/>
            <w:vAlign w:val="bottom"/>
            <w:hideMark/>
          </w:tcPr>
          <w:p w14:paraId="5FCD31C1" w14:textId="6BAB8CC6" w:rsidR="00236301" w:rsidRDefault="00982238">
            <w:pPr>
              <w:pStyle w:val="NormalWeb"/>
              <w:jc w:val="right"/>
            </w:pPr>
            <w:r>
              <w:rPr>
                <w:sz w:val="20"/>
                <w:szCs w:val="20"/>
              </w:rPr>
              <w:t>27,085</w:t>
            </w:r>
          </w:p>
        </w:tc>
        <w:tc>
          <w:tcPr>
            <w:tcW w:w="0" w:type="auto"/>
            <w:shd w:val="clear" w:color="auto" w:fill="FFFFFF"/>
            <w:vAlign w:val="bottom"/>
            <w:hideMark/>
          </w:tcPr>
          <w:p w14:paraId="5DFAB139" w14:textId="0737B132" w:rsidR="00236301" w:rsidRDefault="00935664">
            <w:pPr>
              <w:pStyle w:val="NormalWeb"/>
              <w:jc w:val="right"/>
            </w:pPr>
            <w:r>
              <w:rPr>
                <w:sz w:val="20"/>
                <w:szCs w:val="20"/>
              </w:rPr>
              <w:t>34,814</w:t>
            </w:r>
          </w:p>
        </w:tc>
      </w:tr>
      <w:tr w:rsidR="00236301" w14:paraId="67C130FC" w14:textId="77777777" w:rsidTr="00155BFC">
        <w:trPr>
          <w:divId w:val="1733656443"/>
          <w:tblCellSpacing w:w="0" w:type="dxa"/>
        </w:trPr>
        <w:tc>
          <w:tcPr>
            <w:tcW w:w="0" w:type="auto"/>
            <w:shd w:val="clear" w:color="auto" w:fill="CCEEFF"/>
            <w:vAlign w:val="bottom"/>
            <w:hideMark/>
          </w:tcPr>
          <w:p w14:paraId="0D3B2E49" w14:textId="77777777" w:rsidR="00236301" w:rsidRDefault="00265296">
            <w:pPr>
              <w:pStyle w:val="NormalWeb"/>
            </w:pPr>
            <w:r>
              <w:rPr>
                <w:sz w:val="20"/>
                <w:szCs w:val="20"/>
              </w:rPr>
              <w:t>     </w:t>
            </w:r>
          </w:p>
        </w:tc>
        <w:tc>
          <w:tcPr>
            <w:tcW w:w="0" w:type="auto"/>
            <w:shd w:val="clear" w:color="auto" w:fill="CCEEFF"/>
            <w:vAlign w:val="bottom"/>
            <w:hideMark/>
          </w:tcPr>
          <w:p w14:paraId="326B4C5C" w14:textId="77777777" w:rsidR="00236301" w:rsidRDefault="00265296">
            <w:pPr>
              <w:rPr>
                <w:rFonts w:eastAsia="Times New Roman"/>
              </w:rPr>
            </w:pPr>
            <w:r>
              <w:rPr>
                <w:rFonts w:eastAsia="Times New Roman"/>
              </w:rPr>
              <w:t> </w:t>
            </w:r>
          </w:p>
        </w:tc>
        <w:tc>
          <w:tcPr>
            <w:tcW w:w="0" w:type="auto"/>
            <w:shd w:val="clear" w:color="auto" w:fill="CCEEFF"/>
            <w:vAlign w:val="bottom"/>
            <w:hideMark/>
          </w:tcPr>
          <w:p w14:paraId="595D34D8" w14:textId="77777777" w:rsidR="00236301" w:rsidRDefault="00265296">
            <w:pPr>
              <w:rPr>
                <w:rFonts w:eastAsia="Times New Roman"/>
              </w:rPr>
            </w:pPr>
            <w:r>
              <w:rPr>
                <w:rFonts w:eastAsia="Times New Roman"/>
              </w:rPr>
              <w:t> </w:t>
            </w:r>
          </w:p>
        </w:tc>
      </w:tr>
      <w:tr w:rsidR="00236301" w14:paraId="462B45FB" w14:textId="77777777" w:rsidTr="00155BFC">
        <w:trPr>
          <w:divId w:val="1733656443"/>
          <w:tblCellSpacing w:w="0" w:type="dxa"/>
        </w:trPr>
        <w:tc>
          <w:tcPr>
            <w:tcW w:w="0" w:type="auto"/>
            <w:shd w:val="clear" w:color="auto" w:fill="FFFFFF"/>
            <w:vAlign w:val="bottom"/>
            <w:hideMark/>
          </w:tcPr>
          <w:p w14:paraId="798130AD" w14:textId="77777777" w:rsidR="00236301" w:rsidRDefault="00265296">
            <w:pPr>
              <w:pStyle w:val="NormalWeb"/>
            </w:pPr>
            <w:r>
              <w:rPr>
                <w:sz w:val="20"/>
                <w:szCs w:val="20"/>
              </w:rPr>
              <w:t>  TOTAL SHAREHOLDERS EQUITY</w:t>
            </w:r>
          </w:p>
        </w:tc>
        <w:tc>
          <w:tcPr>
            <w:tcW w:w="0" w:type="auto"/>
            <w:shd w:val="clear" w:color="auto" w:fill="FFFFFF"/>
            <w:vAlign w:val="bottom"/>
            <w:hideMark/>
          </w:tcPr>
          <w:p w14:paraId="6C3543B9" w14:textId="6E70086A" w:rsidR="00236301" w:rsidRDefault="00982238" w:rsidP="00935664">
            <w:pPr>
              <w:pStyle w:val="NormalWeb"/>
              <w:jc w:val="right"/>
            </w:pPr>
            <w:r>
              <w:rPr>
                <w:sz w:val="20"/>
                <w:szCs w:val="20"/>
              </w:rPr>
              <w:t>264,238</w:t>
            </w:r>
          </w:p>
        </w:tc>
        <w:tc>
          <w:tcPr>
            <w:tcW w:w="0" w:type="auto"/>
            <w:shd w:val="clear" w:color="auto" w:fill="FFFFFF"/>
            <w:vAlign w:val="bottom"/>
            <w:hideMark/>
          </w:tcPr>
          <w:p w14:paraId="5273F92E" w14:textId="4AF3EB0C" w:rsidR="00236301" w:rsidRDefault="00935664">
            <w:pPr>
              <w:pStyle w:val="NormalWeb"/>
              <w:jc w:val="right"/>
            </w:pPr>
            <w:r>
              <w:rPr>
                <w:sz w:val="20"/>
                <w:szCs w:val="20"/>
              </w:rPr>
              <w:t>260,946</w:t>
            </w:r>
          </w:p>
        </w:tc>
      </w:tr>
      <w:tr w:rsidR="00236301" w14:paraId="1A061497" w14:textId="77777777" w:rsidTr="00155BFC">
        <w:trPr>
          <w:divId w:val="1733656443"/>
          <w:tblCellSpacing w:w="0" w:type="dxa"/>
        </w:trPr>
        <w:tc>
          <w:tcPr>
            <w:tcW w:w="0" w:type="auto"/>
            <w:shd w:val="clear" w:color="auto" w:fill="CCEEFF"/>
            <w:vAlign w:val="bottom"/>
            <w:hideMark/>
          </w:tcPr>
          <w:p w14:paraId="05289A16" w14:textId="77777777" w:rsidR="00236301" w:rsidRDefault="00265296">
            <w:pPr>
              <w:rPr>
                <w:rFonts w:eastAsia="Times New Roman"/>
              </w:rPr>
            </w:pPr>
            <w:r>
              <w:rPr>
                <w:rFonts w:eastAsia="Times New Roman"/>
              </w:rPr>
              <w:t> </w:t>
            </w:r>
          </w:p>
        </w:tc>
        <w:tc>
          <w:tcPr>
            <w:tcW w:w="0" w:type="auto"/>
            <w:shd w:val="clear" w:color="auto" w:fill="CCEEFF"/>
            <w:vAlign w:val="bottom"/>
            <w:hideMark/>
          </w:tcPr>
          <w:p w14:paraId="01ABE0B0" w14:textId="77777777" w:rsidR="00236301" w:rsidRDefault="00265296">
            <w:pPr>
              <w:pStyle w:val="NormalWeb"/>
              <w:jc w:val="right"/>
            </w:pPr>
            <w:r>
              <w:rPr>
                <w:sz w:val="20"/>
                <w:szCs w:val="20"/>
              </w:rPr>
              <w:t>------------</w:t>
            </w:r>
          </w:p>
        </w:tc>
        <w:tc>
          <w:tcPr>
            <w:tcW w:w="0" w:type="auto"/>
            <w:shd w:val="clear" w:color="auto" w:fill="CCEEFF"/>
            <w:vAlign w:val="bottom"/>
            <w:hideMark/>
          </w:tcPr>
          <w:p w14:paraId="39D7773C" w14:textId="77777777" w:rsidR="00236301" w:rsidRDefault="00265296">
            <w:pPr>
              <w:pStyle w:val="NormalWeb"/>
              <w:jc w:val="right"/>
            </w:pPr>
            <w:r>
              <w:rPr>
                <w:sz w:val="20"/>
                <w:szCs w:val="20"/>
              </w:rPr>
              <w:t>------------</w:t>
            </w:r>
          </w:p>
        </w:tc>
      </w:tr>
      <w:tr w:rsidR="00236301" w14:paraId="5F88E85B" w14:textId="77777777" w:rsidTr="00155BFC">
        <w:trPr>
          <w:divId w:val="1733656443"/>
          <w:tblCellSpacing w:w="0" w:type="dxa"/>
        </w:trPr>
        <w:tc>
          <w:tcPr>
            <w:tcW w:w="0" w:type="auto"/>
            <w:shd w:val="clear" w:color="auto" w:fill="FFFFFF"/>
            <w:vAlign w:val="bottom"/>
            <w:hideMark/>
          </w:tcPr>
          <w:p w14:paraId="76509C86" w14:textId="77777777" w:rsidR="00236301" w:rsidRDefault="00265296">
            <w:pPr>
              <w:pStyle w:val="NormalWeb"/>
            </w:pPr>
            <w:r>
              <w:rPr>
                <w:b/>
                <w:bCs/>
                <w:sz w:val="20"/>
                <w:szCs w:val="20"/>
              </w:rPr>
              <w:t>  TOTAL LIABILITIES AND SHAREHOLDERS EQUITY</w:t>
            </w:r>
          </w:p>
        </w:tc>
        <w:tc>
          <w:tcPr>
            <w:tcW w:w="0" w:type="auto"/>
            <w:shd w:val="clear" w:color="auto" w:fill="FFFFFF"/>
            <w:vAlign w:val="bottom"/>
            <w:hideMark/>
          </w:tcPr>
          <w:p w14:paraId="0D91BF50" w14:textId="1DF74925" w:rsidR="00236301" w:rsidRDefault="00265296" w:rsidP="00982238">
            <w:pPr>
              <w:pStyle w:val="NormalWeb"/>
              <w:jc w:val="right"/>
            </w:pPr>
            <w:r>
              <w:rPr>
                <w:b/>
                <w:bCs/>
                <w:sz w:val="20"/>
                <w:szCs w:val="20"/>
              </w:rPr>
              <w:t>$   642,6</w:t>
            </w:r>
            <w:r w:rsidR="00982238">
              <w:rPr>
                <w:b/>
                <w:bCs/>
                <w:sz w:val="20"/>
                <w:szCs w:val="20"/>
              </w:rPr>
              <w:t>23</w:t>
            </w:r>
          </w:p>
        </w:tc>
        <w:tc>
          <w:tcPr>
            <w:tcW w:w="0" w:type="auto"/>
            <w:shd w:val="clear" w:color="auto" w:fill="FFFFFF"/>
            <w:vAlign w:val="bottom"/>
            <w:hideMark/>
          </w:tcPr>
          <w:p w14:paraId="2B6512A4" w14:textId="0A8D0E7E" w:rsidR="00236301" w:rsidRDefault="00265296" w:rsidP="00935664">
            <w:pPr>
              <w:pStyle w:val="NormalWeb"/>
              <w:jc w:val="right"/>
            </w:pPr>
            <w:r>
              <w:rPr>
                <w:b/>
                <w:bCs/>
                <w:sz w:val="20"/>
                <w:szCs w:val="20"/>
              </w:rPr>
              <w:t>$   </w:t>
            </w:r>
            <w:r w:rsidR="00935664">
              <w:rPr>
                <w:b/>
                <w:bCs/>
                <w:sz w:val="20"/>
                <w:szCs w:val="20"/>
              </w:rPr>
              <w:t>674,902</w:t>
            </w:r>
          </w:p>
        </w:tc>
      </w:tr>
      <w:tr w:rsidR="00236301" w14:paraId="314940E3" w14:textId="77777777" w:rsidTr="00155BFC">
        <w:trPr>
          <w:divId w:val="1733656443"/>
          <w:tblCellSpacing w:w="0" w:type="dxa"/>
        </w:trPr>
        <w:tc>
          <w:tcPr>
            <w:tcW w:w="0" w:type="auto"/>
            <w:shd w:val="clear" w:color="auto" w:fill="CCEEFF"/>
            <w:vAlign w:val="bottom"/>
            <w:hideMark/>
          </w:tcPr>
          <w:p w14:paraId="2246CF8A" w14:textId="77777777" w:rsidR="00236301" w:rsidRDefault="00265296">
            <w:pPr>
              <w:rPr>
                <w:rFonts w:eastAsia="Times New Roman"/>
              </w:rPr>
            </w:pPr>
            <w:r>
              <w:rPr>
                <w:rFonts w:eastAsia="Times New Roman"/>
              </w:rPr>
              <w:lastRenderedPageBreak/>
              <w:t> </w:t>
            </w:r>
          </w:p>
        </w:tc>
        <w:tc>
          <w:tcPr>
            <w:tcW w:w="0" w:type="auto"/>
            <w:shd w:val="clear" w:color="auto" w:fill="CCEEFF"/>
            <w:vAlign w:val="bottom"/>
            <w:hideMark/>
          </w:tcPr>
          <w:p w14:paraId="1194AADE" w14:textId="77777777" w:rsidR="00236301" w:rsidRDefault="00265296">
            <w:pPr>
              <w:pStyle w:val="NormalWeb"/>
              <w:jc w:val="right"/>
            </w:pPr>
            <w:r>
              <w:rPr>
                <w:sz w:val="20"/>
                <w:szCs w:val="20"/>
              </w:rPr>
              <w:t>============</w:t>
            </w:r>
          </w:p>
        </w:tc>
        <w:tc>
          <w:tcPr>
            <w:tcW w:w="0" w:type="auto"/>
            <w:shd w:val="clear" w:color="auto" w:fill="CCEEFF"/>
            <w:vAlign w:val="bottom"/>
            <w:hideMark/>
          </w:tcPr>
          <w:p w14:paraId="0F6BAFF0" w14:textId="77777777" w:rsidR="00236301" w:rsidRDefault="00265296">
            <w:pPr>
              <w:pStyle w:val="NormalWeb"/>
              <w:jc w:val="right"/>
            </w:pPr>
            <w:r>
              <w:rPr>
                <w:sz w:val="20"/>
                <w:szCs w:val="20"/>
              </w:rPr>
              <w:t>============</w:t>
            </w:r>
          </w:p>
        </w:tc>
      </w:tr>
      <w:tr w:rsidR="00236301" w14:paraId="6C33396D" w14:textId="77777777" w:rsidTr="00155BFC">
        <w:trPr>
          <w:divId w:val="1733656443"/>
          <w:tblCellSpacing w:w="0" w:type="dxa"/>
        </w:trPr>
        <w:tc>
          <w:tcPr>
            <w:tcW w:w="0" w:type="auto"/>
            <w:shd w:val="clear" w:color="auto" w:fill="FFFFFF"/>
            <w:vAlign w:val="bottom"/>
            <w:hideMark/>
          </w:tcPr>
          <w:p w14:paraId="624B0EDE" w14:textId="77777777" w:rsidR="00236301" w:rsidRDefault="00265296">
            <w:pPr>
              <w:pStyle w:val="NormalWeb"/>
              <w:jc w:val="center"/>
            </w:pPr>
            <w:r>
              <w:rPr>
                <w:b/>
                <w:bCs/>
                <w:sz w:val="20"/>
                <w:szCs w:val="20"/>
              </w:rPr>
              <w:t>See accompanying notes to</w:t>
            </w:r>
            <w:r w:rsidR="00935664">
              <w:rPr>
                <w:b/>
                <w:bCs/>
                <w:sz w:val="20"/>
                <w:szCs w:val="20"/>
              </w:rPr>
              <w:t xml:space="preserve"> the consolidated</w:t>
            </w:r>
            <w:r>
              <w:rPr>
                <w:b/>
                <w:bCs/>
                <w:sz w:val="20"/>
                <w:szCs w:val="20"/>
              </w:rPr>
              <w:t xml:space="preserve"> financial statements.</w:t>
            </w:r>
          </w:p>
        </w:tc>
        <w:tc>
          <w:tcPr>
            <w:tcW w:w="0" w:type="auto"/>
            <w:shd w:val="clear" w:color="auto" w:fill="FFFFFF"/>
            <w:vAlign w:val="center"/>
            <w:hideMark/>
          </w:tcPr>
          <w:p w14:paraId="748642A5" w14:textId="77777777" w:rsidR="00236301" w:rsidRDefault="00236301"/>
        </w:tc>
        <w:tc>
          <w:tcPr>
            <w:tcW w:w="0" w:type="auto"/>
            <w:shd w:val="clear" w:color="auto" w:fill="FFFFFF"/>
            <w:vAlign w:val="center"/>
            <w:hideMark/>
          </w:tcPr>
          <w:p w14:paraId="5DB7B8A3" w14:textId="77777777" w:rsidR="00236301" w:rsidRDefault="00236301">
            <w:pPr>
              <w:rPr>
                <w:rFonts w:eastAsia="Times New Roman"/>
                <w:sz w:val="20"/>
                <w:szCs w:val="20"/>
              </w:rPr>
            </w:pPr>
          </w:p>
        </w:tc>
      </w:tr>
    </w:tbl>
    <w:p w14:paraId="042F003D" w14:textId="77777777" w:rsidR="00236301" w:rsidRDefault="00236301">
      <w:pPr>
        <w:divId w:val="1733656443"/>
        <w:rPr>
          <w:rFonts w:eastAsia="Times New Roman"/>
        </w:rPr>
      </w:pPr>
    </w:p>
    <w:p w14:paraId="1A28DE88" w14:textId="77777777" w:rsidR="00236301" w:rsidRDefault="00265296">
      <w:pPr>
        <w:pStyle w:val="NormalWeb"/>
        <w:jc w:val="center"/>
        <w:divId w:val="1733656443"/>
      </w:pPr>
      <w:r>
        <w:rPr>
          <w:b/>
          <w:bCs/>
          <w:sz w:val="20"/>
          <w:szCs w:val="20"/>
        </w:rPr>
        <w:t>F-4</w:t>
      </w:r>
      <w:r>
        <w:rPr>
          <w:sz w:val="20"/>
          <w:szCs w:val="20"/>
        </w:rPr>
        <w:t xml:space="preserve"> </w:t>
      </w:r>
    </w:p>
    <w:p w14:paraId="2CEDCDFD" w14:textId="77777777" w:rsidR="00236301" w:rsidRDefault="00084F74">
      <w:pPr>
        <w:jc w:val="center"/>
        <w:divId w:val="1733656443"/>
        <w:rPr>
          <w:rFonts w:eastAsia="Times New Roman"/>
          <w:sz w:val="20"/>
          <w:szCs w:val="20"/>
        </w:rPr>
      </w:pPr>
      <w:r>
        <w:rPr>
          <w:rFonts w:eastAsia="Times New Roman"/>
          <w:sz w:val="20"/>
          <w:szCs w:val="20"/>
        </w:rPr>
        <w:pict w14:anchorId="6E5250B5">
          <v:rect id="_x0000_i1057" style="width:.05pt;height:1pt" o:hralign="center" o:hrstd="t" o:hrnoshade="t" o:hr="t" fillcolor="blue" stroked="f"/>
        </w:pict>
      </w:r>
    </w:p>
    <w:p w14:paraId="3A0440CC" w14:textId="77777777" w:rsidR="00236301" w:rsidRDefault="00236301">
      <w:pPr>
        <w:divId w:val="1733656443"/>
        <w:rPr>
          <w:rFonts w:eastAsia="Times New Roman"/>
        </w:rPr>
      </w:pPr>
    </w:p>
    <w:tbl>
      <w:tblPr>
        <w:tblW w:w="4500" w:type="pct"/>
        <w:tblCellSpacing w:w="0" w:type="dxa"/>
        <w:tblCellMar>
          <w:left w:w="0" w:type="dxa"/>
          <w:right w:w="0" w:type="dxa"/>
        </w:tblCellMar>
        <w:tblLook w:val="04A0" w:firstRow="1" w:lastRow="0" w:firstColumn="1" w:lastColumn="0" w:noHBand="0" w:noVBand="1"/>
      </w:tblPr>
      <w:tblGrid>
        <w:gridCol w:w="8164"/>
        <w:gridCol w:w="1750"/>
        <w:gridCol w:w="1750"/>
      </w:tblGrid>
      <w:tr w:rsidR="00236301" w14:paraId="5A1C55B8" w14:textId="77777777">
        <w:trPr>
          <w:divId w:val="1733656443"/>
          <w:tblCellSpacing w:w="0" w:type="dxa"/>
        </w:trPr>
        <w:tc>
          <w:tcPr>
            <w:tcW w:w="0" w:type="auto"/>
            <w:gridSpan w:val="3"/>
            <w:shd w:val="clear" w:color="auto" w:fill="CCEEFF"/>
            <w:vAlign w:val="bottom"/>
            <w:hideMark/>
          </w:tcPr>
          <w:p w14:paraId="50369C70" w14:textId="77777777" w:rsidR="00236301" w:rsidRDefault="00265296">
            <w:pPr>
              <w:pStyle w:val="NormalWeb"/>
              <w:jc w:val="center"/>
            </w:pPr>
            <w:bookmarkStart w:id="23" w:name="so"/>
            <w:bookmarkEnd w:id="23"/>
            <w:r>
              <w:rPr>
                <w:b/>
                <w:bCs/>
                <w:sz w:val="20"/>
                <w:szCs w:val="20"/>
              </w:rPr>
              <w:t>ADVANCED OXYGEN TECHNOLOGIES, INC.</w:t>
            </w:r>
            <w:r>
              <w:rPr>
                <w:b/>
                <w:bCs/>
                <w:sz w:val="20"/>
                <w:szCs w:val="20"/>
              </w:rPr>
              <w:br/>
              <w:t>AND SUBSIDIARY</w:t>
            </w:r>
            <w:r>
              <w:rPr>
                <w:b/>
                <w:bCs/>
                <w:sz w:val="20"/>
                <w:szCs w:val="20"/>
              </w:rPr>
              <w:br/>
              <w:t>CONSOLIDATED STATEMENT OF OPERATIONS</w:t>
            </w:r>
          </w:p>
        </w:tc>
      </w:tr>
      <w:tr w:rsidR="00236301" w14:paraId="7FF74FB3" w14:textId="77777777">
        <w:trPr>
          <w:divId w:val="1733656443"/>
          <w:tblCellSpacing w:w="0" w:type="dxa"/>
        </w:trPr>
        <w:tc>
          <w:tcPr>
            <w:tcW w:w="3500" w:type="pct"/>
            <w:shd w:val="clear" w:color="auto" w:fill="FFFFFF"/>
            <w:vAlign w:val="bottom"/>
            <w:hideMark/>
          </w:tcPr>
          <w:p w14:paraId="0C11564E" w14:textId="77777777" w:rsidR="00236301" w:rsidRDefault="00265296">
            <w:pPr>
              <w:pStyle w:val="NormalWeb"/>
            </w:pPr>
            <w:r>
              <w:rPr>
                <w:sz w:val="20"/>
                <w:szCs w:val="20"/>
              </w:rPr>
              <w:t> </w:t>
            </w:r>
          </w:p>
        </w:tc>
        <w:tc>
          <w:tcPr>
            <w:tcW w:w="0" w:type="auto"/>
            <w:gridSpan w:val="2"/>
            <w:shd w:val="clear" w:color="auto" w:fill="FFFFFF"/>
            <w:vAlign w:val="bottom"/>
            <w:hideMark/>
          </w:tcPr>
          <w:p w14:paraId="10289560" w14:textId="77777777" w:rsidR="00236301" w:rsidRDefault="00265296">
            <w:pPr>
              <w:pStyle w:val="NormalWeb"/>
              <w:jc w:val="center"/>
            </w:pPr>
            <w:r>
              <w:rPr>
                <w:b/>
                <w:bCs/>
                <w:sz w:val="20"/>
                <w:szCs w:val="20"/>
              </w:rPr>
              <w:t>For the Years ended June 30,</w:t>
            </w:r>
          </w:p>
        </w:tc>
      </w:tr>
      <w:tr w:rsidR="00236301" w14:paraId="49AB67FD" w14:textId="77777777">
        <w:trPr>
          <w:divId w:val="1733656443"/>
          <w:tblCellSpacing w:w="0" w:type="dxa"/>
        </w:trPr>
        <w:tc>
          <w:tcPr>
            <w:tcW w:w="0" w:type="auto"/>
            <w:shd w:val="clear" w:color="auto" w:fill="CCEEFF"/>
            <w:vAlign w:val="bottom"/>
            <w:hideMark/>
          </w:tcPr>
          <w:p w14:paraId="4DB97F56" w14:textId="77777777" w:rsidR="00236301" w:rsidRDefault="00265296">
            <w:pPr>
              <w:pStyle w:val="NormalWeb"/>
            </w:pPr>
            <w:r>
              <w:rPr>
                <w:sz w:val="20"/>
                <w:szCs w:val="20"/>
              </w:rPr>
              <w:t> </w:t>
            </w:r>
          </w:p>
        </w:tc>
        <w:tc>
          <w:tcPr>
            <w:tcW w:w="750" w:type="pct"/>
            <w:shd w:val="clear" w:color="auto" w:fill="CCEEFF"/>
            <w:vAlign w:val="bottom"/>
            <w:hideMark/>
          </w:tcPr>
          <w:p w14:paraId="6056E314" w14:textId="77777777" w:rsidR="00236301" w:rsidRDefault="00265296">
            <w:pPr>
              <w:pStyle w:val="NormalWeb"/>
              <w:jc w:val="center"/>
            </w:pPr>
            <w:r>
              <w:rPr>
                <w:b/>
                <w:bCs/>
                <w:sz w:val="20"/>
                <w:szCs w:val="20"/>
              </w:rPr>
              <w:t>2016</w:t>
            </w:r>
          </w:p>
          <w:p w14:paraId="00525222" w14:textId="77777777" w:rsidR="00236301" w:rsidRDefault="00084F74">
            <w:pPr>
              <w:rPr>
                <w:rFonts w:eastAsia="Times New Roman"/>
              </w:rPr>
            </w:pPr>
            <w:r>
              <w:rPr>
                <w:rFonts w:eastAsia="Times New Roman"/>
              </w:rPr>
              <w:pict w14:anchorId="66EF2C0F">
                <v:rect id="_x0000_i1058" style="width:.05pt;height:1pt" o:hralign="center" o:hrstd="t" o:hr="t" fillcolor="#a0a0a0" stroked="f"/>
              </w:pict>
            </w:r>
          </w:p>
        </w:tc>
        <w:tc>
          <w:tcPr>
            <w:tcW w:w="750" w:type="pct"/>
            <w:shd w:val="clear" w:color="auto" w:fill="CCEEFF"/>
            <w:vAlign w:val="bottom"/>
            <w:hideMark/>
          </w:tcPr>
          <w:p w14:paraId="712589FC" w14:textId="77777777" w:rsidR="00236301" w:rsidRDefault="00265296">
            <w:pPr>
              <w:pStyle w:val="NormalWeb"/>
              <w:jc w:val="center"/>
            </w:pPr>
            <w:r>
              <w:rPr>
                <w:b/>
                <w:bCs/>
                <w:sz w:val="20"/>
                <w:szCs w:val="20"/>
              </w:rPr>
              <w:t>2015</w:t>
            </w:r>
          </w:p>
          <w:p w14:paraId="482B8C1F" w14:textId="77777777" w:rsidR="00236301" w:rsidRDefault="00084F74">
            <w:pPr>
              <w:jc w:val="center"/>
              <w:rPr>
                <w:rFonts w:eastAsia="Times New Roman"/>
              </w:rPr>
            </w:pPr>
            <w:r>
              <w:rPr>
                <w:rFonts w:eastAsia="Times New Roman"/>
              </w:rPr>
              <w:pict w14:anchorId="007A227B">
                <v:rect id="_x0000_i1059" style="width:.05pt;height:1pt" o:hralign="center" o:hrstd="t" o:hr="t" fillcolor="#a0a0a0" stroked="f"/>
              </w:pict>
            </w:r>
          </w:p>
        </w:tc>
      </w:tr>
      <w:tr w:rsidR="00236301" w14:paraId="0B31D865" w14:textId="77777777">
        <w:trPr>
          <w:divId w:val="1733656443"/>
          <w:tblCellSpacing w:w="0" w:type="dxa"/>
        </w:trPr>
        <w:tc>
          <w:tcPr>
            <w:tcW w:w="0" w:type="auto"/>
            <w:shd w:val="clear" w:color="auto" w:fill="FFFFFF"/>
            <w:vAlign w:val="bottom"/>
            <w:hideMark/>
          </w:tcPr>
          <w:p w14:paraId="4FC12FDF" w14:textId="77777777" w:rsidR="00236301" w:rsidRDefault="00265296">
            <w:pPr>
              <w:pStyle w:val="NormalWeb"/>
            </w:pPr>
            <w:r>
              <w:rPr>
                <w:sz w:val="20"/>
                <w:szCs w:val="20"/>
              </w:rPr>
              <w:t xml:space="preserve">Revenues </w:t>
            </w:r>
          </w:p>
        </w:tc>
        <w:tc>
          <w:tcPr>
            <w:tcW w:w="0" w:type="auto"/>
            <w:shd w:val="clear" w:color="auto" w:fill="FFFFFF"/>
            <w:vAlign w:val="bottom"/>
            <w:hideMark/>
          </w:tcPr>
          <w:p w14:paraId="41566B7B" w14:textId="77777777" w:rsidR="00236301" w:rsidRDefault="00265296">
            <w:pPr>
              <w:rPr>
                <w:rFonts w:eastAsia="Times New Roman"/>
              </w:rPr>
            </w:pPr>
            <w:r>
              <w:rPr>
                <w:rFonts w:eastAsia="Times New Roman"/>
              </w:rPr>
              <w:t> </w:t>
            </w:r>
          </w:p>
        </w:tc>
        <w:tc>
          <w:tcPr>
            <w:tcW w:w="0" w:type="auto"/>
            <w:shd w:val="clear" w:color="auto" w:fill="FFFFFF"/>
            <w:vAlign w:val="bottom"/>
            <w:hideMark/>
          </w:tcPr>
          <w:p w14:paraId="2B6635FC" w14:textId="77777777" w:rsidR="00236301" w:rsidRDefault="00265296">
            <w:pPr>
              <w:rPr>
                <w:rFonts w:eastAsia="Times New Roman"/>
              </w:rPr>
            </w:pPr>
            <w:r>
              <w:rPr>
                <w:rFonts w:eastAsia="Times New Roman"/>
              </w:rPr>
              <w:t> </w:t>
            </w:r>
          </w:p>
        </w:tc>
      </w:tr>
      <w:tr w:rsidR="00236301" w14:paraId="08216502" w14:textId="77777777">
        <w:trPr>
          <w:divId w:val="1733656443"/>
          <w:tblCellSpacing w:w="0" w:type="dxa"/>
        </w:trPr>
        <w:tc>
          <w:tcPr>
            <w:tcW w:w="0" w:type="auto"/>
            <w:shd w:val="clear" w:color="auto" w:fill="CCEEFF"/>
            <w:vAlign w:val="bottom"/>
            <w:hideMark/>
          </w:tcPr>
          <w:p w14:paraId="124757FC" w14:textId="77777777" w:rsidR="00236301" w:rsidRDefault="00265296">
            <w:pPr>
              <w:pStyle w:val="NormalWeb"/>
            </w:pPr>
            <w:r>
              <w:rPr>
                <w:sz w:val="20"/>
                <w:szCs w:val="20"/>
              </w:rPr>
              <w:t> </w:t>
            </w:r>
          </w:p>
        </w:tc>
        <w:tc>
          <w:tcPr>
            <w:tcW w:w="0" w:type="auto"/>
            <w:shd w:val="clear" w:color="auto" w:fill="CCEEFF"/>
            <w:vAlign w:val="bottom"/>
            <w:hideMark/>
          </w:tcPr>
          <w:p w14:paraId="5607285A" w14:textId="77777777" w:rsidR="00236301" w:rsidRDefault="00265296">
            <w:pPr>
              <w:rPr>
                <w:rFonts w:eastAsia="Times New Roman"/>
              </w:rPr>
            </w:pPr>
            <w:r>
              <w:rPr>
                <w:rFonts w:eastAsia="Times New Roman"/>
              </w:rPr>
              <w:t> </w:t>
            </w:r>
          </w:p>
        </w:tc>
        <w:tc>
          <w:tcPr>
            <w:tcW w:w="0" w:type="auto"/>
            <w:shd w:val="clear" w:color="auto" w:fill="CCEEFF"/>
            <w:vAlign w:val="bottom"/>
            <w:hideMark/>
          </w:tcPr>
          <w:p w14:paraId="6BA3DB4F" w14:textId="77777777" w:rsidR="00236301" w:rsidRDefault="00265296">
            <w:pPr>
              <w:rPr>
                <w:rFonts w:eastAsia="Times New Roman"/>
              </w:rPr>
            </w:pPr>
            <w:r>
              <w:rPr>
                <w:rFonts w:eastAsia="Times New Roman"/>
              </w:rPr>
              <w:t> </w:t>
            </w:r>
          </w:p>
        </w:tc>
      </w:tr>
      <w:tr w:rsidR="00236301" w14:paraId="3FBAA910" w14:textId="77777777">
        <w:trPr>
          <w:divId w:val="1733656443"/>
          <w:tblCellSpacing w:w="0" w:type="dxa"/>
        </w:trPr>
        <w:tc>
          <w:tcPr>
            <w:tcW w:w="0" w:type="auto"/>
            <w:shd w:val="clear" w:color="auto" w:fill="FFFFFF"/>
            <w:vAlign w:val="bottom"/>
            <w:hideMark/>
          </w:tcPr>
          <w:p w14:paraId="042CA238" w14:textId="77777777" w:rsidR="00236301" w:rsidRDefault="00265296">
            <w:pPr>
              <w:pStyle w:val="NormalWeb"/>
            </w:pPr>
            <w:r>
              <w:rPr>
                <w:sz w:val="20"/>
                <w:szCs w:val="20"/>
              </w:rPr>
              <w:t>  Real Estate Rentals</w:t>
            </w:r>
          </w:p>
        </w:tc>
        <w:tc>
          <w:tcPr>
            <w:tcW w:w="0" w:type="auto"/>
            <w:shd w:val="clear" w:color="auto" w:fill="FFFFFF"/>
            <w:vAlign w:val="bottom"/>
            <w:hideMark/>
          </w:tcPr>
          <w:p w14:paraId="3F58036E" w14:textId="3249EBB6" w:rsidR="00236301" w:rsidRDefault="00265296" w:rsidP="00BD4630">
            <w:pPr>
              <w:pStyle w:val="NormalWeb"/>
              <w:jc w:val="right"/>
            </w:pPr>
            <w:r>
              <w:rPr>
                <w:sz w:val="20"/>
                <w:szCs w:val="20"/>
              </w:rPr>
              <w:t>$ 36,22</w:t>
            </w:r>
            <w:r w:rsidR="00BD4630">
              <w:rPr>
                <w:sz w:val="20"/>
                <w:szCs w:val="20"/>
              </w:rPr>
              <w:t>7</w:t>
            </w:r>
          </w:p>
        </w:tc>
        <w:tc>
          <w:tcPr>
            <w:tcW w:w="0" w:type="auto"/>
            <w:shd w:val="clear" w:color="auto" w:fill="FFFFFF"/>
            <w:vAlign w:val="bottom"/>
            <w:hideMark/>
          </w:tcPr>
          <w:p w14:paraId="2E885892" w14:textId="77777777" w:rsidR="00236301" w:rsidRDefault="00265296">
            <w:pPr>
              <w:pStyle w:val="NormalWeb"/>
              <w:jc w:val="right"/>
            </w:pPr>
            <w:r>
              <w:rPr>
                <w:sz w:val="20"/>
                <w:szCs w:val="20"/>
              </w:rPr>
              <w:t>$ 38,585</w:t>
            </w:r>
          </w:p>
        </w:tc>
      </w:tr>
      <w:tr w:rsidR="00236301" w14:paraId="461069CB" w14:textId="77777777" w:rsidTr="007E57A4">
        <w:trPr>
          <w:divId w:val="1733656443"/>
          <w:tblCellSpacing w:w="0" w:type="dxa"/>
        </w:trPr>
        <w:tc>
          <w:tcPr>
            <w:tcW w:w="0" w:type="auto"/>
            <w:shd w:val="clear" w:color="auto" w:fill="CCEEFF"/>
            <w:vAlign w:val="bottom"/>
          </w:tcPr>
          <w:p w14:paraId="76F4A459" w14:textId="058C935D" w:rsidR="00236301" w:rsidRDefault="00236301">
            <w:pPr>
              <w:pStyle w:val="NormalWeb"/>
            </w:pPr>
          </w:p>
        </w:tc>
        <w:tc>
          <w:tcPr>
            <w:tcW w:w="0" w:type="auto"/>
            <w:shd w:val="clear" w:color="auto" w:fill="CCEEFF"/>
            <w:vAlign w:val="bottom"/>
          </w:tcPr>
          <w:p w14:paraId="2251ECDC" w14:textId="7CFE06BC" w:rsidR="00236301" w:rsidRDefault="00236301">
            <w:pPr>
              <w:pStyle w:val="NormalWeb"/>
              <w:jc w:val="right"/>
            </w:pPr>
          </w:p>
        </w:tc>
        <w:tc>
          <w:tcPr>
            <w:tcW w:w="0" w:type="auto"/>
            <w:shd w:val="clear" w:color="auto" w:fill="CCEEFF"/>
            <w:vAlign w:val="bottom"/>
          </w:tcPr>
          <w:p w14:paraId="3BF87795" w14:textId="38556417" w:rsidR="00236301" w:rsidRDefault="00236301">
            <w:pPr>
              <w:pStyle w:val="NormalWeb"/>
              <w:jc w:val="right"/>
            </w:pPr>
          </w:p>
        </w:tc>
      </w:tr>
      <w:tr w:rsidR="00236301" w14:paraId="11DF0A3B" w14:textId="77777777">
        <w:trPr>
          <w:divId w:val="1733656443"/>
          <w:tblCellSpacing w:w="0" w:type="dxa"/>
        </w:trPr>
        <w:tc>
          <w:tcPr>
            <w:tcW w:w="0" w:type="auto"/>
            <w:shd w:val="clear" w:color="auto" w:fill="FFFFFF"/>
            <w:vAlign w:val="bottom"/>
            <w:hideMark/>
          </w:tcPr>
          <w:p w14:paraId="7EB76257" w14:textId="77777777" w:rsidR="00236301" w:rsidRDefault="00265296">
            <w:pPr>
              <w:pStyle w:val="NormalWeb"/>
            </w:pPr>
            <w:r>
              <w:rPr>
                <w:sz w:val="20"/>
                <w:szCs w:val="20"/>
              </w:rPr>
              <w:t> </w:t>
            </w:r>
          </w:p>
        </w:tc>
        <w:tc>
          <w:tcPr>
            <w:tcW w:w="0" w:type="auto"/>
            <w:shd w:val="clear" w:color="auto" w:fill="FFFFFF"/>
            <w:vAlign w:val="bottom"/>
            <w:hideMark/>
          </w:tcPr>
          <w:p w14:paraId="5C449C63" w14:textId="77777777" w:rsidR="00236301" w:rsidRDefault="00265296">
            <w:pPr>
              <w:pStyle w:val="NormalWeb"/>
              <w:jc w:val="right"/>
            </w:pPr>
            <w:r>
              <w:rPr>
                <w:sz w:val="20"/>
                <w:szCs w:val="20"/>
              </w:rPr>
              <w:t>-------------</w:t>
            </w:r>
          </w:p>
        </w:tc>
        <w:tc>
          <w:tcPr>
            <w:tcW w:w="0" w:type="auto"/>
            <w:shd w:val="clear" w:color="auto" w:fill="FFFFFF"/>
            <w:vAlign w:val="bottom"/>
            <w:hideMark/>
          </w:tcPr>
          <w:p w14:paraId="4F307AAC" w14:textId="77777777" w:rsidR="00236301" w:rsidRDefault="00265296">
            <w:pPr>
              <w:pStyle w:val="NormalWeb"/>
              <w:jc w:val="right"/>
            </w:pPr>
            <w:r>
              <w:rPr>
                <w:sz w:val="20"/>
                <w:szCs w:val="20"/>
              </w:rPr>
              <w:t>-------------</w:t>
            </w:r>
          </w:p>
        </w:tc>
      </w:tr>
      <w:tr w:rsidR="00236301" w14:paraId="6923E82B" w14:textId="77777777">
        <w:trPr>
          <w:divId w:val="1733656443"/>
          <w:tblCellSpacing w:w="0" w:type="dxa"/>
        </w:trPr>
        <w:tc>
          <w:tcPr>
            <w:tcW w:w="0" w:type="auto"/>
            <w:shd w:val="clear" w:color="auto" w:fill="CCEEFF"/>
            <w:vAlign w:val="bottom"/>
            <w:hideMark/>
          </w:tcPr>
          <w:p w14:paraId="34982292" w14:textId="77777777" w:rsidR="00236301" w:rsidRDefault="00265296">
            <w:pPr>
              <w:pStyle w:val="NormalWeb"/>
            </w:pPr>
            <w:r>
              <w:rPr>
                <w:sz w:val="20"/>
                <w:szCs w:val="20"/>
              </w:rPr>
              <w:t>Total Revenues</w:t>
            </w:r>
          </w:p>
        </w:tc>
        <w:tc>
          <w:tcPr>
            <w:tcW w:w="0" w:type="auto"/>
            <w:shd w:val="clear" w:color="auto" w:fill="CCEEFF"/>
            <w:vAlign w:val="bottom"/>
            <w:hideMark/>
          </w:tcPr>
          <w:p w14:paraId="4B730A2A" w14:textId="5209A19D" w:rsidR="00236301" w:rsidRDefault="00265296" w:rsidP="00BD4630">
            <w:pPr>
              <w:pStyle w:val="NormalWeb"/>
              <w:jc w:val="right"/>
            </w:pPr>
            <w:r>
              <w:rPr>
                <w:sz w:val="20"/>
                <w:szCs w:val="20"/>
              </w:rPr>
              <w:t>$ 36,</w:t>
            </w:r>
            <w:r w:rsidR="00935664">
              <w:rPr>
                <w:sz w:val="20"/>
                <w:szCs w:val="20"/>
              </w:rPr>
              <w:t>22</w:t>
            </w:r>
            <w:r w:rsidR="00BD4630">
              <w:rPr>
                <w:sz w:val="20"/>
                <w:szCs w:val="20"/>
              </w:rPr>
              <w:t>7</w:t>
            </w:r>
          </w:p>
        </w:tc>
        <w:tc>
          <w:tcPr>
            <w:tcW w:w="0" w:type="auto"/>
            <w:shd w:val="clear" w:color="auto" w:fill="CCEEFF"/>
            <w:vAlign w:val="bottom"/>
            <w:hideMark/>
          </w:tcPr>
          <w:p w14:paraId="1759BFE8" w14:textId="3D60ED40" w:rsidR="00236301" w:rsidRDefault="00265296" w:rsidP="004E0E30">
            <w:pPr>
              <w:pStyle w:val="NormalWeb"/>
              <w:jc w:val="right"/>
            </w:pPr>
            <w:r>
              <w:rPr>
                <w:sz w:val="20"/>
                <w:szCs w:val="20"/>
              </w:rPr>
              <w:t xml:space="preserve">$ </w:t>
            </w:r>
            <w:r w:rsidR="004E0E30">
              <w:rPr>
                <w:sz w:val="20"/>
                <w:szCs w:val="20"/>
              </w:rPr>
              <w:t>38,585</w:t>
            </w:r>
          </w:p>
        </w:tc>
      </w:tr>
      <w:tr w:rsidR="00236301" w14:paraId="6F548C34" w14:textId="77777777">
        <w:trPr>
          <w:divId w:val="1733656443"/>
          <w:tblCellSpacing w:w="0" w:type="dxa"/>
        </w:trPr>
        <w:tc>
          <w:tcPr>
            <w:tcW w:w="0" w:type="auto"/>
            <w:shd w:val="clear" w:color="auto" w:fill="FFFFFF"/>
            <w:vAlign w:val="bottom"/>
            <w:hideMark/>
          </w:tcPr>
          <w:p w14:paraId="218E9F00" w14:textId="77777777" w:rsidR="00236301" w:rsidRDefault="00236301"/>
        </w:tc>
        <w:tc>
          <w:tcPr>
            <w:tcW w:w="0" w:type="auto"/>
            <w:shd w:val="clear" w:color="auto" w:fill="FFFFFF"/>
            <w:vAlign w:val="bottom"/>
            <w:hideMark/>
          </w:tcPr>
          <w:p w14:paraId="7776939F" w14:textId="77777777" w:rsidR="00236301" w:rsidRDefault="00236301">
            <w:pPr>
              <w:rPr>
                <w:rFonts w:eastAsia="Times New Roman"/>
                <w:sz w:val="20"/>
                <w:szCs w:val="20"/>
              </w:rPr>
            </w:pPr>
          </w:p>
        </w:tc>
        <w:tc>
          <w:tcPr>
            <w:tcW w:w="0" w:type="auto"/>
            <w:shd w:val="clear" w:color="auto" w:fill="FFFFFF"/>
            <w:vAlign w:val="bottom"/>
            <w:hideMark/>
          </w:tcPr>
          <w:p w14:paraId="1B0A25B0" w14:textId="77777777" w:rsidR="00236301" w:rsidRDefault="00236301">
            <w:pPr>
              <w:rPr>
                <w:rFonts w:eastAsia="Times New Roman"/>
                <w:sz w:val="20"/>
                <w:szCs w:val="20"/>
              </w:rPr>
            </w:pPr>
          </w:p>
        </w:tc>
      </w:tr>
      <w:tr w:rsidR="00236301" w14:paraId="45BF6165" w14:textId="77777777">
        <w:trPr>
          <w:divId w:val="1733656443"/>
          <w:tblCellSpacing w:w="0" w:type="dxa"/>
        </w:trPr>
        <w:tc>
          <w:tcPr>
            <w:tcW w:w="0" w:type="auto"/>
            <w:shd w:val="clear" w:color="auto" w:fill="CCEEFF"/>
            <w:vAlign w:val="bottom"/>
            <w:hideMark/>
          </w:tcPr>
          <w:p w14:paraId="19939ABC" w14:textId="77777777" w:rsidR="00236301" w:rsidRDefault="00265296">
            <w:pPr>
              <w:pStyle w:val="NormalWeb"/>
            </w:pPr>
            <w:r>
              <w:rPr>
                <w:sz w:val="20"/>
                <w:szCs w:val="20"/>
              </w:rPr>
              <w:t>Cost of Sales</w:t>
            </w:r>
          </w:p>
        </w:tc>
        <w:tc>
          <w:tcPr>
            <w:tcW w:w="0" w:type="auto"/>
            <w:shd w:val="clear" w:color="auto" w:fill="CCEEFF"/>
            <w:vAlign w:val="bottom"/>
            <w:hideMark/>
          </w:tcPr>
          <w:p w14:paraId="4EA3CAE1" w14:textId="25BA88B7" w:rsidR="00236301" w:rsidRDefault="004B1B8F">
            <w:pPr>
              <w:pStyle w:val="NormalWeb"/>
              <w:jc w:val="right"/>
            </w:pPr>
            <w:r>
              <w:rPr>
                <w:sz w:val="20"/>
                <w:szCs w:val="20"/>
              </w:rPr>
              <w:t>-</w:t>
            </w:r>
          </w:p>
        </w:tc>
        <w:tc>
          <w:tcPr>
            <w:tcW w:w="0" w:type="auto"/>
            <w:shd w:val="clear" w:color="auto" w:fill="CCEEFF"/>
            <w:vAlign w:val="bottom"/>
            <w:hideMark/>
          </w:tcPr>
          <w:p w14:paraId="7CAAF67F" w14:textId="77777777" w:rsidR="00236301" w:rsidRDefault="00265296">
            <w:pPr>
              <w:pStyle w:val="NormalWeb"/>
              <w:jc w:val="right"/>
            </w:pPr>
            <w:r>
              <w:rPr>
                <w:sz w:val="20"/>
                <w:szCs w:val="20"/>
              </w:rPr>
              <w:t>-</w:t>
            </w:r>
          </w:p>
        </w:tc>
      </w:tr>
      <w:tr w:rsidR="00236301" w14:paraId="7FF8A692" w14:textId="77777777" w:rsidTr="007E57A4">
        <w:trPr>
          <w:divId w:val="1733656443"/>
          <w:tblCellSpacing w:w="0" w:type="dxa"/>
        </w:trPr>
        <w:tc>
          <w:tcPr>
            <w:tcW w:w="0" w:type="auto"/>
            <w:shd w:val="clear" w:color="auto" w:fill="FFFFFF"/>
            <w:vAlign w:val="bottom"/>
          </w:tcPr>
          <w:p w14:paraId="5A0831E3" w14:textId="5924B0A1" w:rsidR="00236301" w:rsidRDefault="00236301">
            <w:pPr>
              <w:pStyle w:val="NormalWeb"/>
            </w:pPr>
          </w:p>
        </w:tc>
        <w:tc>
          <w:tcPr>
            <w:tcW w:w="0" w:type="auto"/>
            <w:shd w:val="clear" w:color="auto" w:fill="FFFFFF"/>
            <w:vAlign w:val="bottom"/>
          </w:tcPr>
          <w:p w14:paraId="076EB546" w14:textId="6F9908E5" w:rsidR="00236301" w:rsidRDefault="00236301">
            <w:pPr>
              <w:pStyle w:val="NormalWeb"/>
              <w:jc w:val="right"/>
            </w:pPr>
          </w:p>
        </w:tc>
        <w:tc>
          <w:tcPr>
            <w:tcW w:w="0" w:type="auto"/>
            <w:shd w:val="clear" w:color="auto" w:fill="FFFFFF"/>
            <w:vAlign w:val="bottom"/>
          </w:tcPr>
          <w:p w14:paraId="3D2CEFCF" w14:textId="5CF7356C" w:rsidR="00236301" w:rsidRDefault="00236301">
            <w:pPr>
              <w:pStyle w:val="NormalWeb"/>
              <w:jc w:val="right"/>
            </w:pPr>
          </w:p>
        </w:tc>
      </w:tr>
      <w:tr w:rsidR="00236301" w14:paraId="58656CCC" w14:textId="77777777">
        <w:trPr>
          <w:divId w:val="1733656443"/>
          <w:tblCellSpacing w:w="0" w:type="dxa"/>
        </w:trPr>
        <w:tc>
          <w:tcPr>
            <w:tcW w:w="0" w:type="auto"/>
            <w:shd w:val="clear" w:color="auto" w:fill="CCEEFF"/>
            <w:vAlign w:val="bottom"/>
            <w:hideMark/>
          </w:tcPr>
          <w:p w14:paraId="011B2F18" w14:textId="77777777" w:rsidR="00236301" w:rsidRDefault="00265296">
            <w:pPr>
              <w:pStyle w:val="NormalWeb"/>
            </w:pPr>
            <w:r>
              <w:rPr>
                <w:sz w:val="20"/>
                <w:szCs w:val="20"/>
              </w:rPr>
              <w:t>  Total Cost of Sales</w:t>
            </w:r>
          </w:p>
        </w:tc>
        <w:tc>
          <w:tcPr>
            <w:tcW w:w="0" w:type="auto"/>
            <w:shd w:val="clear" w:color="auto" w:fill="CCEEFF"/>
            <w:vAlign w:val="bottom"/>
            <w:hideMark/>
          </w:tcPr>
          <w:p w14:paraId="0AEA6F88" w14:textId="001B92D3" w:rsidR="00236301" w:rsidRDefault="004B1B8F">
            <w:pPr>
              <w:pStyle w:val="NormalWeb"/>
              <w:jc w:val="right"/>
            </w:pPr>
            <w:r>
              <w:rPr>
                <w:sz w:val="20"/>
                <w:szCs w:val="20"/>
              </w:rPr>
              <w:t>-</w:t>
            </w:r>
          </w:p>
        </w:tc>
        <w:tc>
          <w:tcPr>
            <w:tcW w:w="0" w:type="auto"/>
            <w:shd w:val="clear" w:color="auto" w:fill="CCEEFF"/>
            <w:vAlign w:val="bottom"/>
            <w:hideMark/>
          </w:tcPr>
          <w:p w14:paraId="5EC576A4" w14:textId="77777777" w:rsidR="00236301" w:rsidRDefault="00265296">
            <w:pPr>
              <w:pStyle w:val="NormalWeb"/>
              <w:jc w:val="right"/>
            </w:pPr>
            <w:r>
              <w:rPr>
                <w:sz w:val="20"/>
                <w:szCs w:val="20"/>
              </w:rPr>
              <w:t>-</w:t>
            </w:r>
          </w:p>
        </w:tc>
      </w:tr>
      <w:tr w:rsidR="00236301" w14:paraId="01CBE10C" w14:textId="77777777">
        <w:trPr>
          <w:divId w:val="1733656443"/>
          <w:tblCellSpacing w:w="0" w:type="dxa"/>
        </w:trPr>
        <w:tc>
          <w:tcPr>
            <w:tcW w:w="0" w:type="auto"/>
            <w:shd w:val="clear" w:color="auto" w:fill="FFFFFF"/>
            <w:vAlign w:val="bottom"/>
            <w:hideMark/>
          </w:tcPr>
          <w:p w14:paraId="460BAFF7" w14:textId="77777777" w:rsidR="00236301" w:rsidRDefault="00236301"/>
        </w:tc>
        <w:tc>
          <w:tcPr>
            <w:tcW w:w="0" w:type="auto"/>
            <w:shd w:val="clear" w:color="auto" w:fill="FFFFFF"/>
            <w:vAlign w:val="bottom"/>
            <w:hideMark/>
          </w:tcPr>
          <w:p w14:paraId="496A791C" w14:textId="77777777" w:rsidR="00236301" w:rsidRDefault="00236301">
            <w:pPr>
              <w:rPr>
                <w:rFonts w:eastAsia="Times New Roman"/>
                <w:sz w:val="20"/>
                <w:szCs w:val="20"/>
              </w:rPr>
            </w:pPr>
          </w:p>
        </w:tc>
        <w:tc>
          <w:tcPr>
            <w:tcW w:w="0" w:type="auto"/>
            <w:shd w:val="clear" w:color="auto" w:fill="FFFFFF"/>
            <w:vAlign w:val="bottom"/>
            <w:hideMark/>
          </w:tcPr>
          <w:p w14:paraId="14B513F9" w14:textId="77777777" w:rsidR="00236301" w:rsidRDefault="00236301">
            <w:pPr>
              <w:rPr>
                <w:rFonts w:eastAsia="Times New Roman"/>
                <w:sz w:val="20"/>
                <w:szCs w:val="20"/>
              </w:rPr>
            </w:pPr>
          </w:p>
        </w:tc>
      </w:tr>
      <w:tr w:rsidR="00236301" w14:paraId="79385465" w14:textId="77777777">
        <w:trPr>
          <w:divId w:val="1733656443"/>
          <w:tblCellSpacing w:w="0" w:type="dxa"/>
        </w:trPr>
        <w:tc>
          <w:tcPr>
            <w:tcW w:w="0" w:type="auto"/>
            <w:shd w:val="clear" w:color="auto" w:fill="CCEEFF"/>
            <w:vAlign w:val="bottom"/>
            <w:hideMark/>
          </w:tcPr>
          <w:p w14:paraId="05853592" w14:textId="77777777" w:rsidR="00236301" w:rsidRDefault="00265296">
            <w:pPr>
              <w:pStyle w:val="NormalWeb"/>
            </w:pPr>
            <w:r>
              <w:rPr>
                <w:sz w:val="20"/>
                <w:szCs w:val="20"/>
              </w:rPr>
              <w:t>Gross Profit</w:t>
            </w:r>
          </w:p>
        </w:tc>
        <w:tc>
          <w:tcPr>
            <w:tcW w:w="0" w:type="auto"/>
            <w:shd w:val="clear" w:color="auto" w:fill="CCEEFF"/>
            <w:vAlign w:val="bottom"/>
            <w:hideMark/>
          </w:tcPr>
          <w:p w14:paraId="6264DBF6" w14:textId="02DDC2DE" w:rsidR="00236301" w:rsidRDefault="004B1B8F" w:rsidP="00BD4630">
            <w:pPr>
              <w:pStyle w:val="NormalWeb"/>
              <w:jc w:val="right"/>
            </w:pPr>
            <w:r>
              <w:rPr>
                <w:sz w:val="20"/>
                <w:szCs w:val="20"/>
              </w:rPr>
              <w:t>36,22</w:t>
            </w:r>
            <w:r w:rsidR="00BD4630">
              <w:rPr>
                <w:sz w:val="20"/>
                <w:szCs w:val="20"/>
              </w:rPr>
              <w:t>7</w:t>
            </w:r>
          </w:p>
        </w:tc>
        <w:tc>
          <w:tcPr>
            <w:tcW w:w="0" w:type="auto"/>
            <w:shd w:val="clear" w:color="auto" w:fill="CCEEFF"/>
            <w:vAlign w:val="bottom"/>
            <w:hideMark/>
          </w:tcPr>
          <w:p w14:paraId="5257467F" w14:textId="03D77B9D" w:rsidR="00236301" w:rsidRDefault="004E0E30">
            <w:pPr>
              <w:pStyle w:val="NormalWeb"/>
              <w:jc w:val="right"/>
            </w:pPr>
            <w:r>
              <w:rPr>
                <w:sz w:val="20"/>
                <w:szCs w:val="20"/>
              </w:rPr>
              <w:t>38,585</w:t>
            </w:r>
          </w:p>
        </w:tc>
      </w:tr>
      <w:tr w:rsidR="00236301" w14:paraId="211347F7" w14:textId="77777777">
        <w:trPr>
          <w:divId w:val="1733656443"/>
          <w:tblCellSpacing w:w="0" w:type="dxa"/>
        </w:trPr>
        <w:tc>
          <w:tcPr>
            <w:tcW w:w="0" w:type="auto"/>
            <w:shd w:val="clear" w:color="auto" w:fill="FFFFFF"/>
            <w:vAlign w:val="bottom"/>
            <w:hideMark/>
          </w:tcPr>
          <w:p w14:paraId="010A93DE" w14:textId="77777777" w:rsidR="00236301" w:rsidRDefault="00236301"/>
        </w:tc>
        <w:tc>
          <w:tcPr>
            <w:tcW w:w="0" w:type="auto"/>
            <w:shd w:val="clear" w:color="auto" w:fill="FFFFFF"/>
            <w:vAlign w:val="bottom"/>
            <w:hideMark/>
          </w:tcPr>
          <w:p w14:paraId="0DD751CA" w14:textId="77777777" w:rsidR="00236301" w:rsidRDefault="00236301">
            <w:pPr>
              <w:rPr>
                <w:rFonts w:eastAsia="Times New Roman"/>
                <w:sz w:val="20"/>
                <w:szCs w:val="20"/>
              </w:rPr>
            </w:pPr>
          </w:p>
        </w:tc>
        <w:tc>
          <w:tcPr>
            <w:tcW w:w="0" w:type="auto"/>
            <w:shd w:val="clear" w:color="auto" w:fill="FFFFFF"/>
            <w:vAlign w:val="bottom"/>
            <w:hideMark/>
          </w:tcPr>
          <w:p w14:paraId="18697752" w14:textId="77777777" w:rsidR="00236301" w:rsidRDefault="00236301">
            <w:pPr>
              <w:rPr>
                <w:rFonts w:eastAsia="Times New Roman"/>
                <w:sz w:val="20"/>
                <w:szCs w:val="20"/>
              </w:rPr>
            </w:pPr>
          </w:p>
        </w:tc>
      </w:tr>
      <w:tr w:rsidR="00236301" w14:paraId="53CD29D3" w14:textId="77777777">
        <w:trPr>
          <w:divId w:val="1733656443"/>
          <w:tblCellSpacing w:w="0" w:type="dxa"/>
        </w:trPr>
        <w:tc>
          <w:tcPr>
            <w:tcW w:w="0" w:type="auto"/>
            <w:shd w:val="clear" w:color="auto" w:fill="CCEEFF"/>
            <w:vAlign w:val="bottom"/>
            <w:hideMark/>
          </w:tcPr>
          <w:p w14:paraId="7BBC8F47" w14:textId="77777777" w:rsidR="00236301" w:rsidRDefault="00265296">
            <w:pPr>
              <w:pStyle w:val="NormalWeb"/>
            </w:pPr>
            <w:r>
              <w:rPr>
                <w:sz w:val="20"/>
                <w:szCs w:val="20"/>
              </w:rPr>
              <w:t>Costs and Expenses</w:t>
            </w:r>
          </w:p>
        </w:tc>
        <w:tc>
          <w:tcPr>
            <w:tcW w:w="0" w:type="auto"/>
            <w:shd w:val="clear" w:color="auto" w:fill="CCEEFF"/>
            <w:vAlign w:val="bottom"/>
            <w:hideMark/>
          </w:tcPr>
          <w:p w14:paraId="0BD1965D" w14:textId="77777777" w:rsidR="00236301" w:rsidRDefault="00265296">
            <w:pPr>
              <w:rPr>
                <w:rFonts w:eastAsia="Times New Roman"/>
              </w:rPr>
            </w:pPr>
            <w:r>
              <w:rPr>
                <w:rFonts w:eastAsia="Times New Roman"/>
              </w:rPr>
              <w:t> </w:t>
            </w:r>
          </w:p>
        </w:tc>
        <w:tc>
          <w:tcPr>
            <w:tcW w:w="0" w:type="auto"/>
            <w:shd w:val="clear" w:color="auto" w:fill="CCEEFF"/>
            <w:vAlign w:val="bottom"/>
            <w:hideMark/>
          </w:tcPr>
          <w:p w14:paraId="02821786" w14:textId="77777777" w:rsidR="00236301" w:rsidRDefault="00265296">
            <w:pPr>
              <w:rPr>
                <w:rFonts w:eastAsia="Times New Roman"/>
              </w:rPr>
            </w:pPr>
            <w:r>
              <w:rPr>
                <w:rFonts w:eastAsia="Times New Roman"/>
              </w:rPr>
              <w:t> </w:t>
            </w:r>
          </w:p>
        </w:tc>
      </w:tr>
      <w:tr w:rsidR="00236301" w14:paraId="594F022A" w14:textId="77777777">
        <w:trPr>
          <w:divId w:val="1733656443"/>
          <w:tblCellSpacing w:w="0" w:type="dxa"/>
        </w:trPr>
        <w:tc>
          <w:tcPr>
            <w:tcW w:w="0" w:type="auto"/>
            <w:shd w:val="clear" w:color="auto" w:fill="FFFFFF"/>
            <w:vAlign w:val="bottom"/>
            <w:hideMark/>
          </w:tcPr>
          <w:p w14:paraId="00CA5BB3" w14:textId="18118CEE" w:rsidR="00236301" w:rsidRDefault="00265296" w:rsidP="00EA621F">
            <w:pPr>
              <w:pStyle w:val="NormalWeb"/>
            </w:pPr>
            <w:r>
              <w:rPr>
                <w:sz w:val="20"/>
                <w:szCs w:val="20"/>
              </w:rPr>
              <w:t xml:space="preserve">  General &amp; Administrative </w:t>
            </w:r>
          </w:p>
        </w:tc>
        <w:tc>
          <w:tcPr>
            <w:tcW w:w="0" w:type="auto"/>
            <w:shd w:val="clear" w:color="auto" w:fill="FFFFFF"/>
            <w:vAlign w:val="bottom"/>
            <w:hideMark/>
          </w:tcPr>
          <w:p w14:paraId="6E2C968D" w14:textId="4216C72C" w:rsidR="00236301" w:rsidRDefault="004B1B8F" w:rsidP="00935664">
            <w:pPr>
              <w:pStyle w:val="NormalWeb"/>
              <w:jc w:val="right"/>
            </w:pPr>
            <w:r>
              <w:rPr>
                <w:sz w:val="20"/>
                <w:szCs w:val="20"/>
              </w:rPr>
              <w:t>4,503</w:t>
            </w:r>
          </w:p>
        </w:tc>
        <w:tc>
          <w:tcPr>
            <w:tcW w:w="0" w:type="auto"/>
            <w:shd w:val="clear" w:color="auto" w:fill="FFFFFF"/>
            <w:vAlign w:val="bottom"/>
            <w:hideMark/>
          </w:tcPr>
          <w:p w14:paraId="3F9885BA" w14:textId="77777777" w:rsidR="00236301" w:rsidRDefault="00265296">
            <w:pPr>
              <w:pStyle w:val="NormalWeb"/>
              <w:jc w:val="right"/>
            </w:pPr>
            <w:r>
              <w:rPr>
                <w:sz w:val="20"/>
                <w:szCs w:val="20"/>
              </w:rPr>
              <w:t>4,196</w:t>
            </w:r>
          </w:p>
        </w:tc>
      </w:tr>
      <w:tr w:rsidR="00236301" w14:paraId="578F82D4" w14:textId="77777777">
        <w:trPr>
          <w:divId w:val="1733656443"/>
          <w:tblCellSpacing w:w="0" w:type="dxa"/>
        </w:trPr>
        <w:tc>
          <w:tcPr>
            <w:tcW w:w="0" w:type="auto"/>
            <w:shd w:val="clear" w:color="auto" w:fill="CCEEFF"/>
            <w:vAlign w:val="bottom"/>
            <w:hideMark/>
          </w:tcPr>
          <w:p w14:paraId="4712FE0B" w14:textId="7EE3C476" w:rsidR="00236301" w:rsidRDefault="00265296" w:rsidP="00941DD5">
            <w:pPr>
              <w:pStyle w:val="NormalWeb"/>
            </w:pPr>
            <w:r>
              <w:rPr>
                <w:sz w:val="20"/>
                <w:szCs w:val="20"/>
              </w:rPr>
              <w:t>  Interest Expense</w:t>
            </w:r>
          </w:p>
        </w:tc>
        <w:tc>
          <w:tcPr>
            <w:tcW w:w="0" w:type="auto"/>
            <w:shd w:val="clear" w:color="auto" w:fill="CCEEFF"/>
            <w:vAlign w:val="bottom"/>
            <w:hideMark/>
          </w:tcPr>
          <w:p w14:paraId="3EA8BE58" w14:textId="77777777" w:rsidR="00236301" w:rsidRDefault="00265296">
            <w:pPr>
              <w:pStyle w:val="NormalWeb"/>
              <w:jc w:val="right"/>
            </w:pPr>
            <w:r>
              <w:rPr>
                <w:sz w:val="20"/>
                <w:szCs w:val="20"/>
              </w:rPr>
              <w:t>8,273</w:t>
            </w:r>
          </w:p>
        </w:tc>
        <w:tc>
          <w:tcPr>
            <w:tcW w:w="0" w:type="auto"/>
            <w:shd w:val="clear" w:color="auto" w:fill="CCEEFF"/>
            <w:vAlign w:val="bottom"/>
            <w:hideMark/>
          </w:tcPr>
          <w:p w14:paraId="6A9B0158" w14:textId="77777777" w:rsidR="00236301" w:rsidRDefault="00265296">
            <w:pPr>
              <w:pStyle w:val="NormalWeb"/>
              <w:jc w:val="right"/>
            </w:pPr>
            <w:r>
              <w:rPr>
                <w:sz w:val="20"/>
                <w:szCs w:val="20"/>
              </w:rPr>
              <w:t>10,410</w:t>
            </w:r>
          </w:p>
        </w:tc>
      </w:tr>
      <w:tr w:rsidR="00236301" w14:paraId="271F2AB3" w14:textId="77777777">
        <w:trPr>
          <w:divId w:val="1733656443"/>
          <w:tblCellSpacing w:w="0" w:type="dxa"/>
        </w:trPr>
        <w:tc>
          <w:tcPr>
            <w:tcW w:w="0" w:type="auto"/>
            <w:shd w:val="clear" w:color="auto" w:fill="FFFFFF"/>
            <w:vAlign w:val="bottom"/>
            <w:hideMark/>
          </w:tcPr>
          <w:p w14:paraId="379AF481" w14:textId="02F4EF23" w:rsidR="00236301" w:rsidRDefault="00265296" w:rsidP="004B1B8F">
            <w:pPr>
              <w:pStyle w:val="NormalWeb"/>
            </w:pPr>
            <w:r>
              <w:rPr>
                <w:sz w:val="20"/>
                <w:szCs w:val="20"/>
              </w:rPr>
              <w:t>  Professional expenses</w:t>
            </w:r>
          </w:p>
        </w:tc>
        <w:tc>
          <w:tcPr>
            <w:tcW w:w="0" w:type="auto"/>
            <w:shd w:val="clear" w:color="auto" w:fill="FFFFFF"/>
            <w:vAlign w:val="bottom"/>
            <w:hideMark/>
          </w:tcPr>
          <w:p w14:paraId="4EA2CB82" w14:textId="77777777" w:rsidR="00236301" w:rsidRDefault="00265296">
            <w:pPr>
              <w:pStyle w:val="NormalWeb"/>
              <w:jc w:val="right"/>
            </w:pPr>
            <w:r>
              <w:rPr>
                <w:sz w:val="20"/>
                <w:szCs w:val="20"/>
              </w:rPr>
              <w:t>5,739</w:t>
            </w:r>
          </w:p>
        </w:tc>
        <w:tc>
          <w:tcPr>
            <w:tcW w:w="0" w:type="auto"/>
            <w:shd w:val="clear" w:color="auto" w:fill="FFFFFF"/>
            <w:vAlign w:val="bottom"/>
            <w:hideMark/>
          </w:tcPr>
          <w:p w14:paraId="5666217A" w14:textId="77777777" w:rsidR="00236301" w:rsidRDefault="00265296">
            <w:pPr>
              <w:pStyle w:val="NormalWeb"/>
              <w:jc w:val="right"/>
            </w:pPr>
            <w:r>
              <w:rPr>
                <w:sz w:val="20"/>
                <w:szCs w:val="20"/>
              </w:rPr>
              <w:t>8,884</w:t>
            </w:r>
          </w:p>
        </w:tc>
      </w:tr>
      <w:tr w:rsidR="00236301" w14:paraId="64AAACDD" w14:textId="77777777">
        <w:trPr>
          <w:divId w:val="1733656443"/>
          <w:tblCellSpacing w:w="0" w:type="dxa"/>
        </w:trPr>
        <w:tc>
          <w:tcPr>
            <w:tcW w:w="0" w:type="auto"/>
            <w:shd w:val="clear" w:color="auto" w:fill="CCEEFF"/>
            <w:vAlign w:val="bottom"/>
            <w:hideMark/>
          </w:tcPr>
          <w:p w14:paraId="71B5E5A6" w14:textId="77777777" w:rsidR="00236301" w:rsidRDefault="00265296">
            <w:pPr>
              <w:pStyle w:val="NormalWeb"/>
            </w:pPr>
            <w:r>
              <w:rPr>
                <w:b/>
                <w:bCs/>
                <w:sz w:val="20"/>
                <w:szCs w:val="20"/>
              </w:rPr>
              <w:t>  </w:t>
            </w:r>
            <w:r>
              <w:rPr>
                <w:sz w:val="20"/>
                <w:szCs w:val="20"/>
              </w:rPr>
              <w:t>Transfer Agent Expense</w:t>
            </w:r>
          </w:p>
        </w:tc>
        <w:tc>
          <w:tcPr>
            <w:tcW w:w="0" w:type="auto"/>
            <w:shd w:val="clear" w:color="auto" w:fill="CCEEFF"/>
            <w:vAlign w:val="bottom"/>
            <w:hideMark/>
          </w:tcPr>
          <w:p w14:paraId="6A37FC3A" w14:textId="77777777" w:rsidR="00236301" w:rsidRDefault="00265296">
            <w:pPr>
              <w:pStyle w:val="NormalWeb"/>
              <w:jc w:val="right"/>
            </w:pPr>
            <w:r>
              <w:rPr>
                <w:sz w:val="20"/>
                <w:szCs w:val="20"/>
              </w:rPr>
              <w:t>2,100</w:t>
            </w:r>
          </w:p>
        </w:tc>
        <w:tc>
          <w:tcPr>
            <w:tcW w:w="0" w:type="auto"/>
            <w:shd w:val="clear" w:color="auto" w:fill="CCEEFF"/>
            <w:vAlign w:val="bottom"/>
            <w:hideMark/>
          </w:tcPr>
          <w:p w14:paraId="00D41EB5" w14:textId="77777777" w:rsidR="00236301" w:rsidRDefault="00265296">
            <w:pPr>
              <w:pStyle w:val="NormalWeb"/>
              <w:jc w:val="right"/>
            </w:pPr>
            <w:r>
              <w:rPr>
                <w:sz w:val="20"/>
                <w:szCs w:val="20"/>
              </w:rPr>
              <w:t>2,100</w:t>
            </w:r>
          </w:p>
        </w:tc>
      </w:tr>
      <w:tr w:rsidR="00236301" w14:paraId="6F86D541" w14:textId="77777777">
        <w:trPr>
          <w:divId w:val="1733656443"/>
          <w:tblCellSpacing w:w="0" w:type="dxa"/>
        </w:trPr>
        <w:tc>
          <w:tcPr>
            <w:tcW w:w="0" w:type="auto"/>
            <w:shd w:val="clear" w:color="auto" w:fill="FFFFFF"/>
            <w:vAlign w:val="bottom"/>
            <w:hideMark/>
          </w:tcPr>
          <w:p w14:paraId="02B69373" w14:textId="77777777" w:rsidR="00236301" w:rsidRDefault="00265296">
            <w:pPr>
              <w:rPr>
                <w:rFonts w:eastAsia="Times New Roman"/>
              </w:rPr>
            </w:pPr>
            <w:r>
              <w:rPr>
                <w:rFonts w:eastAsia="Times New Roman"/>
              </w:rPr>
              <w:t> </w:t>
            </w:r>
          </w:p>
        </w:tc>
        <w:tc>
          <w:tcPr>
            <w:tcW w:w="0" w:type="auto"/>
            <w:shd w:val="clear" w:color="auto" w:fill="FFFFFF"/>
            <w:vAlign w:val="bottom"/>
            <w:hideMark/>
          </w:tcPr>
          <w:p w14:paraId="314356B4" w14:textId="77777777" w:rsidR="00236301" w:rsidRDefault="00265296">
            <w:pPr>
              <w:pStyle w:val="NormalWeb"/>
              <w:jc w:val="right"/>
            </w:pPr>
            <w:r>
              <w:rPr>
                <w:sz w:val="20"/>
                <w:szCs w:val="20"/>
              </w:rPr>
              <w:t>-------------</w:t>
            </w:r>
          </w:p>
        </w:tc>
        <w:tc>
          <w:tcPr>
            <w:tcW w:w="0" w:type="auto"/>
            <w:shd w:val="clear" w:color="auto" w:fill="FFFFFF"/>
            <w:vAlign w:val="bottom"/>
            <w:hideMark/>
          </w:tcPr>
          <w:p w14:paraId="7F620C82" w14:textId="77777777" w:rsidR="00236301" w:rsidRDefault="00265296">
            <w:pPr>
              <w:pStyle w:val="NormalWeb"/>
              <w:jc w:val="right"/>
            </w:pPr>
            <w:r>
              <w:rPr>
                <w:sz w:val="20"/>
                <w:szCs w:val="20"/>
              </w:rPr>
              <w:t>-------------</w:t>
            </w:r>
          </w:p>
        </w:tc>
      </w:tr>
      <w:tr w:rsidR="00236301" w14:paraId="177E161A" w14:textId="77777777">
        <w:trPr>
          <w:divId w:val="1733656443"/>
          <w:tblCellSpacing w:w="0" w:type="dxa"/>
        </w:trPr>
        <w:tc>
          <w:tcPr>
            <w:tcW w:w="0" w:type="auto"/>
            <w:shd w:val="clear" w:color="auto" w:fill="CCEEFF"/>
            <w:vAlign w:val="bottom"/>
            <w:hideMark/>
          </w:tcPr>
          <w:p w14:paraId="22B00C89" w14:textId="1275B869" w:rsidR="00236301" w:rsidRDefault="00265296" w:rsidP="005F322E">
            <w:pPr>
              <w:pStyle w:val="NormalWeb"/>
            </w:pPr>
            <w:r>
              <w:rPr>
                <w:sz w:val="20"/>
                <w:szCs w:val="20"/>
              </w:rPr>
              <w:t xml:space="preserve">Total </w:t>
            </w:r>
            <w:r w:rsidR="005F322E">
              <w:rPr>
                <w:sz w:val="20"/>
                <w:szCs w:val="20"/>
              </w:rPr>
              <w:t>Operating</w:t>
            </w:r>
            <w:r>
              <w:rPr>
                <w:sz w:val="20"/>
                <w:szCs w:val="20"/>
              </w:rPr>
              <w:t xml:space="preserve"> Expenses</w:t>
            </w:r>
          </w:p>
        </w:tc>
        <w:tc>
          <w:tcPr>
            <w:tcW w:w="0" w:type="auto"/>
            <w:shd w:val="clear" w:color="auto" w:fill="CCEEFF"/>
            <w:vAlign w:val="bottom"/>
            <w:hideMark/>
          </w:tcPr>
          <w:p w14:paraId="56DDA93A" w14:textId="39423DBE" w:rsidR="00236301" w:rsidRDefault="004E0E30" w:rsidP="00584E76">
            <w:pPr>
              <w:pStyle w:val="NormalWeb"/>
              <w:jc w:val="right"/>
            </w:pPr>
            <w:r>
              <w:rPr>
                <w:sz w:val="20"/>
                <w:szCs w:val="20"/>
              </w:rPr>
              <w:t>20,</w:t>
            </w:r>
            <w:r w:rsidR="00584E76">
              <w:rPr>
                <w:sz w:val="20"/>
                <w:szCs w:val="20"/>
              </w:rPr>
              <w:t>615</w:t>
            </w:r>
          </w:p>
        </w:tc>
        <w:tc>
          <w:tcPr>
            <w:tcW w:w="0" w:type="auto"/>
            <w:shd w:val="clear" w:color="auto" w:fill="CCEEFF"/>
            <w:vAlign w:val="bottom"/>
            <w:hideMark/>
          </w:tcPr>
          <w:p w14:paraId="10B1FE86" w14:textId="019370D1" w:rsidR="00236301" w:rsidRDefault="00D34E28">
            <w:pPr>
              <w:pStyle w:val="NormalWeb"/>
              <w:jc w:val="right"/>
            </w:pPr>
            <w:r>
              <w:rPr>
                <w:sz w:val="20"/>
                <w:szCs w:val="20"/>
              </w:rPr>
              <w:t>25,590</w:t>
            </w:r>
          </w:p>
        </w:tc>
      </w:tr>
      <w:tr w:rsidR="00236301" w14:paraId="5D892277" w14:textId="77777777">
        <w:trPr>
          <w:divId w:val="1733656443"/>
          <w:tblCellSpacing w:w="0" w:type="dxa"/>
        </w:trPr>
        <w:tc>
          <w:tcPr>
            <w:tcW w:w="0" w:type="auto"/>
            <w:shd w:val="clear" w:color="auto" w:fill="FFFFFF"/>
            <w:vAlign w:val="bottom"/>
            <w:hideMark/>
          </w:tcPr>
          <w:p w14:paraId="5B22987E" w14:textId="77777777" w:rsidR="00236301" w:rsidRDefault="00265296">
            <w:pPr>
              <w:pStyle w:val="NormalWeb"/>
            </w:pPr>
            <w:r>
              <w:rPr>
                <w:b/>
                <w:bCs/>
                <w:sz w:val="20"/>
                <w:szCs w:val="20"/>
              </w:rPr>
              <w:t> </w:t>
            </w:r>
          </w:p>
        </w:tc>
        <w:tc>
          <w:tcPr>
            <w:tcW w:w="0" w:type="auto"/>
            <w:shd w:val="clear" w:color="auto" w:fill="FFFFFF"/>
            <w:vAlign w:val="bottom"/>
            <w:hideMark/>
          </w:tcPr>
          <w:p w14:paraId="59410AB0" w14:textId="77777777" w:rsidR="00236301" w:rsidRDefault="00265296">
            <w:pPr>
              <w:rPr>
                <w:rFonts w:eastAsia="Times New Roman"/>
              </w:rPr>
            </w:pPr>
            <w:r>
              <w:rPr>
                <w:rFonts w:eastAsia="Times New Roman"/>
                <w:b/>
                <w:bCs/>
              </w:rPr>
              <w:t> </w:t>
            </w:r>
          </w:p>
        </w:tc>
        <w:tc>
          <w:tcPr>
            <w:tcW w:w="0" w:type="auto"/>
            <w:shd w:val="clear" w:color="auto" w:fill="FFFFFF"/>
            <w:vAlign w:val="bottom"/>
            <w:hideMark/>
          </w:tcPr>
          <w:p w14:paraId="2F43F7E0" w14:textId="77777777" w:rsidR="00236301" w:rsidRDefault="00265296">
            <w:pPr>
              <w:rPr>
                <w:rFonts w:eastAsia="Times New Roman"/>
              </w:rPr>
            </w:pPr>
            <w:r>
              <w:rPr>
                <w:rFonts w:eastAsia="Times New Roman"/>
                <w:b/>
                <w:bCs/>
              </w:rPr>
              <w:t> </w:t>
            </w:r>
          </w:p>
        </w:tc>
      </w:tr>
      <w:tr w:rsidR="00236301" w14:paraId="6AA57205" w14:textId="77777777">
        <w:trPr>
          <w:divId w:val="1733656443"/>
          <w:tblCellSpacing w:w="0" w:type="dxa"/>
        </w:trPr>
        <w:tc>
          <w:tcPr>
            <w:tcW w:w="0" w:type="auto"/>
            <w:shd w:val="clear" w:color="auto" w:fill="CCEEFF"/>
            <w:vAlign w:val="bottom"/>
            <w:hideMark/>
          </w:tcPr>
          <w:p w14:paraId="70FC241E" w14:textId="77777777" w:rsidR="00236301" w:rsidRDefault="00265296">
            <w:pPr>
              <w:pStyle w:val="NormalWeb"/>
            </w:pPr>
            <w:r>
              <w:rPr>
                <w:sz w:val="20"/>
                <w:szCs w:val="20"/>
              </w:rPr>
              <w:t> </w:t>
            </w:r>
          </w:p>
        </w:tc>
        <w:tc>
          <w:tcPr>
            <w:tcW w:w="0" w:type="auto"/>
            <w:shd w:val="clear" w:color="auto" w:fill="CCEEFF"/>
            <w:vAlign w:val="bottom"/>
            <w:hideMark/>
          </w:tcPr>
          <w:p w14:paraId="14027A87" w14:textId="77777777" w:rsidR="00236301" w:rsidRDefault="00265296">
            <w:pPr>
              <w:pStyle w:val="NormalWeb"/>
              <w:jc w:val="right"/>
            </w:pPr>
            <w:r>
              <w:rPr>
                <w:sz w:val="20"/>
                <w:szCs w:val="20"/>
              </w:rPr>
              <w:t>-------------</w:t>
            </w:r>
          </w:p>
        </w:tc>
        <w:tc>
          <w:tcPr>
            <w:tcW w:w="0" w:type="auto"/>
            <w:shd w:val="clear" w:color="auto" w:fill="CCEEFF"/>
            <w:vAlign w:val="bottom"/>
            <w:hideMark/>
          </w:tcPr>
          <w:p w14:paraId="3E23489D" w14:textId="77777777" w:rsidR="00236301" w:rsidRDefault="00265296">
            <w:pPr>
              <w:pStyle w:val="NormalWeb"/>
              <w:jc w:val="right"/>
            </w:pPr>
            <w:r>
              <w:rPr>
                <w:sz w:val="20"/>
                <w:szCs w:val="20"/>
              </w:rPr>
              <w:t>-------------</w:t>
            </w:r>
          </w:p>
        </w:tc>
      </w:tr>
      <w:tr w:rsidR="00236301" w14:paraId="71EA9607" w14:textId="77777777">
        <w:trPr>
          <w:divId w:val="1733656443"/>
          <w:tblCellSpacing w:w="0" w:type="dxa"/>
        </w:trPr>
        <w:tc>
          <w:tcPr>
            <w:tcW w:w="0" w:type="auto"/>
            <w:shd w:val="clear" w:color="auto" w:fill="FFFFFF"/>
            <w:vAlign w:val="bottom"/>
            <w:hideMark/>
          </w:tcPr>
          <w:p w14:paraId="6814127D" w14:textId="595F1FC7" w:rsidR="00236301" w:rsidRDefault="00265296" w:rsidP="00750F06">
            <w:pPr>
              <w:pStyle w:val="NormalWeb"/>
            </w:pPr>
            <w:r>
              <w:rPr>
                <w:sz w:val="20"/>
                <w:szCs w:val="20"/>
              </w:rPr>
              <w:lastRenderedPageBreak/>
              <w:t>Income from operations before other income (expenses)</w:t>
            </w:r>
          </w:p>
        </w:tc>
        <w:tc>
          <w:tcPr>
            <w:tcW w:w="0" w:type="auto"/>
            <w:shd w:val="clear" w:color="auto" w:fill="FFFFFF"/>
            <w:vAlign w:val="bottom"/>
            <w:hideMark/>
          </w:tcPr>
          <w:p w14:paraId="65163C18" w14:textId="4A21FA85" w:rsidR="00236301" w:rsidRDefault="00265296" w:rsidP="00BD4630">
            <w:pPr>
              <w:pStyle w:val="NormalWeb"/>
              <w:jc w:val="right"/>
            </w:pPr>
            <w:r>
              <w:rPr>
                <w:sz w:val="20"/>
                <w:szCs w:val="20"/>
              </w:rPr>
              <w:t>15,61</w:t>
            </w:r>
            <w:r w:rsidR="00BD4630">
              <w:rPr>
                <w:sz w:val="20"/>
                <w:szCs w:val="20"/>
              </w:rPr>
              <w:t>2</w:t>
            </w:r>
          </w:p>
        </w:tc>
        <w:tc>
          <w:tcPr>
            <w:tcW w:w="0" w:type="auto"/>
            <w:shd w:val="clear" w:color="auto" w:fill="FFFFFF"/>
            <w:vAlign w:val="bottom"/>
            <w:hideMark/>
          </w:tcPr>
          <w:p w14:paraId="210C5A22" w14:textId="263A4566" w:rsidR="00236301" w:rsidRDefault="00D34E28">
            <w:pPr>
              <w:pStyle w:val="NormalWeb"/>
              <w:jc w:val="right"/>
            </w:pPr>
            <w:r>
              <w:rPr>
                <w:sz w:val="20"/>
                <w:szCs w:val="20"/>
              </w:rPr>
              <w:t>12,995</w:t>
            </w:r>
          </w:p>
        </w:tc>
      </w:tr>
      <w:tr w:rsidR="00236301" w14:paraId="491B7ADA" w14:textId="77777777">
        <w:trPr>
          <w:divId w:val="1733656443"/>
          <w:tblCellSpacing w:w="0" w:type="dxa"/>
        </w:trPr>
        <w:tc>
          <w:tcPr>
            <w:tcW w:w="0" w:type="auto"/>
            <w:shd w:val="clear" w:color="auto" w:fill="CCEEFF"/>
            <w:vAlign w:val="bottom"/>
            <w:hideMark/>
          </w:tcPr>
          <w:p w14:paraId="4F8A75EA" w14:textId="77777777" w:rsidR="00236301" w:rsidRDefault="00265296">
            <w:pPr>
              <w:pStyle w:val="NormalWeb"/>
            </w:pPr>
            <w:r>
              <w:rPr>
                <w:sz w:val="20"/>
                <w:szCs w:val="20"/>
              </w:rPr>
              <w:t> </w:t>
            </w:r>
          </w:p>
        </w:tc>
        <w:tc>
          <w:tcPr>
            <w:tcW w:w="0" w:type="auto"/>
            <w:shd w:val="clear" w:color="auto" w:fill="CCEEFF"/>
            <w:vAlign w:val="bottom"/>
            <w:hideMark/>
          </w:tcPr>
          <w:p w14:paraId="0DDA7717" w14:textId="77777777" w:rsidR="00236301" w:rsidRDefault="00265296">
            <w:pPr>
              <w:rPr>
                <w:rFonts w:eastAsia="Times New Roman"/>
              </w:rPr>
            </w:pPr>
            <w:r>
              <w:rPr>
                <w:rFonts w:eastAsia="Times New Roman"/>
              </w:rPr>
              <w:t> </w:t>
            </w:r>
          </w:p>
        </w:tc>
        <w:tc>
          <w:tcPr>
            <w:tcW w:w="0" w:type="auto"/>
            <w:shd w:val="clear" w:color="auto" w:fill="CCEEFF"/>
            <w:vAlign w:val="bottom"/>
            <w:hideMark/>
          </w:tcPr>
          <w:p w14:paraId="1117621C" w14:textId="77777777" w:rsidR="00236301" w:rsidRDefault="00265296">
            <w:pPr>
              <w:rPr>
                <w:rFonts w:eastAsia="Times New Roman"/>
              </w:rPr>
            </w:pPr>
            <w:r>
              <w:rPr>
                <w:rFonts w:eastAsia="Times New Roman"/>
              </w:rPr>
              <w:t> </w:t>
            </w:r>
          </w:p>
        </w:tc>
      </w:tr>
      <w:tr w:rsidR="00236301" w14:paraId="0FAD779C" w14:textId="77777777">
        <w:trPr>
          <w:divId w:val="1733656443"/>
          <w:tblCellSpacing w:w="0" w:type="dxa"/>
        </w:trPr>
        <w:tc>
          <w:tcPr>
            <w:tcW w:w="0" w:type="auto"/>
            <w:shd w:val="clear" w:color="auto" w:fill="FFFFFF"/>
            <w:vAlign w:val="bottom"/>
            <w:hideMark/>
          </w:tcPr>
          <w:p w14:paraId="3E44DD41" w14:textId="77777777" w:rsidR="00236301" w:rsidRDefault="00265296">
            <w:pPr>
              <w:pStyle w:val="NormalWeb"/>
            </w:pPr>
            <w:r>
              <w:rPr>
                <w:sz w:val="20"/>
                <w:szCs w:val="20"/>
              </w:rPr>
              <w:t xml:space="preserve">  Income Taxes Benefit (Expense) </w:t>
            </w:r>
          </w:p>
        </w:tc>
        <w:tc>
          <w:tcPr>
            <w:tcW w:w="0" w:type="auto"/>
            <w:shd w:val="clear" w:color="auto" w:fill="FFFFFF"/>
            <w:vAlign w:val="bottom"/>
            <w:hideMark/>
          </w:tcPr>
          <w:p w14:paraId="72E8DB34" w14:textId="1C76947B" w:rsidR="00236301" w:rsidRDefault="000C15DF" w:rsidP="00687A30">
            <w:pPr>
              <w:pStyle w:val="NormalWeb"/>
              <w:jc w:val="right"/>
            </w:pPr>
            <w:r>
              <w:rPr>
                <w:sz w:val="20"/>
                <w:szCs w:val="20"/>
              </w:rPr>
              <w:t>(</w:t>
            </w:r>
            <w:r w:rsidR="00C56499">
              <w:rPr>
                <w:sz w:val="20"/>
                <w:szCs w:val="20"/>
              </w:rPr>
              <w:t>4,591</w:t>
            </w:r>
            <w:r>
              <w:rPr>
                <w:sz w:val="20"/>
                <w:szCs w:val="20"/>
              </w:rPr>
              <w:t>)</w:t>
            </w:r>
          </w:p>
        </w:tc>
        <w:tc>
          <w:tcPr>
            <w:tcW w:w="0" w:type="auto"/>
            <w:shd w:val="clear" w:color="auto" w:fill="FFFFFF"/>
            <w:vAlign w:val="bottom"/>
            <w:hideMark/>
          </w:tcPr>
          <w:p w14:paraId="6A2E5CDD" w14:textId="22ECF368" w:rsidR="00236301" w:rsidRDefault="00D34E28" w:rsidP="00D34E28">
            <w:pPr>
              <w:pStyle w:val="NormalWeb"/>
              <w:jc w:val="right"/>
            </w:pPr>
            <w:r>
              <w:rPr>
                <w:sz w:val="20"/>
                <w:szCs w:val="20"/>
              </w:rPr>
              <w:t>5,169</w:t>
            </w:r>
          </w:p>
        </w:tc>
      </w:tr>
      <w:tr w:rsidR="00236301" w14:paraId="7F86A8C2" w14:textId="77777777">
        <w:trPr>
          <w:divId w:val="1733656443"/>
          <w:tblCellSpacing w:w="0" w:type="dxa"/>
        </w:trPr>
        <w:tc>
          <w:tcPr>
            <w:tcW w:w="0" w:type="auto"/>
            <w:shd w:val="clear" w:color="auto" w:fill="CCEEFF"/>
            <w:vAlign w:val="bottom"/>
            <w:hideMark/>
          </w:tcPr>
          <w:p w14:paraId="0CD24FAD" w14:textId="77777777" w:rsidR="00236301" w:rsidRDefault="00265296">
            <w:pPr>
              <w:pStyle w:val="NormalWeb"/>
            </w:pPr>
            <w:r>
              <w:rPr>
                <w:sz w:val="20"/>
                <w:szCs w:val="20"/>
              </w:rPr>
              <w:t> </w:t>
            </w:r>
          </w:p>
        </w:tc>
        <w:tc>
          <w:tcPr>
            <w:tcW w:w="0" w:type="auto"/>
            <w:shd w:val="clear" w:color="auto" w:fill="CCEEFF"/>
            <w:vAlign w:val="bottom"/>
            <w:hideMark/>
          </w:tcPr>
          <w:p w14:paraId="7B475591" w14:textId="77777777" w:rsidR="00236301" w:rsidRDefault="00265296">
            <w:pPr>
              <w:pStyle w:val="NormalWeb"/>
              <w:jc w:val="right"/>
            </w:pPr>
            <w:r>
              <w:rPr>
                <w:sz w:val="20"/>
                <w:szCs w:val="20"/>
              </w:rPr>
              <w:t>-------------</w:t>
            </w:r>
          </w:p>
        </w:tc>
        <w:tc>
          <w:tcPr>
            <w:tcW w:w="0" w:type="auto"/>
            <w:shd w:val="clear" w:color="auto" w:fill="CCEEFF"/>
            <w:vAlign w:val="bottom"/>
            <w:hideMark/>
          </w:tcPr>
          <w:p w14:paraId="7AAAA4F1" w14:textId="77777777" w:rsidR="00236301" w:rsidRDefault="00265296">
            <w:pPr>
              <w:pStyle w:val="NormalWeb"/>
              <w:jc w:val="right"/>
            </w:pPr>
            <w:r>
              <w:rPr>
                <w:sz w:val="20"/>
                <w:szCs w:val="20"/>
              </w:rPr>
              <w:t>-------------</w:t>
            </w:r>
          </w:p>
        </w:tc>
      </w:tr>
      <w:tr w:rsidR="00236301" w14:paraId="75A0B9F2" w14:textId="77777777">
        <w:trPr>
          <w:divId w:val="1733656443"/>
          <w:tblCellSpacing w:w="0" w:type="dxa"/>
        </w:trPr>
        <w:tc>
          <w:tcPr>
            <w:tcW w:w="0" w:type="auto"/>
            <w:shd w:val="clear" w:color="auto" w:fill="FFFFFF"/>
            <w:vAlign w:val="bottom"/>
            <w:hideMark/>
          </w:tcPr>
          <w:p w14:paraId="6C051A60" w14:textId="77777777" w:rsidR="00236301" w:rsidRDefault="00265296">
            <w:pPr>
              <w:pStyle w:val="NormalWeb"/>
            </w:pPr>
            <w:r>
              <w:rPr>
                <w:sz w:val="20"/>
                <w:szCs w:val="20"/>
              </w:rPr>
              <w:t>Other income (expenses)</w:t>
            </w:r>
          </w:p>
        </w:tc>
        <w:tc>
          <w:tcPr>
            <w:tcW w:w="0" w:type="auto"/>
            <w:shd w:val="clear" w:color="auto" w:fill="FFFFFF"/>
            <w:vAlign w:val="bottom"/>
            <w:hideMark/>
          </w:tcPr>
          <w:p w14:paraId="1AD1D77A" w14:textId="77777777" w:rsidR="00236301" w:rsidRDefault="00265296">
            <w:pPr>
              <w:rPr>
                <w:rFonts w:eastAsia="Times New Roman"/>
              </w:rPr>
            </w:pPr>
            <w:r>
              <w:rPr>
                <w:rFonts w:eastAsia="Times New Roman"/>
              </w:rPr>
              <w:t> </w:t>
            </w:r>
          </w:p>
        </w:tc>
        <w:tc>
          <w:tcPr>
            <w:tcW w:w="0" w:type="auto"/>
            <w:shd w:val="clear" w:color="auto" w:fill="FFFFFF"/>
            <w:vAlign w:val="bottom"/>
            <w:hideMark/>
          </w:tcPr>
          <w:p w14:paraId="7F442DDF" w14:textId="77777777" w:rsidR="00236301" w:rsidRDefault="00265296">
            <w:pPr>
              <w:rPr>
                <w:rFonts w:eastAsia="Times New Roman"/>
              </w:rPr>
            </w:pPr>
            <w:r>
              <w:rPr>
                <w:rFonts w:eastAsia="Times New Roman"/>
              </w:rPr>
              <w:t> </w:t>
            </w:r>
          </w:p>
        </w:tc>
      </w:tr>
      <w:tr w:rsidR="00236301" w14:paraId="0AB26959" w14:textId="77777777" w:rsidTr="007E57A4">
        <w:trPr>
          <w:divId w:val="1733656443"/>
          <w:tblCellSpacing w:w="0" w:type="dxa"/>
        </w:trPr>
        <w:tc>
          <w:tcPr>
            <w:tcW w:w="0" w:type="auto"/>
            <w:shd w:val="clear" w:color="auto" w:fill="CCEEFF"/>
            <w:vAlign w:val="bottom"/>
          </w:tcPr>
          <w:p w14:paraId="320A7585" w14:textId="7742AB44" w:rsidR="00236301" w:rsidRDefault="00236301">
            <w:pPr>
              <w:pStyle w:val="NormalWeb"/>
            </w:pPr>
          </w:p>
        </w:tc>
        <w:tc>
          <w:tcPr>
            <w:tcW w:w="0" w:type="auto"/>
            <w:shd w:val="clear" w:color="auto" w:fill="CCEEFF"/>
            <w:vAlign w:val="bottom"/>
          </w:tcPr>
          <w:p w14:paraId="564B4BDA" w14:textId="53B14707" w:rsidR="00236301" w:rsidRDefault="00236301">
            <w:pPr>
              <w:pStyle w:val="NormalWeb"/>
              <w:jc w:val="right"/>
            </w:pPr>
          </w:p>
        </w:tc>
        <w:tc>
          <w:tcPr>
            <w:tcW w:w="0" w:type="auto"/>
            <w:shd w:val="clear" w:color="auto" w:fill="CCEEFF"/>
            <w:vAlign w:val="bottom"/>
          </w:tcPr>
          <w:p w14:paraId="21A9D08D" w14:textId="52FEA864" w:rsidR="00236301" w:rsidRDefault="00236301">
            <w:pPr>
              <w:pStyle w:val="NormalWeb"/>
              <w:jc w:val="right"/>
            </w:pPr>
          </w:p>
        </w:tc>
      </w:tr>
      <w:tr w:rsidR="00236301" w14:paraId="75539294" w14:textId="77777777">
        <w:trPr>
          <w:divId w:val="1733656443"/>
          <w:tblCellSpacing w:w="0" w:type="dxa"/>
        </w:trPr>
        <w:tc>
          <w:tcPr>
            <w:tcW w:w="0" w:type="auto"/>
            <w:shd w:val="clear" w:color="auto" w:fill="FFFFFF"/>
            <w:vAlign w:val="bottom"/>
            <w:hideMark/>
          </w:tcPr>
          <w:p w14:paraId="798030AE" w14:textId="77777777" w:rsidR="00236301" w:rsidRDefault="00265296">
            <w:pPr>
              <w:pStyle w:val="NormalWeb"/>
            </w:pPr>
            <w:r>
              <w:rPr>
                <w:sz w:val="20"/>
                <w:szCs w:val="20"/>
              </w:rPr>
              <w:t> </w:t>
            </w:r>
          </w:p>
        </w:tc>
        <w:tc>
          <w:tcPr>
            <w:tcW w:w="0" w:type="auto"/>
            <w:shd w:val="clear" w:color="auto" w:fill="FFFFFF"/>
            <w:vAlign w:val="bottom"/>
            <w:hideMark/>
          </w:tcPr>
          <w:p w14:paraId="45D869A3" w14:textId="77777777" w:rsidR="00236301" w:rsidRDefault="00265296">
            <w:pPr>
              <w:pStyle w:val="NormalWeb"/>
              <w:jc w:val="right"/>
            </w:pPr>
            <w:r>
              <w:rPr>
                <w:sz w:val="20"/>
                <w:szCs w:val="20"/>
              </w:rPr>
              <w:t>-------------</w:t>
            </w:r>
          </w:p>
        </w:tc>
        <w:tc>
          <w:tcPr>
            <w:tcW w:w="0" w:type="auto"/>
            <w:shd w:val="clear" w:color="auto" w:fill="FFFFFF"/>
            <w:vAlign w:val="bottom"/>
            <w:hideMark/>
          </w:tcPr>
          <w:p w14:paraId="1A5977BF" w14:textId="77777777" w:rsidR="00236301" w:rsidRDefault="00265296">
            <w:pPr>
              <w:pStyle w:val="NormalWeb"/>
              <w:jc w:val="right"/>
            </w:pPr>
            <w:r>
              <w:rPr>
                <w:sz w:val="20"/>
                <w:szCs w:val="20"/>
              </w:rPr>
              <w:t>-------------</w:t>
            </w:r>
          </w:p>
        </w:tc>
      </w:tr>
      <w:tr w:rsidR="00236301" w14:paraId="799A7542" w14:textId="77777777" w:rsidTr="007E57A4">
        <w:trPr>
          <w:divId w:val="1733656443"/>
          <w:tblCellSpacing w:w="0" w:type="dxa"/>
        </w:trPr>
        <w:tc>
          <w:tcPr>
            <w:tcW w:w="0" w:type="auto"/>
            <w:shd w:val="clear" w:color="auto" w:fill="CCEEFF"/>
            <w:vAlign w:val="bottom"/>
          </w:tcPr>
          <w:p w14:paraId="222B40D0" w14:textId="0E8EDDCC" w:rsidR="00236301" w:rsidRDefault="00236301">
            <w:pPr>
              <w:pStyle w:val="NormalWeb"/>
            </w:pPr>
          </w:p>
        </w:tc>
        <w:tc>
          <w:tcPr>
            <w:tcW w:w="0" w:type="auto"/>
            <w:shd w:val="clear" w:color="auto" w:fill="CCEEFF"/>
            <w:vAlign w:val="bottom"/>
          </w:tcPr>
          <w:p w14:paraId="70622794" w14:textId="19DF89F1" w:rsidR="00236301" w:rsidRDefault="00236301">
            <w:pPr>
              <w:pStyle w:val="NormalWeb"/>
              <w:jc w:val="right"/>
            </w:pPr>
          </w:p>
        </w:tc>
        <w:tc>
          <w:tcPr>
            <w:tcW w:w="0" w:type="auto"/>
            <w:shd w:val="clear" w:color="auto" w:fill="CCEEFF"/>
            <w:vAlign w:val="bottom"/>
          </w:tcPr>
          <w:p w14:paraId="00954591" w14:textId="2FBBAA2F" w:rsidR="00236301" w:rsidRDefault="00236301">
            <w:pPr>
              <w:pStyle w:val="NormalWeb"/>
              <w:jc w:val="right"/>
            </w:pPr>
          </w:p>
        </w:tc>
      </w:tr>
      <w:tr w:rsidR="00236301" w14:paraId="1C6B74FF" w14:textId="77777777">
        <w:trPr>
          <w:divId w:val="1733656443"/>
          <w:tblCellSpacing w:w="0" w:type="dxa"/>
        </w:trPr>
        <w:tc>
          <w:tcPr>
            <w:tcW w:w="0" w:type="auto"/>
            <w:shd w:val="clear" w:color="auto" w:fill="FFFFFF"/>
            <w:vAlign w:val="bottom"/>
            <w:hideMark/>
          </w:tcPr>
          <w:p w14:paraId="35915DEA" w14:textId="77777777" w:rsidR="00236301" w:rsidRDefault="00265296">
            <w:pPr>
              <w:pStyle w:val="NormalWeb"/>
            </w:pPr>
            <w:r>
              <w:rPr>
                <w:sz w:val="20"/>
                <w:szCs w:val="20"/>
              </w:rPr>
              <w:t> </w:t>
            </w:r>
          </w:p>
        </w:tc>
        <w:tc>
          <w:tcPr>
            <w:tcW w:w="0" w:type="auto"/>
            <w:shd w:val="clear" w:color="auto" w:fill="FFFFFF"/>
            <w:vAlign w:val="bottom"/>
            <w:hideMark/>
          </w:tcPr>
          <w:p w14:paraId="24CC9F78" w14:textId="77777777" w:rsidR="00236301" w:rsidRDefault="00265296">
            <w:pPr>
              <w:pStyle w:val="NormalWeb"/>
              <w:jc w:val="right"/>
            </w:pPr>
            <w:r>
              <w:rPr>
                <w:sz w:val="20"/>
                <w:szCs w:val="20"/>
              </w:rPr>
              <w:t>-------------</w:t>
            </w:r>
          </w:p>
        </w:tc>
        <w:tc>
          <w:tcPr>
            <w:tcW w:w="0" w:type="auto"/>
            <w:shd w:val="clear" w:color="auto" w:fill="FFFFFF"/>
            <w:vAlign w:val="bottom"/>
            <w:hideMark/>
          </w:tcPr>
          <w:p w14:paraId="590E80AE" w14:textId="77777777" w:rsidR="00236301" w:rsidRDefault="00265296">
            <w:pPr>
              <w:pStyle w:val="NormalWeb"/>
              <w:jc w:val="right"/>
            </w:pPr>
            <w:r>
              <w:rPr>
                <w:sz w:val="20"/>
                <w:szCs w:val="20"/>
              </w:rPr>
              <w:t>-------------</w:t>
            </w:r>
          </w:p>
        </w:tc>
      </w:tr>
      <w:tr w:rsidR="00236301" w14:paraId="2BA1BE6D" w14:textId="77777777">
        <w:trPr>
          <w:divId w:val="1733656443"/>
          <w:tblCellSpacing w:w="0" w:type="dxa"/>
        </w:trPr>
        <w:tc>
          <w:tcPr>
            <w:tcW w:w="0" w:type="auto"/>
            <w:shd w:val="clear" w:color="auto" w:fill="CCEEFF"/>
            <w:vAlign w:val="bottom"/>
            <w:hideMark/>
          </w:tcPr>
          <w:p w14:paraId="61740FAF" w14:textId="315306A9" w:rsidR="00236301" w:rsidRDefault="00265296" w:rsidP="00750F06">
            <w:pPr>
              <w:pStyle w:val="NormalWeb"/>
            </w:pPr>
            <w:r>
              <w:rPr>
                <w:sz w:val="20"/>
                <w:szCs w:val="20"/>
              </w:rPr>
              <w:t xml:space="preserve">NET INCOME </w:t>
            </w:r>
          </w:p>
        </w:tc>
        <w:tc>
          <w:tcPr>
            <w:tcW w:w="0" w:type="auto"/>
            <w:shd w:val="clear" w:color="auto" w:fill="CCEEFF"/>
            <w:vAlign w:val="bottom"/>
            <w:hideMark/>
          </w:tcPr>
          <w:p w14:paraId="3C8A9D7E" w14:textId="257D3019" w:rsidR="00236301" w:rsidRDefault="00265296" w:rsidP="00BD4630">
            <w:pPr>
              <w:pStyle w:val="NormalWeb"/>
              <w:jc w:val="right"/>
            </w:pPr>
            <w:r>
              <w:rPr>
                <w:sz w:val="20"/>
                <w:szCs w:val="20"/>
              </w:rPr>
              <w:t xml:space="preserve">$ </w:t>
            </w:r>
            <w:r w:rsidR="00BD4630">
              <w:rPr>
                <w:sz w:val="20"/>
                <w:szCs w:val="20"/>
              </w:rPr>
              <w:t>11,021</w:t>
            </w:r>
          </w:p>
        </w:tc>
        <w:tc>
          <w:tcPr>
            <w:tcW w:w="0" w:type="auto"/>
            <w:shd w:val="clear" w:color="auto" w:fill="CCEEFF"/>
            <w:vAlign w:val="bottom"/>
            <w:hideMark/>
          </w:tcPr>
          <w:p w14:paraId="2CC8BA59" w14:textId="4016C7F5" w:rsidR="00236301" w:rsidRDefault="00D34E28" w:rsidP="00D34E28">
            <w:pPr>
              <w:pStyle w:val="NormalWeb"/>
              <w:jc w:val="right"/>
            </w:pPr>
            <w:r>
              <w:rPr>
                <w:sz w:val="20"/>
                <w:szCs w:val="20"/>
              </w:rPr>
              <w:t>$18,164</w:t>
            </w:r>
          </w:p>
        </w:tc>
      </w:tr>
      <w:tr w:rsidR="00236301" w14:paraId="049C580B" w14:textId="77777777">
        <w:trPr>
          <w:divId w:val="1733656443"/>
          <w:tblCellSpacing w:w="0" w:type="dxa"/>
        </w:trPr>
        <w:tc>
          <w:tcPr>
            <w:tcW w:w="0" w:type="auto"/>
            <w:shd w:val="clear" w:color="auto" w:fill="FFFFFF"/>
            <w:vAlign w:val="bottom"/>
            <w:hideMark/>
          </w:tcPr>
          <w:p w14:paraId="77132A1F" w14:textId="77777777" w:rsidR="00236301" w:rsidRDefault="00265296">
            <w:pPr>
              <w:pStyle w:val="NormalWeb"/>
            </w:pPr>
            <w:r>
              <w:rPr>
                <w:sz w:val="20"/>
                <w:szCs w:val="20"/>
              </w:rPr>
              <w:t> </w:t>
            </w:r>
          </w:p>
        </w:tc>
        <w:tc>
          <w:tcPr>
            <w:tcW w:w="0" w:type="auto"/>
            <w:shd w:val="clear" w:color="auto" w:fill="FFFFFF"/>
            <w:vAlign w:val="bottom"/>
            <w:hideMark/>
          </w:tcPr>
          <w:p w14:paraId="3543CEE3" w14:textId="77777777" w:rsidR="00236301" w:rsidRDefault="00265296">
            <w:pPr>
              <w:rPr>
                <w:rFonts w:eastAsia="Times New Roman"/>
              </w:rPr>
            </w:pPr>
            <w:r>
              <w:rPr>
                <w:rFonts w:eastAsia="Times New Roman"/>
              </w:rPr>
              <w:t> </w:t>
            </w:r>
          </w:p>
        </w:tc>
        <w:tc>
          <w:tcPr>
            <w:tcW w:w="0" w:type="auto"/>
            <w:shd w:val="clear" w:color="auto" w:fill="FFFFFF"/>
            <w:vAlign w:val="bottom"/>
            <w:hideMark/>
          </w:tcPr>
          <w:p w14:paraId="0564BC66" w14:textId="77777777" w:rsidR="00236301" w:rsidRDefault="00265296">
            <w:pPr>
              <w:rPr>
                <w:rFonts w:eastAsia="Times New Roman"/>
              </w:rPr>
            </w:pPr>
            <w:r>
              <w:rPr>
                <w:rFonts w:eastAsia="Times New Roman"/>
              </w:rPr>
              <w:t> </w:t>
            </w:r>
          </w:p>
        </w:tc>
      </w:tr>
      <w:tr w:rsidR="00236301" w14:paraId="3628631D" w14:textId="77777777">
        <w:trPr>
          <w:divId w:val="1733656443"/>
          <w:tblCellSpacing w:w="0" w:type="dxa"/>
        </w:trPr>
        <w:tc>
          <w:tcPr>
            <w:tcW w:w="0" w:type="auto"/>
            <w:shd w:val="clear" w:color="auto" w:fill="CCEEFF"/>
            <w:vAlign w:val="bottom"/>
            <w:hideMark/>
          </w:tcPr>
          <w:p w14:paraId="7CEA604E" w14:textId="77777777" w:rsidR="00236301" w:rsidRDefault="00265296">
            <w:pPr>
              <w:pStyle w:val="NormalWeb"/>
            </w:pPr>
            <w:r>
              <w:rPr>
                <w:sz w:val="20"/>
                <w:szCs w:val="20"/>
              </w:rPr>
              <w:t> </w:t>
            </w:r>
          </w:p>
        </w:tc>
        <w:tc>
          <w:tcPr>
            <w:tcW w:w="0" w:type="auto"/>
            <w:shd w:val="clear" w:color="auto" w:fill="CCEEFF"/>
            <w:vAlign w:val="bottom"/>
            <w:hideMark/>
          </w:tcPr>
          <w:p w14:paraId="467D8706" w14:textId="77777777" w:rsidR="00236301" w:rsidRDefault="00265296">
            <w:pPr>
              <w:pStyle w:val="NormalWeb"/>
              <w:jc w:val="right"/>
            </w:pPr>
            <w:r>
              <w:rPr>
                <w:sz w:val="20"/>
                <w:szCs w:val="20"/>
              </w:rPr>
              <w:t>=============</w:t>
            </w:r>
          </w:p>
        </w:tc>
        <w:tc>
          <w:tcPr>
            <w:tcW w:w="0" w:type="auto"/>
            <w:shd w:val="clear" w:color="auto" w:fill="CCEEFF"/>
            <w:vAlign w:val="bottom"/>
            <w:hideMark/>
          </w:tcPr>
          <w:p w14:paraId="58B1C03A" w14:textId="77777777" w:rsidR="00236301" w:rsidRDefault="00265296">
            <w:pPr>
              <w:pStyle w:val="NormalWeb"/>
              <w:jc w:val="right"/>
            </w:pPr>
            <w:r>
              <w:rPr>
                <w:sz w:val="20"/>
                <w:szCs w:val="20"/>
              </w:rPr>
              <w:t>=============</w:t>
            </w:r>
          </w:p>
        </w:tc>
      </w:tr>
      <w:tr w:rsidR="00236301" w14:paraId="13ECF21C" w14:textId="77777777">
        <w:trPr>
          <w:divId w:val="1733656443"/>
          <w:tblCellSpacing w:w="0" w:type="dxa"/>
        </w:trPr>
        <w:tc>
          <w:tcPr>
            <w:tcW w:w="0" w:type="auto"/>
            <w:shd w:val="clear" w:color="auto" w:fill="FFFFFF"/>
            <w:vAlign w:val="bottom"/>
            <w:hideMark/>
          </w:tcPr>
          <w:p w14:paraId="466F148B" w14:textId="77777777" w:rsidR="00236301" w:rsidRDefault="00265296">
            <w:pPr>
              <w:pStyle w:val="NormalWeb"/>
            </w:pPr>
            <w:r>
              <w:rPr>
                <w:sz w:val="20"/>
                <w:szCs w:val="20"/>
              </w:rPr>
              <w:t>   Average number of shares outstanding</w:t>
            </w:r>
          </w:p>
        </w:tc>
        <w:tc>
          <w:tcPr>
            <w:tcW w:w="0" w:type="auto"/>
            <w:shd w:val="clear" w:color="auto" w:fill="FFFFFF"/>
            <w:vAlign w:val="bottom"/>
            <w:hideMark/>
          </w:tcPr>
          <w:p w14:paraId="2E73FD80" w14:textId="77777777" w:rsidR="00236301" w:rsidRDefault="00265296">
            <w:pPr>
              <w:pStyle w:val="NormalWeb"/>
              <w:jc w:val="right"/>
            </w:pPr>
            <w:r>
              <w:rPr>
                <w:sz w:val="20"/>
                <w:szCs w:val="20"/>
              </w:rPr>
              <w:t>2,292,945</w:t>
            </w:r>
          </w:p>
        </w:tc>
        <w:tc>
          <w:tcPr>
            <w:tcW w:w="0" w:type="auto"/>
            <w:shd w:val="clear" w:color="auto" w:fill="FFFFFF"/>
            <w:vAlign w:val="bottom"/>
            <w:hideMark/>
          </w:tcPr>
          <w:p w14:paraId="32D0EBA5" w14:textId="5B777D1F" w:rsidR="00236301" w:rsidRDefault="00941DD5">
            <w:pPr>
              <w:pStyle w:val="NormalWeb"/>
              <w:jc w:val="right"/>
            </w:pPr>
            <w:r>
              <w:rPr>
                <w:sz w:val="20"/>
                <w:szCs w:val="20"/>
              </w:rPr>
              <w:t>2,292,945</w:t>
            </w:r>
          </w:p>
        </w:tc>
      </w:tr>
      <w:tr w:rsidR="00236301" w14:paraId="7BCD69A8" w14:textId="77777777">
        <w:trPr>
          <w:divId w:val="1733656443"/>
          <w:tblCellSpacing w:w="0" w:type="dxa"/>
        </w:trPr>
        <w:tc>
          <w:tcPr>
            <w:tcW w:w="0" w:type="auto"/>
            <w:shd w:val="clear" w:color="auto" w:fill="CCEEFF"/>
            <w:vAlign w:val="bottom"/>
            <w:hideMark/>
          </w:tcPr>
          <w:p w14:paraId="0410D57F" w14:textId="77777777" w:rsidR="00236301" w:rsidRDefault="00265296">
            <w:pPr>
              <w:pStyle w:val="NormalWeb"/>
            </w:pPr>
            <w:r>
              <w:rPr>
                <w:b/>
                <w:bCs/>
                <w:sz w:val="20"/>
                <w:szCs w:val="20"/>
              </w:rPr>
              <w:t> </w:t>
            </w:r>
          </w:p>
        </w:tc>
        <w:tc>
          <w:tcPr>
            <w:tcW w:w="0" w:type="auto"/>
            <w:shd w:val="clear" w:color="auto" w:fill="CCEEFF"/>
            <w:vAlign w:val="bottom"/>
            <w:hideMark/>
          </w:tcPr>
          <w:p w14:paraId="14DB1AE4" w14:textId="77777777" w:rsidR="00236301" w:rsidRDefault="00265296">
            <w:pPr>
              <w:rPr>
                <w:rFonts w:eastAsia="Times New Roman"/>
              </w:rPr>
            </w:pPr>
            <w:r>
              <w:rPr>
                <w:rFonts w:eastAsia="Times New Roman"/>
                <w:b/>
                <w:bCs/>
              </w:rPr>
              <w:t> </w:t>
            </w:r>
          </w:p>
        </w:tc>
        <w:tc>
          <w:tcPr>
            <w:tcW w:w="0" w:type="auto"/>
            <w:shd w:val="clear" w:color="auto" w:fill="CCEEFF"/>
            <w:vAlign w:val="bottom"/>
            <w:hideMark/>
          </w:tcPr>
          <w:p w14:paraId="34A367AF" w14:textId="77777777" w:rsidR="00236301" w:rsidRDefault="00265296">
            <w:pPr>
              <w:rPr>
                <w:rFonts w:eastAsia="Times New Roman"/>
              </w:rPr>
            </w:pPr>
            <w:r>
              <w:rPr>
                <w:rFonts w:eastAsia="Times New Roman"/>
                <w:b/>
                <w:bCs/>
              </w:rPr>
              <w:t> </w:t>
            </w:r>
          </w:p>
        </w:tc>
      </w:tr>
      <w:tr w:rsidR="00236301" w14:paraId="157289EB" w14:textId="77777777">
        <w:trPr>
          <w:divId w:val="1733656443"/>
          <w:tblCellSpacing w:w="0" w:type="dxa"/>
        </w:trPr>
        <w:tc>
          <w:tcPr>
            <w:tcW w:w="0" w:type="auto"/>
            <w:shd w:val="clear" w:color="auto" w:fill="FFFFFF"/>
            <w:vAlign w:val="bottom"/>
            <w:hideMark/>
          </w:tcPr>
          <w:p w14:paraId="125B3E02" w14:textId="5933546A" w:rsidR="00236301" w:rsidRDefault="00265296" w:rsidP="00750F06">
            <w:pPr>
              <w:pStyle w:val="NormalWeb"/>
            </w:pPr>
            <w:r>
              <w:rPr>
                <w:sz w:val="20"/>
                <w:szCs w:val="20"/>
              </w:rPr>
              <w:t>      Net income per share</w:t>
            </w:r>
          </w:p>
        </w:tc>
        <w:tc>
          <w:tcPr>
            <w:tcW w:w="0" w:type="auto"/>
            <w:shd w:val="clear" w:color="auto" w:fill="FFFFFF"/>
            <w:vAlign w:val="bottom"/>
            <w:hideMark/>
          </w:tcPr>
          <w:p w14:paraId="51667C76" w14:textId="60D3F70E" w:rsidR="00236301" w:rsidRDefault="00265296" w:rsidP="00A11340">
            <w:pPr>
              <w:pStyle w:val="NormalWeb"/>
              <w:jc w:val="right"/>
            </w:pPr>
            <w:r>
              <w:rPr>
                <w:sz w:val="20"/>
                <w:szCs w:val="20"/>
              </w:rPr>
              <w:t>$ 0.00</w:t>
            </w:r>
            <w:r w:rsidR="00A11340">
              <w:rPr>
                <w:sz w:val="20"/>
                <w:szCs w:val="20"/>
              </w:rPr>
              <w:t>48</w:t>
            </w:r>
          </w:p>
        </w:tc>
        <w:tc>
          <w:tcPr>
            <w:tcW w:w="0" w:type="auto"/>
            <w:shd w:val="clear" w:color="auto" w:fill="FFFFFF"/>
            <w:vAlign w:val="bottom"/>
            <w:hideMark/>
          </w:tcPr>
          <w:p w14:paraId="63C19B5F" w14:textId="75499CF1" w:rsidR="00236301" w:rsidRDefault="00265296" w:rsidP="00941DD5">
            <w:pPr>
              <w:pStyle w:val="NormalWeb"/>
              <w:jc w:val="right"/>
            </w:pPr>
            <w:r>
              <w:rPr>
                <w:sz w:val="20"/>
                <w:szCs w:val="20"/>
              </w:rPr>
              <w:t>$ 0.00</w:t>
            </w:r>
            <w:r w:rsidR="00941DD5">
              <w:rPr>
                <w:sz w:val="20"/>
                <w:szCs w:val="20"/>
              </w:rPr>
              <w:t>79</w:t>
            </w:r>
          </w:p>
        </w:tc>
      </w:tr>
      <w:tr w:rsidR="00236301" w14:paraId="145ACF3F" w14:textId="77777777">
        <w:trPr>
          <w:divId w:val="1733656443"/>
          <w:tblCellSpacing w:w="0" w:type="dxa"/>
        </w:trPr>
        <w:tc>
          <w:tcPr>
            <w:tcW w:w="0" w:type="auto"/>
            <w:shd w:val="clear" w:color="auto" w:fill="CCEEFF"/>
            <w:vAlign w:val="bottom"/>
            <w:hideMark/>
          </w:tcPr>
          <w:p w14:paraId="6621C041" w14:textId="77777777" w:rsidR="00236301" w:rsidRDefault="00265296">
            <w:pPr>
              <w:pStyle w:val="NormalWeb"/>
            </w:pPr>
            <w:r>
              <w:rPr>
                <w:b/>
                <w:bCs/>
                <w:sz w:val="20"/>
                <w:szCs w:val="20"/>
              </w:rPr>
              <w:t> </w:t>
            </w:r>
          </w:p>
        </w:tc>
        <w:tc>
          <w:tcPr>
            <w:tcW w:w="0" w:type="auto"/>
            <w:shd w:val="clear" w:color="auto" w:fill="CCEEFF"/>
            <w:vAlign w:val="bottom"/>
            <w:hideMark/>
          </w:tcPr>
          <w:p w14:paraId="37D96D2F" w14:textId="77777777" w:rsidR="00236301" w:rsidRDefault="00265296">
            <w:pPr>
              <w:pStyle w:val="NormalWeb"/>
              <w:jc w:val="right"/>
            </w:pPr>
            <w:r>
              <w:rPr>
                <w:b/>
                <w:bCs/>
                <w:sz w:val="20"/>
                <w:szCs w:val="20"/>
              </w:rPr>
              <w:t>=============</w:t>
            </w:r>
          </w:p>
        </w:tc>
        <w:tc>
          <w:tcPr>
            <w:tcW w:w="0" w:type="auto"/>
            <w:shd w:val="clear" w:color="auto" w:fill="CCEEFF"/>
            <w:vAlign w:val="bottom"/>
            <w:hideMark/>
          </w:tcPr>
          <w:p w14:paraId="2B3E694F" w14:textId="77777777" w:rsidR="00236301" w:rsidRDefault="00265296">
            <w:pPr>
              <w:pStyle w:val="NormalWeb"/>
              <w:jc w:val="right"/>
            </w:pPr>
            <w:r>
              <w:rPr>
                <w:b/>
                <w:bCs/>
                <w:sz w:val="20"/>
                <w:szCs w:val="20"/>
              </w:rPr>
              <w:t>=============</w:t>
            </w:r>
          </w:p>
        </w:tc>
      </w:tr>
      <w:tr w:rsidR="00236301" w14:paraId="03E35F3E" w14:textId="77777777">
        <w:trPr>
          <w:divId w:val="1733656443"/>
          <w:tblCellSpacing w:w="0" w:type="dxa"/>
        </w:trPr>
        <w:tc>
          <w:tcPr>
            <w:tcW w:w="0" w:type="auto"/>
            <w:shd w:val="clear" w:color="auto" w:fill="FFFFFF"/>
            <w:vAlign w:val="bottom"/>
            <w:hideMark/>
          </w:tcPr>
          <w:p w14:paraId="7ACD6BAA" w14:textId="77777777" w:rsidR="00236301" w:rsidRDefault="00265296">
            <w:pPr>
              <w:pStyle w:val="NormalWeb"/>
            </w:pPr>
            <w:r>
              <w:rPr>
                <w:sz w:val="20"/>
                <w:szCs w:val="20"/>
              </w:rPr>
              <w:t> Diluted earnings (loss) have not been presented since the effect of the assumed conversion of the convertible preferred stock would have an anti-dilutive effect.</w:t>
            </w:r>
          </w:p>
        </w:tc>
        <w:tc>
          <w:tcPr>
            <w:tcW w:w="0" w:type="auto"/>
            <w:shd w:val="clear" w:color="auto" w:fill="FFFFFF"/>
            <w:vAlign w:val="bottom"/>
            <w:hideMark/>
          </w:tcPr>
          <w:p w14:paraId="35A85969" w14:textId="77777777" w:rsidR="00236301" w:rsidRDefault="00265296">
            <w:pPr>
              <w:rPr>
                <w:rFonts w:eastAsia="Times New Roman"/>
              </w:rPr>
            </w:pPr>
            <w:r>
              <w:rPr>
                <w:rFonts w:eastAsia="Times New Roman"/>
              </w:rPr>
              <w:t> </w:t>
            </w:r>
          </w:p>
        </w:tc>
        <w:tc>
          <w:tcPr>
            <w:tcW w:w="0" w:type="auto"/>
            <w:shd w:val="clear" w:color="auto" w:fill="FFFFFF"/>
            <w:vAlign w:val="bottom"/>
            <w:hideMark/>
          </w:tcPr>
          <w:p w14:paraId="167AE657" w14:textId="77777777" w:rsidR="00236301" w:rsidRDefault="00265296">
            <w:pPr>
              <w:rPr>
                <w:rFonts w:eastAsia="Times New Roman"/>
              </w:rPr>
            </w:pPr>
            <w:r>
              <w:rPr>
                <w:rFonts w:eastAsia="Times New Roman"/>
              </w:rPr>
              <w:t> </w:t>
            </w:r>
          </w:p>
        </w:tc>
      </w:tr>
      <w:tr w:rsidR="00236301" w14:paraId="1C3C5C2E" w14:textId="77777777">
        <w:trPr>
          <w:divId w:val="1733656443"/>
          <w:tblCellSpacing w:w="0" w:type="dxa"/>
        </w:trPr>
        <w:tc>
          <w:tcPr>
            <w:tcW w:w="0" w:type="auto"/>
            <w:shd w:val="clear" w:color="auto" w:fill="CCEEFF"/>
            <w:vAlign w:val="bottom"/>
            <w:hideMark/>
          </w:tcPr>
          <w:p w14:paraId="44C97383" w14:textId="77777777" w:rsidR="00236301" w:rsidRDefault="00265296">
            <w:pPr>
              <w:rPr>
                <w:rFonts w:eastAsia="Times New Roman"/>
              </w:rPr>
            </w:pPr>
            <w:r>
              <w:rPr>
                <w:rFonts w:eastAsia="Times New Roman"/>
                <w:sz w:val="20"/>
                <w:szCs w:val="20"/>
              </w:rPr>
              <w:t> </w:t>
            </w:r>
          </w:p>
        </w:tc>
        <w:tc>
          <w:tcPr>
            <w:tcW w:w="0" w:type="auto"/>
            <w:shd w:val="clear" w:color="auto" w:fill="CCEEFF"/>
            <w:vAlign w:val="bottom"/>
            <w:hideMark/>
          </w:tcPr>
          <w:p w14:paraId="7F6145F2" w14:textId="77777777" w:rsidR="00236301" w:rsidRDefault="00265296">
            <w:pPr>
              <w:rPr>
                <w:rFonts w:eastAsia="Times New Roman"/>
              </w:rPr>
            </w:pPr>
            <w:r>
              <w:rPr>
                <w:rFonts w:eastAsia="Times New Roman"/>
                <w:sz w:val="20"/>
                <w:szCs w:val="20"/>
              </w:rPr>
              <w:t> </w:t>
            </w:r>
          </w:p>
        </w:tc>
        <w:tc>
          <w:tcPr>
            <w:tcW w:w="0" w:type="auto"/>
            <w:shd w:val="clear" w:color="auto" w:fill="CCEEFF"/>
            <w:vAlign w:val="bottom"/>
            <w:hideMark/>
          </w:tcPr>
          <w:p w14:paraId="51C5618E" w14:textId="77777777" w:rsidR="00236301" w:rsidRDefault="00265296">
            <w:pPr>
              <w:rPr>
                <w:rFonts w:eastAsia="Times New Roman"/>
              </w:rPr>
            </w:pPr>
            <w:r>
              <w:rPr>
                <w:rFonts w:eastAsia="Times New Roman"/>
                <w:sz w:val="20"/>
                <w:szCs w:val="20"/>
              </w:rPr>
              <w:t> </w:t>
            </w:r>
          </w:p>
        </w:tc>
      </w:tr>
      <w:tr w:rsidR="00236301" w14:paraId="6CE2039D" w14:textId="77777777">
        <w:trPr>
          <w:divId w:val="1733656443"/>
          <w:tblCellSpacing w:w="0" w:type="dxa"/>
        </w:trPr>
        <w:tc>
          <w:tcPr>
            <w:tcW w:w="0" w:type="auto"/>
            <w:shd w:val="clear" w:color="auto" w:fill="FFFFFF"/>
            <w:vAlign w:val="bottom"/>
            <w:hideMark/>
          </w:tcPr>
          <w:p w14:paraId="52A91126" w14:textId="213A4A3D" w:rsidR="00236301" w:rsidRDefault="00265296" w:rsidP="00491274">
            <w:pPr>
              <w:pStyle w:val="NormalWeb"/>
            </w:pPr>
            <w:r>
              <w:rPr>
                <w:sz w:val="20"/>
                <w:szCs w:val="20"/>
              </w:rPr>
              <w:t xml:space="preserve">COMPREHENSIVE INCOME </w:t>
            </w:r>
          </w:p>
        </w:tc>
        <w:tc>
          <w:tcPr>
            <w:tcW w:w="0" w:type="auto"/>
            <w:shd w:val="clear" w:color="auto" w:fill="FFFFFF"/>
            <w:vAlign w:val="bottom"/>
            <w:hideMark/>
          </w:tcPr>
          <w:p w14:paraId="3B03C0BD" w14:textId="77777777" w:rsidR="00236301" w:rsidRDefault="00265296">
            <w:pPr>
              <w:rPr>
                <w:rFonts w:eastAsia="Times New Roman"/>
              </w:rPr>
            </w:pPr>
            <w:r>
              <w:rPr>
                <w:rFonts w:eastAsia="Times New Roman"/>
                <w:sz w:val="20"/>
                <w:szCs w:val="20"/>
              </w:rPr>
              <w:t> </w:t>
            </w:r>
          </w:p>
        </w:tc>
        <w:tc>
          <w:tcPr>
            <w:tcW w:w="0" w:type="auto"/>
            <w:shd w:val="clear" w:color="auto" w:fill="FFFFFF"/>
            <w:vAlign w:val="bottom"/>
            <w:hideMark/>
          </w:tcPr>
          <w:p w14:paraId="1A05D5A6" w14:textId="77777777" w:rsidR="00236301" w:rsidRDefault="00265296">
            <w:pPr>
              <w:rPr>
                <w:rFonts w:eastAsia="Times New Roman"/>
              </w:rPr>
            </w:pPr>
            <w:r>
              <w:rPr>
                <w:rFonts w:eastAsia="Times New Roman"/>
                <w:sz w:val="20"/>
                <w:szCs w:val="20"/>
              </w:rPr>
              <w:t> </w:t>
            </w:r>
          </w:p>
        </w:tc>
      </w:tr>
      <w:tr w:rsidR="00236301" w14:paraId="4BB03131" w14:textId="77777777">
        <w:trPr>
          <w:divId w:val="1733656443"/>
          <w:tblCellSpacing w:w="0" w:type="dxa"/>
        </w:trPr>
        <w:tc>
          <w:tcPr>
            <w:tcW w:w="0" w:type="auto"/>
            <w:shd w:val="clear" w:color="auto" w:fill="CCEEFF"/>
            <w:vAlign w:val="bottom"/>
            <w:hideMark/>
          </w:tcPr>
          <w:p w14:paraId="35B194B9" w14:textId="77777777" w:rsidR="00236301" w:rsidRDefault="00265296">
            <w:pPr>
              <w:pStyle w:val="NormalWeb"/>
            </w:pPr>
            <w:r>
              <w:rPr>
                <w:sz w:val="20"/>
                <w:szCs w:val="20"/>
              </w:rPr>
              <w:t>   Net Income</w:t>
            </w:r>
          </w:p>
        </w:tc>
        <w:tc>
          <w:tcPr>
            <w:tcW w:w="0" w:type="auto"/>
            <w:shd w:val="clear" w:color="auto" w:fill="CCEEFF"/>
            <w:vAlign w:val="bottom"/>
            <w:hideMark/>
          </w:tcPr>
          <w:p w14:paraId="78A34C41" w14:textId="5C9A64E5" w:rsidR="00236301" w:rsidRDefault="00265296" w:rsidP="00D1789F">
            <w:pPr>
              <w:pStyle w:val="NormalWeb"/>
              <w:jc w:val="right"/>
            </w:pPr>
            <w:r>
              <w:rPr>
                <w:sz w:val="20"/>
                <w:szCs w:val="20"/>
              </w:rPr>
              <w:t xml:space="preserve">$ </w:t>
            </w:r>
            <w:r w:rsidR="00D1789F">
              <w:rPr>
                <w:sz w:val="20"/>
                <w:szCs w:val="20"/>
              </w:rPr>
              <w:t>11,021</w:t>
            </w:r>
          </w:p>
        </w:tc>
        <w:tc>
          <w:tcPr>
            <w:tcW w:w="0" w:type="auto"/>
            <w:shd w:val="clear" w:color="auto" w:fill="CCEEFF"/>
            <w:vAlign w:val="bottom"/>
            <w:hideMark/>
          </w:tcPr>
          <w:p w14:paraId="2BB14BA8" w14:textId="197B488E" w:rsidR="00236301" w:rsidRDefault="00265296" w:rsidP="00D34E28">
            <w:pPr>
              <w:pStyle w:val="NormalWeb"/>
              <w:jc w:val="right"/>
            </w:pPr>
            <w:r>
              <w:rPr>
                <w:sz w:val="20"/>
                <w:szCs w:val="20"/>
              </w:rPr>
              <w:t xml:space="preserve">$ </w:t>
            </w:r>
            <w:r w:rsidR="00D34E28">
              <w:rPr>
                <w:sz w:val="20"/>
                <w:szCs w:val="20"/>
              </w:rPr>
              <w:t>18,164</w:t>
            </w:r>
          </w:p>
        </w:tc>
      </w:tr>
      <w:tr w:rsidR="00236301" w14:paraId="4551E0EA" w14:textId="77777777">
        <w:trPr>
          <w:divId w:val="1733656443"/>
          <w:tblCellSpacing w:w="0" w:type="dxa"/>
        </w:trPr>
        <w:tc>
          <w:tcPr>
            <w:tcW w:w="0" w:type="auto"/>
            <w:shd w:val="clear" w:color="auto" w:fill="FFFFFF"/>
            <w:vAlign w:val="bottom"/>
            <w:hideMark/>
          </w:tcPr>
          <w:p w14:paraId="415BF161" w14:textId="77777777" w:rsidR="00236301" w:rsidRDefault="00265296">
            <w:pPr>
              <w:rPr>
                <w:rFonts w:eastAsia="Times New Roman"/>
              </w:rPr>
            </w:pPr>
            <w:r>
              <w:rPr>
                <w:rFonts w:eastAsia="Times New Roman"/>
                <w:sz w:val="20"/>
                <w:szCs w:val="20"/>
              </w:rPr>
              <w:t> </w:t>
            </w:r>
          </w:p>
        </w:tc>
        <w:tc>
          <w:tcPr>
            <w:tcW w:w="0" w:type="auto"/>
            <w:shd w:val="clear" w:color="auto" w:fill="FFFFFF"/>
            <w:vAlign w:val="bottom"/>
            <w:hideMark/>
          </w:tcPr>
          <w:p w14:paraId="7F47E223" w14:textId="77777777" w:rsidR="00236301" w:rsidRDefault="00265296">
            <w:pPr>
              <w:rPr>
                <w:rFonts w:eastAsia="Times New Roman"/>
              </w:rPr>
            </w:pPr>
            <w:r>
              <w:rPr>
                <w:rFonts w:eastAsia="Times New Roman"/>
                <w:sz w:val="20"/>
                <w:szCs w:val="20"/>
              </w:rPr>
              <w:t> </w:t>
            </w:r>
          </w:p>
        </w:tc>
        <w:tc>
          <w:tcPr>
            <w:tcW w:w="0" w:type="auto"/>
            <w:shd w:val="clear" w:color="auto" w:fill="FFFFFF"/>
            <w:vAlign w:val="bottom"/>
            <w:hideMark/>
          </w:tcPr>
          <w:p w14:paraId="03BB58FF" w14:textId="77777777" w:rsidR="00236301" w:rsidRDefault="00265296">
            <w:pPr>
              <w:rPr>
                <w:rFonts w:eastAsia="Times New Roman"/>
              </w:rPr>
            </w:pPr>
            <w:r>
              <w:rPr>
                <w:rFonts w:eastAsia="Times New Roman"/>
                <w:sz w:val="20"/>
                <w:szCs w:val="20"/>
              </w:rPr>
              <w:t> </w:t>
            </w:r>
          </w:p>
        </w:tc>
      </w:tr>
      <w:tr w:rsidR="00236301" w14:paraId="4A3CFD57" w14:textId="77777777">
        <w:trPr>
          <w:divId w:val="1733656443"/>
          <w:tblCellSpacing w:w="0" w:type="dxa"/>
        </w:trPr>
        <w:tc>
          <w:tcPr>
            <w:tcW w:w="0" w:type="auto"/>
            <w:shd w:val="clear" w:color="auto" w:fill="CCEEFF"/>
            <w:vAlign w:val="bottom"/>
            <w:hideMark/>
          </w:tcPr>
          <w:p w14:paraId="712E4646" w14:textId="77777777" w:rsidR="00236301" w:rsidRDefault="00265296">
            <w:pPr>
              <w:pStyle w:val="NormalWeb"/>
            </w:pPr>
            <w:r>
              <w:rPr>
                <w:sz w:val="20"/>
                <w:szCs w:val="20"/>
              </w:rPr>
              <w:t>Other Income(Loss)</w:t>
            </w:r>
          </w:p>
        </w:tc>
        <w:tc>
          <w:tcPr>
            <w:tcW w:w="0" w:type="auto"/>
            <w:shd w:val="clear" w:color="auto" w:fill="CCEEFF"/>
            <w:vAlign w:val="bottom"/>
            <w:hideMark/>
          </w:tcPr>
          <w:p w14:paraId="174AE065" w14:textId="77777777" w:rsidR="00236301" w:rsidRDefault="00236301"/>
        </w:tc>
        <w:tc>
          <w:tcPr>
            <w:tcW w:w="0" w:type="auto"/>
            <w:shd w:val="clear" w:color="auto" w:fill="CCEEFF"/>
            <w:vAlign w:val="bottom"/>
            <w:hideMark/>
          </w:tcPr>
          <w:p w14:paraId="2E8F4B00" w14:textId="77777777" w:rsidR="00236301" w:rsidRDefault="00236301">
            <w:pPr>
              <w:rPr>
                <w:rFonts w:eastAsia="Times New Roman"/>
                <w:sz w:val="20"/>
                <w:szCs w:val="20"/>
              </w:rPr>
            </w:pPr>
          </w:p>
        </w:tc>
      </w:tr>
      <w:tr w:rsidR="00236301" w14:paraId="7EFF56CD" w14:textId="77777777">
        <w:trPr>
          <w:divId w:val="1733656443"/>
          <w:tblCellSpacing w:w="0" w:type="dxa"/>
        </w:trPr>
        <w:tc>
          <w:tcPr>
            <w:tcW w:w="0" w:type="auto"/>
            <w:shd w:val="clear" w:color="auto" w:fill="FFFFFF"/>
            <w:vAlign w:val="bottom"/>
            <w:hideMark/>
          </w:tcPr>
          <w:p w14:paraId="20CFD13E" w14:textId="77777777" w:rsidR="00236301" w:rsidRDefault="00265296">
            <w:pPr>
              <w:pStyle w:val="NormalWeb"/>
            </w:pPr>
            <w:r>
              <w:rPr>
                <w:sz w:val="20"/>
                <w:szCs w:val="20"/>
              </w:rPr>
              <w:t>   Translation Adjustments</w:t>
            </w:r>
          </w:p>
        </w:tc>
        <w:tc>
          <w:tcPr>
            <w:tcW w:w="0" w:type="auto"/>
            <w:shd w:val="clear" w:color="auto" w:fill="FFFFFF"/>
            <w:vAlign w:val="bottom"/>
            <w:hideMark/>
          </w:tcPr>
          <w:p w14:paraId="5F9AFACF" w14:textId="644F1F58" w:rsidR="00236301" w:rsidRDefault="00265296" w:rsidP="00D1789F">
            <w:pPr>
              <w:pStyle w:val="NormalWeb"/>
              <w:jc w:val="right"/>
            </w:pPr>
            <w:r>
              <w:rPr>
                <w:sz w:val="20"/>
                <w:szCs w:val="20"/>
              </w:rPr>
              <w:t xml:space="preserve">$ </w:t>
            </w:r>
            <w:r w:rsidR="00FB2983">
              <w:rPr>
                <w:sz w:val="20"/>
                <w:szCs w:val="20"/>
              </w:rPr>
              <w:t>(7,7</w:t>
            </w:r>
            <w:r w:rsidR="00D1789F">
              <w:rPr>
                <w:sz w:val="20"/>
                <w:szCs w:val="20"/>
              </w:rPr>
              <w:t>2</w:t>
            </w:r>
            <w:r w:rsidR="00FB2983">
              <w:rPr>
                <w:sz w:val="20"/>
                <w:szCs w:val="20"/>
              </w:rPr>
              <w:t>9)</w:t>
            </w:r>
          </w:p>
        </w:tc>
        <w:tc>
          <w:tcPr>
            <w:tcW w:w="0" w:type="auto"/>
            <w:shd w:val="clear" w:color="auto" w:fill="FFFFFF"/>
            <w:vAlign w:val="bottom"/>
            <w:hideMark/>
          </w:tcPr>
          <w:p w14:paraId="5794B562" w14:textId="793C52EB" w:rsidR="00236301" w:rsidRDefault="00FB2983" w:rsidP="00A61C54">
            <w:pPr>
              <w:pStyle w:val="NormalWeb"/>
              <w:jc w:val="right"/>
            </w:pPr>
            <w:r>
              <w:rPr>
                <w:sz w:val="20"/>
                <w:szCs w:val="20"/>
              </w:rPr>
              <w:t>(</w:t>
            </w:r>
            <w:r w:rsidR="00A61C54">
              <w:rPr>
                <w:sz w:val="20"/>
                <w:szCs w:val="20"/>
              </w:rPr>
              <w:t>18,470</w:t>
            </w:r>
            <w:r>
              <w:rPr>
                <w:sz w:val="20"/>
                <w:szCs w:val="20"/>
              </w:rPr>
              <w:t>)</w:t>
            </w:r>
          </w:p>
        </w:tc>
      </w:tr>
      <w:tr w:rsidR="00236301" w14:paraId="5844C5BA" w14:textId="77777777">
        <w:trPr>
          <w:divId w:val="1733656443"/>
          <w:tblCellSpacing w:w="0" w:type="dxa"/>
        </w:trPr>
        <w:tc>
          <w:tcPr>
            <w:tcW w:w="0" w:type="auto"/>
            <w:shd w:val="clear" w:color="auto" w:fill="CCEEFF"/>
            <w:vAlign w:val="bottom"/>
            <w:hideMark/>
          </w:tcPr>
          <w:p w14:paraId="24B1ED63" w14:textId="77777777" w:rsidR="00236301" w:rsidRDefault="00265296">
            <w:pPr>
              <w:pStyle w:val="NormalWeb"/>
            </w:pPr>
            <w:r>
              <w:rPr>
                <w:sz w:val="20"/>
                <w:szCs w:val="20"/>
              </w:rPr>
              <w:t>Total Comprehensive Income (Loss)</w:t>
            </w:r>
          </w:p>
        </w:tc>
        <w:tc>
          <w:tcPr>
            <w:tcW w:w="0" w:type="auto"/>
            <w:shd w:val="clear" w:color="auto" w:fill="CCEEFF"/>
            <w:vAlign w:val="bottom"/>
            <w:hideMark/>
          </w:tcPr>
          <w:p w14:paraId="58ECACA1" w14:textId="2265FFEB" w:rsidR="00236301" w:rsidRDefault="00265296" w:rsidP="00D1789F">
            <w:pPr>
              <w:pStyle w:val="NormalWeb"/>
              <w:jc w:val="right"/>
            </w:pPr>
            <w:r>
              <w:rPr>
                <w:sz w:val="20"/>
                <w:szCs w:val="20"/>
              </w:rPr>
              <w:t xml:space="preserve">$ </w:t>
            </w:r>
            <w:r w:rsidR="00D1789F">
              <w:rPr>
                <w:sz w:val="20"/>
                <w:szCs w:val="20"/>
              </w:rPr>
              <w:t>3,292</w:t>
            </w:r>
          </w:p>
        </w:tc>
        <w:tc>
          <w:tcPr>
            <w:tcW w:w="0" w:type="auto"/>
            <w:shd w:val="clear" w:color="auto" w:fill="CCEEFF"/>
            <w:vAlign w:val="bottom"/>
            <w:hideMark/>
          </w:tcPr>
          <w:p w14:paraId="0AA78923" w14:textId="1A45F716" w:rsidR="00236301" w:rsidRDefault="00265296" w:rsidP="00A61C54">
            <w:pPr>
              <w:pStyle w:val="NormalWeb"/>
              <w:jc w:val="right"/>
            </w:pPr>
            <w:r>
              <w:rPr>
                <w:sz w:val="20"/>
                <w:szCs w:val="20"/>
              </w:rPr>
              <w:t>$ (</w:t>
            </w:r>
            <w:r w:rsidR="00A61C54">
              <w:rPr>
                <w:sz w:val="20"/>
                <w:szCs w:val="20"/>
              </w:rPr>
              <w:t>306</w:t>
            </w:r>
            <w:r>
              <w:rPr>
                <w:sz w:val="20"/>
                <w:szCs w:val="20"/>
              </w:rPr>
              <w:t>)</w:t>
            </w:r>
          </w:p>
        </w:tc>
      </w:tr>
      <w:tr w:rsidR="00236301" w14:paraId="12F2CE23" w14:textId="77777777">
        <w:trPr>
          <w:divId w:val="1733656443"/>
          <w:tblCellSpacing w:w="0" w:type="dxa"/>
        </w:trPr>
        <w:tc>
          <w:tcPr>
            <w:tcW w:w="0" w:type="auto"/>
            <w:gridSpan w:val="3"/>
            <w:shd w:val="clear" w:color="auto" w:fill="FFFFFF"/>
            <w:vAlign w:val="bottom"/>
            <w:hideMark/>
          </w:tcPr>
          <w:p w14:paraId="61624B62" w14:textId="77777777" w:rsidR="00236301" w:rsidRDefault="00265296">
            <w:pPr>
              <w:pStyle w:val="NormalWeb"/>
              <w:jc w:val="center"/>
            </w:pPr>
            <w:r>
              <w:rPr>
                <w:b/>
                <w:bCs/>
                <w:sz w:val="20"/>
                <w:szCs w:val="20"/>
              </w:rPr>
              <w:t> See accompanying notes to financial statements.</w:t>
            </w:r>
          </w:p>
        </w:tc>
      </w:tr>
    </w:tbl>
    <w:p w14:paraId="07DADEE6" w14:textId="77777777" w:rsidR="00236301" w:rsidRDefault="00236301">
      <w:pPr>
        <w:divId w:val="1733656443"/>
        <w:rPr>
          <w:rFonts w:eastAsia="Times New Roman"/>
        </w:rPr>
      </w:pPr>
    </w:p>
    <w:p w14:paraId="76752EFA" w14:textId="77777777" w:rsidR="007C1515" w:rsidRDefault="00265296">
      <w:pPr>
        <w:pStyle w:val="NormalWeb"/>
        <w:jc w:val="center"/>
        <w:divId w:val="1733656443"/>
        <w:rPr>
          <w:sz w:val="20"/>
          <w:szCs w:val="20"/>
        </w:rPr>
        <w:sectPr w:rsidR="007C1515" w:rsidSect="001C3936">
          <w:pgSz w:w="15840" w:h="12240" w:orient="landscape"/>
          <w:pgMar w:top="1440" w:right="1440" w:bottom="1440" w:left="1440" w:header="720" w:footer="720" w:gutter="0"/>
          <w:cols w:space="720"/>
          <w:docGrid w:linePitch="360"/>
        </w:sectPr>
      </w:pPr>
      <w:r>
        <w:rPr>
          <w:b/>
          <w:bCs/>
          <w:sz w:val="20"/>
          <w:szCs w:val="20"/>
        </w:rPr>
        <w:t>F-5</w:t>
      </w:r>
      <w:r>
        <w:rPr>
          <w:sz w:val="20"/>
          <w:szCs w:val="20"/>
        </w:rPr>
        <w:t xml:space="preserve"> </w:t>
      </w:r>
    </w:p>
    <w:p w14:paraId="72A5CA49" w14:textId="0A47903D" w:rsidR="00236301" w:rsidRDefault="00236301">
      <w:pPr>
        <w:pStyle w:val="NormalWeb"/>
        <w:jc w:val="center"/>
        <w:divId w:val="1733656443"/>
        <w:rPr>
          <w:sz w:val="20"/>
          <w:szCs w:val="20"/>
        </w:rPr>
      </w:pPr>
    </w:p>
    <w:p w14:paraId="5D4E3D37" w14:textId="77777777" w:rsidR="000D18BD" w:rsidRDefault="000D18BD">
      <w:pPr>
        <w:pStyle w:val="NormalWeb"/>
        <w:jc w:val="center"/>
        <w:divId w:val="1733656443"/>
        <w:rPr>
          <w:sz w:val="20"/>
          <w:szCs w:val="20"/>
        </w:rPr>
      </w:pPr>
    </w:p>
    <w:p w14:paraId="1D8F59FF" w14:textId="77777777" w:rsidR="000D18BD" w:rsidRDefault="000D18BD">
      <w:pPr>
        <w:pStyle w:val="NormalWeb"/>
        <w:jc w:val="center"/>
        <w:divId w:val="1733656443"/>
        <w:rPr>
          <w:sz w:val="20"/>
          <w:szCs w:val="20"/>
        </w:rPr>
      </w:pPr>
    </w:p>
    <w:p w14:paraId="1F7C5E82" w14:textId="77777777" w:rsidR="000D18BD" w:rsidRDefault="000D18BD">
      <w:pPr>
        <w:pStyle w:val="NormalWeb"/>
        <w:jc w:val="center"/>
        <w:divId w:val="1733656443"/>
        <w:rPr>
          <w:sz w:val="20"/>
          <w:szCs w:val="20"/>
        </w:rPr>
      </w:pPr>
    </w:p>
    <w:p w14:paraId="01427706" w14:textId="77777777" w:rsidR="000D18BD" w:rsidRDefault="000D18BD">
      <w:pPr>
        <w:pStyle w:val="NormalWeb"/>
        <w:jc w:val="center"/>
        <w:divId w:val="1733656443"/>
        <w:rPr>
          <w:sz w:val="20"/>
          <w:szCs w:val="20"/>
        </w:rPr>
      </w:pPr>
    </w:p>
    <w:p w14:paraId="4BB76420" w14:textId="77777777" w:rsidR="00236301" w:rsidRDefault="00084F74" w:rsidP="00755D45">
      <w:pPr>
        <w:divId w:val="1733656443"/>
        <w:rPr>
          <w:rFonts w:eastAsia="Times New Roman"/>
          <w:sz w:val="20"/>
          <w:szCs w:val="20"/>
        </w:rPr>
      </w:pPr>
      <w:r>
        <w:rPr>
          <w:rFonts w:eastAsia="Times New Roman"/>
          <w:sz w:val="20"/>
          <w:szCs w:val="20"/>
        </w:rPr>
        <w:pict w14:anchorId="688972CB">
          <v:rect id="_x0000_i1060" style="width:.05pt;height:1pt" o:hralign="center" o:hrstd="t" o:hrnoshade="t" o:hr="t" fillcolor="blue" stroked="f"/>
        </w:pict>
      </w:r>
    </w:p>
    <w:bookmarkStart w:id="24" w:name="_MON_1537857765"/>
    <w:bookmarkEnd w:id="24"/>
    <w:p w14:paraId="4B051E1D" w14:textId="386D8074" w:rsidR="00236301" w:rsidRDefault="00BA413E">
      <w:pPr>
        <w:divId w:val="1733656443"/>
        <w:rPr>
          <w:rFonts w:eastAsia="Times New Roman"/>
        </w:rPr>
      </w:pPr>
      <w:r>
        <w:rPr>
          <w:rFonts w:eastAsia="Times New Roman"/>
        </w:rPr>
        <w:object w:dxaOrig="16220" w:dyaOrig="8515" w14:anchorId="3660D62C">
          <v:shape id="_x0000_i1061" type="#_x0000_t75" style="width:651.85pt;height:425.4pt" o:ole="">
            <v:imagedata r:id="rId8" o:title=""/>
          </v:shape>
          <o:OLEObject Type="Embed" ProgID="Excel.Sheet.12" ShapeID="_x0000_i1061" DrawAspect="Content" ObjectID="_1537945654" r:id="rId9"/>
        </w:object>
      </w:r>
    </w:p>
    <w:p w14:paraId="4EA58C24" w14:textId="77777777" w:rsidR="007C1515" w:rsidRDefault="00265296">
      <w:pPr>
        <w:pStyle w:val="NormalWeb"/>
        <w:jc w:val="center"/>
        <w:divId w:val="254442079"/>
        <w:rPr>
          <w:sz w:val="20"/>
          <w:szCs w:val="20"/>
        </w:rPr>
        <w:sectPr w:rsidR="007C1515" w:rsidSect="007C1515">
          <w:type w:val="continuous"/>
          <w:pgSz w:w="15840" w:h="12240" w:orient="landscape"/>
          <w:pgMar w:top="1440" w:right="1440" w:bottom="1440" w:left="1440" w:header="720" w:footer="720" w:gutter="0"/>
          <w:cols w:space="720"/>
          <w:docGrid w:linePitch="360"/>
        </w:sectPr>
      </w:pPr>
      <w:r>
        <w:rPr>
          <w:b/>
          <w:bCs/>
          <w:sz w:val="20"/>
          <w:szCs w:val="20"/>
        </w:rPr>
        <w:t>F-6</w:t>
      </w:r>
      <w:r>
        <w:rPr>
          <w:sz w:val="20"/>
          <w:szCs w:val="20"/>
        </w:rPr>
        <w:t xml:space="preserve"> </w:t>
      </w:r>
    </w:p>
    <w:p w14:paraId="1E610D96" w14:textId="08981D37" w:rsidR="00236301" w:rsidRDefault="00236301">
      <w:pPr>
        <w:pStyle w:val="NormalWeb"/>
        <w:jc w:val="center"/>
        <w:divId w:val="254442079"/>
      </w:pPr>
    </w:p>
    <w:p w14:paraId="0C52FF2C" w14:textId="77777777" w:rsidR="00236301" w:rsidRDefault="00084F74">
      <w:pPr>
        <w:jc w:val="center"/>
        <w:divId w:val="1244484769"/>
        <w:rPr>
          <w:rFonts w:eastAsia="Times New Roman"/>
          <w:sz w:val="20"/>
          <w:szCs w:val="20"/>
        </w:rPr>
      </w:pPr>
      <w:r>
        <w:rPr>
          <w:rFonts w:eastAsia="Times New Roman"/>
          <w:sz w:val="20"/>
          <w:szCs w:val="20"/>
        </w:rPr>
        <w:pict w14:anchorId="0946B037">
          <v:rect id="_x0000_i1062" style="width:.05pt;height:1pt" o:hralign="center" o:hrstd="t" o:hrnoshade="t" o:hr="t" fillcolor="blue" stroked="f"/>
        </w:pict>
      </w:r>
    </w:p>
    <w:p w14:paraId="6713FFFE" w14:textId="77777777" w:rsidR="00236301" w:rsidRDefault="00236301">
      <w:pPr>
        <w:divId w:val="1244484769"/>
        <w:rPr>
          <w:rFonts w:eastAsia="Times New Roman"/>
        </w:rPr>
      </w:pPr>
    </w:p>
    <w:tbl>
      <w:tblPr>
        <w:tblW w:w="3306" w:type="pct"/>
        <w:tblCellSpacing w:w="0" w:type="dxa"/>
        <w:tblCellMar>
          <w:left w:w="0" w:type="dxa"/>
          <w:right w:w="0" w:type="dxa"/>
        </w:tblCellMar>
        <w:tblLook w:val="04A0" w:firstRow="1" w:lastRow="0" w:firstColumn="1" w:lastColumn="0" w:noHBand="0" w:noVBand="1"/>
      </w:tblPr>
      <w:tblGrid>
        <w:gridCol w:w="5635"/>
        <w:gridCol w:w="1467"/>
        <w:gridCol w:w="1467"/>
      </w:tblGrid>
      <w:tr w:rsidR="00236301" w14:paraId="75505387" w14:textId="77777777" w:rsidTr="00D56C13">
        <w:trPr>
          <w:divId w:val="1244484769"/>
          <w:tblCellSpacing w:w="0" w:type="dxa"/>
        </w:trPr>
        <w:tc>
          <w:tcPr>
            <w:tcW w:w="0" w:type="auto"/>
            <w:gridSpan w:val="3"/>
            <w:shd w:val="clear" w:color="auto" w:fill="CCEEFF"/>
            <w:vAlign w:val="bottom"/>
            <w:hideMark/>
          </w:tcPr>
          <w:p w14:paraId="05509848" w14:textId="77777777" w:rsidR="00236301" w:rsidRDefault="00265296">
            <w:pPr>
              <w:pStyle w:val="NormalWeb"/>
              <w:jc w:val="center"/>
            </w:pPr>
            <w:bookmarkStart w:id="25" w:name="cf"/>
            <w:bookmarkEnd w:id="25"/>
            <w:r>
              <w:rPr>
                <w:b/>
                <w:bCs/>
                <w:sz w:val="20"/>
                <w:szCs w:val="20"/>
              </w:rPr>
              <w:t>ADVANCED OXYGEN TECHNOLOGIES, INC.</w:t>
            </w:r>
          </w:p>
          <w:p w14:paraId="7FEEAFEF" w14:textId="77777777" w:rsidR="00236301" w:rsidRDefault="00265296">
            <w:pPr>
              <w:pStyle w:val="NormalWeb"/>
              <w:jc w:val="center"/>
            </w:pPr>
            <w:r>
              <w:rPr>
                <w:b/>
                <w:bCs/>
                <w:sz w:val="20"/>
                <w:szCs w:val="20"/>
              </w:rPr>
              <w:t>AND SUBSIDIARY</w:t>
            </w:r>
          </w:p>
          <w:p w14:paraId="02E0635B" w14:textId="77777777" w:rsidR="00236301" w:rsidRDefault="00265296">
            <w:pPr>
              <w:pStyle w:val="NormalWeb"/>
              <w:jc w:val="center"/>
            </w:pPr>
            <w:r>
              <w:rPr>
                <w:b/>
                <w:bCs/>
                <w:sz w:val="20"/>
                <w:szCs w:val="20"/>
              </w:rPr>
              <w:t>CONSOLIDATED STATEMENTS OF CASH FLOWS</w:t>
            </w:r>
          </w:p>
        </w:tc>
      </w:tr>
      <w:tr w:rsidR="00236301" w14:paraId="3C8B2FAA" w14:textId="77777777" w:rsidTr="00D56C13">
        <w:trPr>
          <w:divId w:val="1244484769"/>
          <w:tblCellSpacing w:w="0" w:type="dxa"/>
        </w:trPr>
        <w:tc>
          <w:tcPr>
            <w:tcW w:w="0" w:type="auto"/>
            <w:shd w:val="clear" w:color="auto" w:fill="FFFFFF"/>
            <w:vAlign w:val="bottom"/>
            <w:hideMark/>
          </w:tcPr>
          <w:p w14:paraId="25A14819" w14:textId="77777777" w:rsidR="00236301" w:rsidRDefault="00265296">
            <w:pPr>
              <w:pStyle w:val="NormalWeb"/>
            </w:pPr>
            <w:r>
              <w:rPr>
                <w:b/>
                <w:bCs/>
                <w:sz w:val="20"/>
                <w:szCs w:val="20"/>
              </w:rPr>
              <w:t> </w:t>
            </w:r>
          </w:p>
        </w:tc>
        <w:tc>
          <w:tcPr>
            <w:tcW w:w="0" w:type="auto"/>
            <w:gridSpan w:val="2"/>
            <w:shd w:val="clear" w:color="auto" w:fill="FFFFFF"/>
            <w:vAlign w:val="bottom"/>
            <w:hideMark/>
          </w:tcPr>
          <w:p w14:paraId="3757C0C6" w14:textId="77777777" w:rsidR="00236301" w:rsidRDefault="00265296">
            <w:pPr>
              <w:pStyle w:val="NormalWeb"/>
              <w:jc w:val="center"/>
            </w:pPr>
            <w:r>
              <w:rPr>
                <w:b/>
                <w:bCs/>
                <w:sz w:val="20"/>
                <w:szCs w:val="20"/>
              </w:rPr>
              <w:t xml:space="preserve">For the Years Ended June 30, </w:t>
            </w:r>
          </w:p>
        </w:tc>
      </w:tr>
      <w:tr w:rsidR="00236301" w14:paraId="248C7AEC" w14:textId="77777777" w:rsidTr="00D56C13">
        <w:trPr>
          <w:divId w:val="1244484769"/>
          <w:tblCellSpacing w:w="0" w:type="dxa"/>
        </w:trPr>
        <w:tc>
          <w:tcPr>
            <w:tcW w:w="0" w:type="auto"/>
            <w:shd w:val="clear" w:color="auto" w:fill="CCEEFF"/>
            <w:vAlign w:val="bottom"/>
            <w:hideMark/>
          </w:tcPr>
          <w:p w14:paraId="42B06E64" w14:textId="77777777" w:rsidR="00236301" w:rsidRDefault="00265296">
            <w:pPr>
              <w:pStyle w:val="NormalWeb"/>
            </w:pPr>
            <w:r>
              <w:rPr>
                <w:b/>
                <w:bCs/>
                <w:sz w:val="20"/>
                <w:szCs w:val="20"/>
              </w:rPr>
              <w:t> </w:t>
            </w:r>
          </w:p>
        </w:tc>
        <w:tc>
          <w:tcPr>
            <w:tcW w:w="750" w:type="pct"/>
            <w:shd w:val="clear" w:color="auto" w:fill="CCEEFF"/>
            <w:vAlign w:val="bottom"/>
            <w:hideMark/>
          </w:tcPr>
          <w:p w14:paraId="0587BFCF" w14:textId="77777777" w:rsidR="00236301" w:rsidRDefault="00265296">
            <w:pPr>
              <w:pStyle w:val="NormalWeb"/>
              <w:jc w:val="right"/>
            </w:pPr>
            <w:r>
              <w:rPr>
                <w:b/>
                <w:bCs/>
                <w:sz w:val="20"/>
                <w:szCs w:val="20"/>
              </w:rPr>
              <w:t>2016</w:t>
            </w:r>
          </w:p>
          <w:p w14:paraId="43D614A2" w14:textId="77777777" w:rsidR="00236301" w:rsidRDefault="00084F74">
            <w:pPr>
              <w:rPr>
                <w:rFonts w:eastAsia="Times New Roman"/>
              </w:rPr>
            </w:pPr>
            <w:r>
              <w:rPr>
                <w:rFonts w:eastAsia="Times New Roman"/>
              </w:rPr>
              <w:pict w14:anchorId="77E2D1B8">
                <v:rect id="_x0000_i1063" style="width:.05pt;height:1pt" o:hralign="center" o:hrstd="t" o:hr="t" fillcolor="#a0a0a0" stroked="f"/>
              </w:pict>
            </w:r>
          </w:p>
        </w:tc>
        <w:tc>
          <w:tcPr>
            <w:tcW w:w="750" w:type="pct"/>
            <w:shd w:val="clear" w:color="auto" w:fill="CCEEFF"/>
            <w:vAlign w:val="bottom"/>
            <w:hideMark/>
          </w:tcPr>
          <w:p w14:paraId="06E259AE" w14:textId="77777777" w:rsidR="00236301" w:rsidRDefault="00265296">
            <w:pPr>
              <w:pStyle w:val="NormalWeb"/>
              <w:jc w:val="right"/>
            </w:pPr>
            <w:r>
              <w:rPr>
                <w:b/>
                <w:bCs/>
                <w:sz w:val="20"/>
                <w:szCs w:val="20"/>
              </w:rPr>
              <w:t>2015</w:t>
            </w:r>
          </w:p>
          <w:p w14:paraId="34971EFC" w14:textId="77777777" w:rsidR="00236301" w:rsidRDefault="00084F74">
            <w:pPr>
              <w:jc w:val="center"/>
              <w:rPr>
                <w:rFonts w:eastAsia="Times New Roman"/>
              </w:rPr>
            </w:pPr>
            <w:r>
              <w:rPr>
                <w:rFonts w:eastAsia="Times New Roman"/>
              </w:rPr>
              <w:pict w14:anchorId="53947255">
                <v:rect id="_x0000_i1064" style="width:.05pt;height:1pt" o:hralign="center" o:hrstd="t" o:hr="t" fillcolor="#a0a0a0" stroked="f"/>
              </w:pict>
            </w:r>
          </w:p>
        </w:tc>
      </w:tr>
      <w:tr w:rsidR="00236301" w14:paraId="78C956D3" w14:textId="77777777" w:rsidTr="00D56C13">
        <w:trPr>
          <w:divId w:val="1244484769"/>
          <w:tblCellSpacing w:w="0" w:type="dxa"/>
        </w:trPr>
        <w:tc>
          <w:tcPr>
            <w:tcW w:w="0" w:type="auto"/>
            <w:shd w:val="clear" w:color="auto" w:fill="FFFFFF"/>
            <w:vAlign w:val="bottom"/>
            <w:hideMark/>
          </w:tcPr>
          <w:p w14:paraId="3C546D40" w14:textId="77777777" w:rsidR="00236301" w:rsidRDefault="00265296">
            <w:pPr>
              <w:pStyle w:val="NormalWeb"/>
            </w:pPr>
            <w:r>
              <w:rPr>
                <w:sz w:val="20"/>
                <w:szCs w:val="20"/>
              </w:rPr>
              <w:t>Cash flows from operating activities</w:t>
            </w:r>
          </w:p>
        </w:tc>
        <w:tc>
          <w:tcPr>
            <w:tcW w:w="0" w:type="auto"/>
            <w:shd w:val="clear" w:color="auto" w:fill="FFFFFF"/>
            <w:vAlign w:val="bottom"/>
            <w:hideMark/>
          </w:tcPr>
          <w:p w14:paraId="0DF00EF6" w14:textId="77777777" w:rsidR="00236301" w:rsidRDefault="00265296">
            <w:pPr>
              <w:rPr>
                <w:rFonts w:eastAsia="Times New Roman"/>
              </w:rPr>
            </w:pPr>
            <w:r>
              <w:rPr>
                <w:rFonts w:eastAsia="Times New Roman"/>
              </w:rPr>
              <w:t> </w:t>
            </w:r>
          </w:p>
        </w:tc>
        <w:tc>
          <w:tcPr>
            <w:tcW w:w="0" w:type="auto"/>
            <w:shd w:val="clear" w:color="auto" w:fill="FFFFFF"/>
            <w:vAlign w:val="bottom"/>
            <w:hideMark/>
          </w:tcPr>
          <w:p w14:paraId="4D7ABD9F" w14:textId="77777777" w:rsidR="00236301" w:rsidRDefault="00265296">
            <w:pPr>
              <w:rPr>
                <w:rFonts w:eastAsia="Times New Roman"/>
              </w:rPr>
            </w:pPr>
            <w:r>
              <w:rPr>
                <w:rFonts w:eastAsia="Times New Roman"/>
              </w:rPr>
              <w:t> </w:t>
            </w:r>
          </w:p>
        </w:tc>
      </w:tr>
      <w:tr w:rsidR="00236301" w14:paraId="50F4E86C" w14:textId="77777777" w:rsidTr="00D56C13">
        <w:trPr>
          <w:divId w:val="1244484769"/>
          <w:tblCellSpacing w:w="0" w:type="dxa"/>
        </w:trPr>
        <w:tc>
          <w:tcPr>
            <w:tcW w:w="0" w:type="auto"/>
            <w:shd w:val="clear" w:color="auto" w:fill="CCEEFF"/>
            <w:vAlign w:val="bottom"/>
            <w:hideMark/>
          </w:tcPr>
          <w:p w14:paraId="5F14C33A" w14:textId="543ED6EF" w:rsidR="00236301" w:rsidRDefault="00265296" w:rsidP="00491274">
            <w:pPr>
              <w:pStyle w:val="NormalWeb"/>
            </w:pPr>
            <w:r>
              <w:rPr>
                <w:sz w:val="20"/>
                <w:szCs w:val="20"/>
              </w:rPr>
              <w:t xml:space="preserve">   Net income </w:t>
            </w:r>
          </w:p>
        </w:tc>
        <w:tc>
          <w:tcPr>
            <w:tcW w:w="0" w:type="auto"/>
            <w:shd w:val="clear" w:color="auto" w:fill="CCEEFF"/>
            <w:vAlign w:val="bottom"/>
            <w:hideMark/>
          </w:tcPr>
          <w:p w14:paraId="3A927B89" w14:textId="1FAD0D9D" w:rsidR="00236301" w:rsidRDefault="00265296" w:rsidP="00BF0143">
            <w:pPr>
              <w:pStyle w:val="NormalWeb"/>
              <w:jc w:val="right"/>
            </w:pPr>
            <w:r>
              <w:rPr>
                <w:sz w:val="20"/>
                <w:szCs w:val="20"/>
              </w:rPr>
              <w:t>$  11,02</w:t>
            </w:r>
            <w:r w:rsidR="00BF0143">
              <w:rPr>
                <w:sz w:val="20"/>
                <w:szCs w:val="20"/>
              </w:rPr>
              <w:t>1</w:t>
            </w:r>
          </w:p>
        </w:tc>
        <w:tc>
          <w:tcPr>
            <w:tcW w:w="0" w:type="auto"/>
            <w:shd w:val="clear" w:color="auto" w:fill="CCEEFF"/>
            <w:vAlign w:val="bottom"/>
            <w:hideMark/>
          </w:tcPr>
          <w:p w14:paraId="209A0D17" w14:textId="58090229" w:rsidR="00236301" w:rsidRDefault="00265296" w:rsidP="0083408A">
            <w:pPr>
              <w:pStyle w:val="NormalWeb"/>
              <w:jc w:val="right"/>
            </w:pPr>
            <w:r>
              <w:rPr>
                <w:sz w:val="20"/>
                <w:szCs w:val="20"/>
              </w:rPr>
              <w:t xml:space="preserve">$  </w:t>
            </w:r>
            <w:r w:rsidR="00D0157F">
              <w:rPr>
                <w:sz w:val="20"/>
                <w:szCs w:val="20"/>
              </w:rPr>
              <w:t>18,164</w:t>
            </w:r>
          </w:p>
        </w:tc>
      </w:tr>
      <w:tr w:rsidR="00236301" w14:paraId="4B719CD3" w14:textId="77777777" w:rsidTr="00D56C13">
        <w:trPr>
          <w:divId w:val="1244484769"/>
          <w:tblCellSpacing w:w="0" w:type="dxa"/>
        </w:trPr>
        <w:tc>
          <w:tcPr>
            <w:tcW w:w="0" w:type="auto"/>
            <w:shd w:val="clear" w:color="auto" w:fill="FFFFFF"/>
            <w:vAlign w:val="bottom"/>
            <w:hideMark/>
          </w:tcPr>
          <w:p w14:paraId="5E85527F" w14:textId="77777777" w:rsidR="00236301" w:rsidRDefault="00265296">
            <w:pPr>
              <w:pStyle w:val="NormalWeb"/>
            </w:pPr>
            <w:r>
              <w:rPr>
                <w:sz w:val="20"/>
                <w:szCs w:val="20"/>
              </w:rPr>
              <w:t>     Adjustments to reconcile net income to net cash</w:t>
            </w:r>
          </w:p>
        </w:tc>
        <w:tc>
          <w:tcPr>
            <w:tcW w:w="0" w:type="auto"/>
            <w:shd w:val="clear" w:color="auto" w:fill="FFFFFF"/>
            <w:vAlign w:val="bottom"/>
            <w:hideMark/>
          </w:tcPr>
          <w:p w14:paraId="3BBAB51E" w14:textId="77777777" w:rsidR="00236301" w:rsidRDefault="00265296">
            <w:pPr>
              <w:rPr>
                <w:rFonts w:eastAsia="Times New Roman"/>
              </w:rPr>
            </w:pPr>
            <w:r>
              <w:rPr>
                <w:rFonts w:eastAsia="Times New Roman"/>
              </w:rPr>
              <w:t> </w:t>
            </w:r>
          </w:p>
        </w:tc>
        <w:tc>
          <w:tcPr>
            <w:tcW w:w="0" w:type="auto"/>
            <w:shd w:val="clear" w:color="auto" w:fill="FFFFFF"/>
            <w:vAlign w:val="bottom"/>
            <w:hideMark/>
          </w:tcPr>
          <w:p w14:paraId="04C317B8" w14:textId="77777777" w:rsidR="00236301" w:rsidRDefault="00265296">
            <w:pPr>
              <w:rPr>
                <w:rFonts w:eastAsia="Times New Roman"/>
              </w:rPr>
            </w:pPr>
            <w:r>
              <w:rPr>
                <w:rFonts w:eastAsia="Times New Roman"/>
              </w:rPr>
              <w:t> </w:t>
            </w:r>
          </w:p>
        </w:tc>
      </w:tr>
      <w:tr w:rsidR="00236301" w14:paraId="658E8680" w14:textId="77777777" w:rsidTr="00D56C13">
        <w:trPr>
          <w:divId w:val="1244484769"/>
          <w:tblCellSpacing w:w="0" w:type="dxa"/>
        </w:trPr>
        <w:tc>
          <w:tcPr>
            <w:tcW w:w="0" w:type="auto"/>
            <w:shd w:val="clear" w:color="auto" w:fill="CCEEFF"/>
            <w:vAlign w:val="bottom"/>
            <w:hideMark/>
          </w:tcPr>
          <w:p w14:paraId="609A2038" w14:textId="77777777" w:rsidR="00236301" w:rsidRDefault="00265296">
            <w:pPr>
              <w:pStyle w:val="NormalWeb"/>
            </w:pPr>
            <w:r>
              <w:rPr>
                <w:sz w:val="20"/>
                <w:szCs w:val="20"/>
              </w:rPr>
              <w:t> </w:t>
            </w:r>
          </w:p>
        </w:tc>
        <w:tc>
          <w:tcPr>
            <w:tcW w:w="0" w:type="auto"/>
            <w:shd w:val="clear" w:color="auto" w:fill="CCEEFF"/>
            <w:vAlign w:val="bottom"/>
            <w:hideMark/>
          </w:tcPr>
          <w:p w14:paraId="13D2EED2" w14:textId="77777777" w:rsidR="00236301" w:rsidRDefault="00265296">
            <w:pPr>
              <w:rPr>
                <w:rFonts w:eastAsia="Times New Roman"/>
              </w:rPr>
            </w:pPr>
            <w:r>
              <w:rPr>
                <w:rFonts w:eastAsia="Times New Roman"/>
              </w:rPr>
              <w:t> </w:t>
            </w:r>
          </w:p>
        </w:tc>
        <w:tc>
          <w:tcPr>
            <w:tcW w:w="0" w:type="auto"/>
            <w:shd w:val="clear" w:color="auto" w:fill="CCEEFF"/>
            <w:vAlign w:val="bottom"/>
            <w:hideMark/>
          </w:tcPr>
          <w:p w14:paraId="1E20A60A" w14:textId="77777777" w:rsidR="00236301" w:rsidRDefault="00265296">
            <w:pPr>
              <w:rPr>
                <w:rFonts w:eastAsia="Times New Roman"/>
              </w:rPr>
            </w:pPr>
            <w:r>
              <w:rPr>
                <w:rFonts w:eastAsia="Times New Roman"/>
              </w:rPr>
              <w:t> </w:t>
            </w:r>
          </w:p>
        </w:tc>
      </w:tr>
      <w:tr w:rsidR="00236301" w14:paraId="0E5A8D21" w14:textId="77777777" w:rsidTr="00D56C13">
        <w:trPr>
          <w:divId w:val="1244484769"/>
          <w:tblCellSpacing w:w="0" w:type="dxa"/>
        </w:trPr>
        <w:tc>
          <w:tcPr>
            <w:tcW w:w="0" w:type="auto"/>
            <w:shd w:val="clear" w:color="auto" w:fill="FFFFFF"/>
            <w:vAlign w:val="bottom"/>
            <w:hideMark/>
          </w:tcPr>
          <w:p w14:paraId="27CAD789" w14:textId="77777777" w:rsidR="00236301" w:rsidRDefault="00265296">
            <w:pPr>
              <w:pStyle w:val="NormalWeb"/>
            </w:pPr>
            <w:r>
              <w:rPr>
                <w:sz w:val="20"/>
                <w:szCs w:val="20"/>
              </w:rPr>
              <w:t>       Changes in operating assets and liabilities   </w:t>
            </w:r>
          </w:p>
        </w:tc>
        <w:tc>
          <w:tcPr>
            <w:tcW w:w="0" w:type="auto"/>
            <w:shd w:val="clear" w:color="auto" w:fill="FFFFFF"/>
            <w:vAlign w:val="bottom"/>
            <w:hideMark/>
          </w:tcPr>
          <w:p w14:paraId="2BBB5FFD" w14:textId="77777777" w:rsidR="00236301" w:rsidRDefault="00265296">
            <w:pPr>
              <w:rPr>
                <w:rFonts w:eastAsia="Times New Roman"/>
              </w:rPr>
            </w:pPr>
            <w:r>
              <w:rPr>
                <w:rFonts w:eastAsia="Times New Roman"/>
              </w:rPr>
              <w:t> </w:t>
            </w:r>
          </w:p>
        </w:tc>
        <w:tc>
          <w:tcPr>
            <w:tcW w:w="0" w:type="auto"/>
            <w:shd w:val="clear" w:color="auto" w:fill="FFFFFF"/>
            <w:vAlign w:val="bottom"/>
            <w:hideMark/>
          </w:tcPr>
          <w:p w14:paraId="4E5E2FBF" w14:textId="77777777" w:rsidR="00236301" w:rsidRDefault="00265296">
            <w:pPr>
              <w:rPr>
                <w:rFonts w:eastAsia="Times New Roman"/>
              </w:rPr>
            </w:pPr>
            <w:r>
              <w:rPr>
                <w:rFonts w:eastAsia="Times New Roman"/>
              </w:rPr>
              <w:t> </w:t>
            </w:r>
          </w:p>
        </w:tc>
      </w:tr>
      <w:tr w:rsidR="00236301" w14:paraId="2A76387B" w14:textId="77777777" w:rsidTr="00D56C13">
        <w:trPr>
          <w:divId w:val="1244484769"/>
          <w:tblCellSpacing w:w="0" w:type="dxa"/>
        </w:trPr>
        <w:tc>
          <w:tcPr>
            <w:tcW w:w="0" w:type="auto"/>
            <w:shd w:val="clear" w:color="auto" w:fill="CCEEFF"/>
            <w:vAlign w:val="bottom"/>
          </w:tcPr>
          <w:p w14:paraId="42E4DD31" w14:textId="09C86153" w:rsidR="00236301" w:rsidRDefault="00236301">
            <w:pPr>
              <w:rPr>
                <w:rFonts w:eastAsia="Times New Roman"/>
              </w:rPr>
            </w:pPr>
          </w:p>
        </w:tc>
        <w:tc>
          <w:tcPr>
            <w:tcW w:w="0" w:type="auto"/>
            <w:shd w:val="clear" w:color="auto" w:fill="CCEEFF"/>
            <w:vAlign w:val="bottom"/>
          </w:tcPr>
          <w:p w14:paraId="61066F19" w14:textId="674A601A" w:rsidR="00236301" w:rsidRDefault="00236301">
            <w:pPr>
              <w:pStyle w:val="NormalWeb"/>
              <w:jc w:val="right"/>
            </w:pPr>
          </w:p>
        </w:tc>
        <w:tc>
          <w:tcPr>
            <w:tcW w:w="0" w:type="auto"/>
            <w:shd w:val="clear" w:color="auto" w:fill="CCEEFF"/>
            <w:vAlign w:val="bottom"/>
          </w:tcPr>
          <w:p w14:paraId="4EE10B2A" w14:textId="2B55B311" w:rsidR="00236301" w:rsidRDefault="00236301">
            <w:pPr>
              <w:pStyle w:val="NormalWeb"/>
              <w:jc w:val="right"/>
            </w:pPr>
          </w:p>
        </w:tc>
      </w:tr>
      <w:tr w:rsidR="00236301" w14:paraId="45D2AA7A" w14:textId="77777777" w:rsidTr="00D56C13">
        <w:trPr>
          <w:divId w:val="1244484769"/>
          <w:tblCellSpacing w:w="0" w:type="dxa"/>
        </w:trPr>
        <w:tc>
          <w:tcPr>
            <w:tcW w:w="0" w:type="auto"/>
            <w:shd w:val="clear" w:color="auto" w:fill="FFFFFF"/>
            <w:vAlign w:val="bottom"/>
          </w:tcPr>
          <w:p w14:paraId="14618195" w14:textId="11C3630D" w:rsidR="00236301" w:rsidRDefault="00236301">
            <w:pPr>
              <w:pStyle w:val="NormalWeb"/>
            </w:pPr>
          </w:p>
        </w:tc>
        <w:tc>
          <w:tcPr>
            <w:tcW w:w="0" w:type="auto"/>
            <w:shd w:val="clear" w:color="auto" w:fill="FFFFFF"/>
            <w:vAlign w:val="bottom"/>
          </w:tcPr>
          <w:p w14:paraId="7BB4DBC3" w14:textId="0FBBB554" w:rsidR="00236301" w:rsidRDefault="00236301">
            <w:pPr>
              <w:jc w:val="right"/>
              <w:rPr>
                <w:rFonts w:eastAsia="Times New Roman"/>
              </w:rPr>
            </w:pPr>
          </w:p>
        </w:tc>
        <w:tc>
          <w:tcPr>
            <w:tcW w:w="0" w:type="auto"/>
            <w:shd w:val="clear" w:color="auto" w:fill="FFFFFF"/>
            <w:vAlign w:val="bottom"/>
          </w:tcPr>
          <w:p w14:paraId="645FAF3D" w14:textId="2F28158F" w:rsidR="00236301" w:rsidRDefault="00236301">
            <w:pPr>
              <w:pStyle w:val="NormalWeb"/>
              <w:jc w:val="right"/>
            </w:pPr>
          </w:p>
        </w:tc>
      </w:tr>
      <w:tr w:rsidR="00236301" w14:paraId="4731B928" w14:textId="77777777" w:rsidTr="00D56C13">
        <w:trPr>
          <w:divId w:val="1244484769"/>
          <w:tblCellSpacing w:w="0" w:type="dxa"/>
        </w:trPr>
        <w:tc>
          <w:tcPr>
            <w:tcW w:w="0" w:type="auto"/>
            <w:shd w:val="clear" w:color="auto" w:fill="CCEEFF"/>
            <w:vAlign w:val="bottom"/>
            <w:hideMark/>
          </w:tcPr>
          <w:p w14:paraId="3DE2D2B4" w14:textId="77777777" w:rsidR="00236301" w:rsidRDefault="00265296">
            <w:pPr>
              <w:pStyle w:val="NormalWeb"/>
            </w:pPr>
            <w:r>
              <w:rPr>
                <w:sz w:val="20"/>
                <w:szCs w:val="20"/>
              </w:rPr>
              <w:t xml:space="preserve">       Accounts payable   </w:t>
            </w:r>
          </w:p>
        </w:tc>
        <w:tc>
          <w:tcPr>
            <w:tcW w:w="0" w:type="auto"/>
            <w:shd w:val="clear" w:color="auto" w:fill="CCEEFF"/>
            <w:vAlign w:val="bottom"/>
            <w:hideMark/>
          </w:tcPr>
          <w:p w14:paraId="41BA08B3" w14:textId="0CECE43B" w:rsidR="00236301" w:rsidRDefault="00265296" w:rsidP="002149B3">
            <w:pPr>
              <w:pStyle w:val="NormalWeb"/>
              <w:jc w:val="right"/>
            </w:pPr>
            <w:r>
              <w:rPr>
                <w:sz w:val="20"/>
                <w:szCs w:val="20"/>
              </w:rPr>
              <w:t>(</w:t>
            </w:r>
            <w:r w:rsidR="000F232D">
              <w:rPr>
                <w:sz w:val="20"/>
                <w:szCs w:val="20"/>
              </w:rPr>
              <w:t>1,40</w:t>
            </w:r>
            <w:r w:rsidR="00207E8E">
              <w:rPr>
                <w:sz w:val="20"/>
                <w:szCs w:val="20"/>
              </w:rPr>
              <w:t>1</w:t>
            </w:r>
            <w:r>
              <w:rPr>
                <w:sz w:val="20"/>
                <w:szCs w:val="20"/>
              </w:rPr>
              <w:t>)</w:t>
            </w:r>
          </w:p>
        </w:tc>
        <w:tc>
          <w:tcPr>
            <w:tcW w:w="0" w:type="auto"/>
            <w:shd w:val="clear" w:color="auto" w:fill="CCEEFF"/>
            <w:vAlign w:val="bottom"/>
            <w:hideMark/>
          </w:tcPr>
          <w:p w14:paraId="18EC958B" w14:textId="77777777" w:rsidR="00236301" w:rsidRDefault="00265296">
            <w:pPr>
              <w:pStyle w:val="NormalWeb"/>
              <w:jc w:val="right"/>
            </w:pPr>
            <w:r>
              <w:rPr>
                <w:sz w:val="20"/>
                <w:szCs w:val="20"/>
              </w:rPr>
              <w:t>14,999</w:t>
            </w:r>
          </w:p>
        </w:tc>
      </w:tr>
      <w:tr w:rsidR="00236301" w14:paraId="463128B0" w14:textId="77777777" w:rsidTr="00D56C13">
        <w:trPr>
          <w:divId w:val="1244484769"/>
          <w:tblCellSpacing w:w="0" w:type="dxa"/>
        </w:trPr>
        <w:tc>
          <w:tcPr>
            <w:tcW w:w="0" w:type="auto"/>
            <w:shd w:val="clear" w:color="auto" w:fill="FFFFFF"/>
            <w:vAlign w:val="bottom"/>
            <w:hideMark/>
          </w:tcPr>
          <w:p w14:paraId="59990E31" w14:textId="77777777" w:rsidR="00236301" w:rsidRDefault="00265296">
            <w:pPr>
              <w:pStyle w:val="NormalWeb"/>
            </w:pPr>
            <w:r>
              <w:rPr>
                <w:sz w:val="20"/>
                <w:szCs w:val="20"/>
              </w:rPr>
              <w:t>       Taxes payable        </w:t>
            </w:r>
          </w:p>
        </w:tc>
        <w:tc>
          <w:tcPr>
            <w:tcW w:w="0" w:type="auto"/>
            <w:shd w:val="clear" w:color="auto" w:fill="FFFFFF"/>
            <w:vAlign w:val="bottom"/>
            <w:hideMark/>
          </w:tcPr>
          <w:p w14:paraId="5FC265C2" w14:textId="78FD6887" w:rsidR="00236301" w:rsidRDefault="00265296" w:rsidP="000F232D">
            <w:pPr>
              <w:pStyle w:val="NormalWeb"/>
              <w:jc w:val="right"/>
            </w:pPr>
            <w:r>
              <w:rPr>
                <w:sz w:val="20"/>
                <w:szCs w:val="20"/>
              </w:rPr>
              <w:t>(</w:t>
            </w:r>
            <w:r w:rsidR="000F232D">
              <w:rPr>
                <w:sz w:val="20"/>
                <w:szCs w:val="20"/>
              </w:rPr>
              <w:t>20,918</w:t>
            </w:r>
            <w:r>
              <w:rPr>
                <w:sz w:val="20"/>
                <w:szCs w:val="20"/>
              </w:rPr>
              <w:t>)</w:t>
            </w:r>
          </w:p>
        </w:tc>
        <w:tc>
          <w:tcPr>
            <w:tcW w:w="0" w:type="auto"/>
            <w:shd w:val="clear" w:color="auto" w:fill="FFFFFF"/>
            <w:vAlign w:val="bottom"/>
            <w:hideMark/>
          </w:tcPr>
          <w:p w14:paraId="3FC6BC43" w14:textId="77777777" w:rsidR="00236301" w:rsidRDefault="00265296">
            <w:pPr>
              <w:pStyle w:val="NormalWeb"/>
              <w:jc w:val="right"/>
            </w:pPr>
            <w:r>
              <w:rPr>
                <w:sz w:val="20"/>
                <w:szCs w:val="20"/>
              </w:rPr>
              <w:t>(30,809)</w:t>
            </w:r>
          </w:p>
        </w:tc>
      </w:tr>
      <w:tr w:rsidR="00236301" w14:paraId="61551D92" w14:textId="77777777" w:rsidTr="00D56C13">
        <w:trPr>
          <w:divId w:val="1244484769"/>
          <w:tblCellSpacing w:w="0" w:type="dxa"/>
        </w:trPr>
        <w:tc>
          <w:tcPr>
            <w:tcW w:w="0" w:type="auto"/>
            <w:shd w:val="clear" w:color="auto" w:fill="FFFFFF"/>
            <w:vAlign w:val="bottom"/>
          </w:tcPr>
          <w:p w14:paraId="1D9934F3" w14:textId="21F70AEC" w:rsidR="00236301" w:rsidRDefault="00236301">
            <w:pPr>
              <w:pStyle w:val="NormalWeb"/>
            </w:pPr>
          </w:p>
        </w:tc>
        <w:tc>
          <w:tcPr>
            <w:tcW w:w="0" w:type="auto"/>
            <w:shd w:val="clear" w:color="auto" w:fill="FFFFFF"/>
            <w:vAlign w:val="bottom"/>
          </w:tcPr>
          <w:p w14:paraId="19910D4B" w14:textId="1D6AC379" w:rsidR="00236301" w:rsidRDefault="00236301">
            <w:pPr>
              <w:jc w:val="right"/>
              <w:rPr>
                <w:rFonts w:eastAsia="Times New Roman"/>
              </w:rPr>
            </w:pPr>
          </w:p>
        </w:tc>
        <w:tc>
          <w:tcPr>
            <w:tcW w:w="0" w:type="auto"/>
            <w:shd w:val="clear" w:color="auto" w:fill="FFFFFF"/>
            <w:vAlign w:val="bottom"/>
          </w:tcPr>
          <w:p w14:paraId="6CB7C6DE" w14:textId="23D9B43A" w:rsidR="00236301" w:rsidRDefault="00236301">
            <w:pPr>
              <w:pStyle w:val="NormalWeb"/>
              <w:jc w:val="right"/>
            </w:pPr>
          </w:p>
        </w:tc>
      </w:tr>
      <w:tr w:rsidR="00236301" w14:paraId="5F526DDD" w14:textId="77777777" w:rsidTr="00D56C13">
        <w:trPr>
          <w:divId w:val="1244484769"/>
          <w:tblCellSpacing w:w="0" w:type="dxa"/>
        </w:trPr>
        <w:tc>
          <w:tcPr>
            <w:tcW w:w="0" w:type="auto"/>
            <w:shd w:val="clear" w:color="auto" w:fill="FFFFFF"/>
            <w:vAlign w:val="bottom"/>
            <w:hideMark/>
          </w:tcPr>
          <w:p w14:paraId="29EEBEC4" w14:textId="77777777" w:rsidR="00236301" w:rsidRDefault="00265296">
            <w:pPr>
              <w:pStyle w:val="NormalWeb"/>
            </w:pPr>
            <w:r>
              <w:rPr>
                <w:sz w:val="20"/>
                <w:szCs w:val="20"/>
              </w:rPr>
              <w:t> </w:t>
            </w:r>
          </w:p>
        </w:tc>
        <w:tc>
          <w:tcPr>
            <w:tcW w:w="0" w:type="auto"/>
            <w:shd w:val="clear" w:color="auto" w:fill="FFFFFF"/>
            <w:vAlign w:val="bottom"/>
            <w:hideMark/>
          </w:tcPr>
          <w:p w14:paraId="47193693" w14:textId="77777777" w:rsidR="00236301" w:rsidRDefault="00265296">
            <w:pPr>
              <w:pStyle w:val="NormalWeb"/>
              <w:jc w:val="right"/>
            </w:pPr>
            <w:r>
              <w:rPr>
                <w:sz w:val="20"/>
                <w:szCs w:val="20"/>
              </w:rPr>
              <w:t>-------------</w:t>
            </w:r>
          </w:p>
        </w:tc>
        <w:tc>
          <w:tcPr>
            <w:tcW w:w="0" w:type="auto"/>
            <w:shd w:val="clear" w:color="auto" w:fill="FFFFFF"/>
            <w:vAlign w:val="bottom"/>
            <w:hideMark/>
          </w:tcPr>
          <w:p w14:paraId="2D4F8949" w14:textId="77777777" w:rsidR="00236301" w:rsidRDefault="00265296">
            <w:pPr>
              <w:pStyle w:val="NormalWeb"/>
              <w:jc w:val="right"/>
            </w:pPr>
            <w:r>
              <w:rPr>
                <w:sz w:val="20"/>
                <w:szCs w:val="20"/>
              </w:rPr>
              <w:t>-------------</w:t>
            </w:r>
          </w:p>
        </w:tc>
      </w:tr>
      <w:tr w:rsidR="00236301" w14:paraId="51170E9B" w14:textId="77777777" w:rsidTr="00D56C13">
        <w:trPr>
          <w:divId w:val="1244484769"/>
          <w:tblCellSpacing w:w="0" w:type="dxa"/>
        </w:trPr>
        <w:tc>
          <w:tcPr>
            <w:tcW w:w="0" w:type="auto"/>
            <w:shd w:val="clear" w:color="auto" w:fill="CCEEFF"/>
            <w:vAlign w:val="bottom"/>
            <w:hideMark/>
          </w:tcPr>
          <w:p w14:paraId="784DA7E6" w14:textId="77777777" w:rsidR="00236301" w:rsidRDefault="00265296">
            <w:pPr>
              <w:pStyle w:val="NormalWeb"/>
            </w:pPr>
            <w:r>
              <w:rPr>
                <w:sz w:val="20"/>
                <w:szCs w:val="20"/>
              </w:rPr>
              <w:t xml:space="preserve">Net cash provided by (used in) operating activities    </w:t>
            </w:r>
          </w:p>
        </w:tc>
        <w:tc>
          <w:tcPr>
            <w:tcW w:w="0" w:type="auto"/>
            <w:shd w:val="clear" w:color="auto" w:fill="CCEEFF"/>
            <w:vAlign w:val="bottom"/>
            <w:hideMark/>
          </w:tcPr>
          <w:p w14:paraId="562F22FB" w14:textId="58251C90" w:rsidR="00236301" w:rsidRDefault="00265296" w:rsidP="00D0157F">
            <w:pPr>
              <w:pStyle w:val="NormalWeb"/>
              <w:jc w:val="right"/>
            </w:pPr>
            <w:r>
              <w:rPr>
                <w:sz w:val="20"/>
                <w:szCs w:val="20"/>
              </w:rPr>
              <w:t>(12,</w:t>
            </w:r>
            <w:r w:rsidR="00D0157F">
              <w:rPr>
                <w:sz w:val="20"/>
                <w:szCs w:val="20"/>
              </w:rPr>
              <w:t>298</w:t>
            </w:r>
            <w:r>
              <w:rPr>
                <w:sz w:val="20"/>
                <w:szCs w:val="20"/>
              </w:rPr>
              <w:t>)</w:t>
            </w:r>
          </w:p>
        </w:tc>
        <w:tc>
          <w:tcPr>
            <w:tcW w:w="0" w:type="auto"/>
            <w:shd w:val="clear" w:color="auto" w:fill="CCEEFF"/>
            <w:vAlign w:val="bottom"/>
            <w:hideMark/>
          </w:tcPr>
          <w:p w14:paraId="695DDDE8" w14:textId="22C5B3EE" w:rsidR="00236301" w:rsidRDefault="00D0157F">
            <w:pPr>
              <w:pStyle w:val="NormalWeb"/>
              <w:jc w:val="right"/>
            </w:pPr>
            <w:r>
              <w:rPr>
                <w:sz w:val="20"/>
                <w:szCs w:val="20"/>
              </w:rPr>
              <w:t>2,354</w:t>
            </w:r>
          </w:p>
        </w:tc>
      </w:tr>
      <w:tr w:rsidR="00236301" w14:paraId="0B7FD38C" w14:textId="77777777" w:rsidTr="00D56C13">
        <w:trPr>
          <w:divId w:val="1244484769"/>
          <w:tblCellSpacing w:w="0" w:type="dxa"/>
        </w:trPr>
        <w:tc>
          <w:tcPr>
            <w:tcW w:w="0" w:type="auto"/>
            <w:shd w:val="clear" w:color="auto" w:fill="FFFFFF"/>
            <w:vAlign w:val="bottom"/>
            <w:hideMark/>
          </w:tcPr>
          <w:p w14:paraId="7C983DC7" w14:textId="77777777" w:rsidR="00236301" w:rsidRDefault="00265296">
            <w:pPr>
              <w:pStyle w:val="NormalWeb"/>
            </w:pPr>
            <w:r>
              <w:rPr>
                <w:sz w:val="20"/>
                <w:szCs w:val="20"/>
              </w:rPr>
              <w:t> </w:t>
            </w:r>
          </w:p>
        </w:tc>
        <w:tc>
          <w:tcPr>
            <w:tcW w:w="0" w:type="auto"/>
            <w:shd w:val="clear" w:color="auto" w:fill="FFFFFF"/>
            <w:vAlign w:val="bottom"/>
            <w:hideMark/>
          </w:tcPr>
          <w:p w14:paraId="7786E397" w14:textId="77777777" w:rsidR="00236301" w:rsidRDefault="00265296">
            <w:pPr>
              <w:pStyle w:val="NormalWeb"/>
              <w:jc w:val="right"/>
            </w:pPr>
            <w:r>
              <w:rPr>
                <w:sz w:val="20"/>
                <w:szCs w:val="20"/>
              </w:rPr>
              <w:t>-------------</w:t>
            </w:r>
          </w:p>
        </w:tc>
        <w:tc>
          <w:tcPr>
            <w:tcW w:w="0" w:type="auto"/>
            <w:shd w:val="clear" w:color="auto" w:fill="FFFFFF"/>
            <w:vAlign w:val="bottom"/>
            <w:hideMark/>
          </w:tcPr>
          <w:p w14:paraId="0CD61211" w14:textId="77777777" w:rsidR="00236301" w:rsidRDefault="00265296">
            <w:pPr>
              <w:pStyle w:val="NormalWeb"/>
              <w:jc w:val="right"/>
            </w:pPr>
            <w:r>
              <w:rPr>
                <w:sz w:val="20"/>
                <w:szCs w:val="20"/>
              </w:rPr>
              <w:t>-------------</w:t>
            </w:r>
          </w:p>
        </w:tc>
      </w:tr>
      <w:tr w:rsidR="00236301" w14:paraId="09192DC0" w14:textId="77777777" w:rsidTr="00D56C13">
        <w:trPr>
          <w:divId w:val="1244484769"/>
          <w:tblCellSpacing w:w="0" w:type="dxa"/>
        </w:trPr>
        <w:tc>
          <w:tcPr>
            <w:tcW w:w="0" w:type="auto"/>
            <w:shd w:val="clear" w:color="auto" w:fill="CCEEFF"/>
            <w:vAlign w:val="bottom"/>
            <w:hideMark/>
          </w:tcPr>
          <w:p w14:paraId="41E34C45" w14:textId="77777777" w:rsidR="00236301" w:rsidRDefault="00265296">
            <w:pPr>
              <w:pStyle w:val="NormalWeb"/>
            </w:pPr>
            <w:r>
              <w:rPr>
                <w:b/>
                <w:bCs/>
                <w:sz w:val="20"/>
                <w:szCs w:val="20"/>
              </w:rPr>
              <w:t> </w:t>
            </w:r>
          </w:p>
        </w:tc>
        <w:tc>
          <w:tcPr>
            <w:tcW w:w="0" w:type="auto"/>
            <w:shd w:val="clear" w:color="auto" w:fill="CCEEFF"/>
            <w:vAlign w:val="bottom"/>
            <w:hideMark/>
          </w:tcPr>
          <w:p w14:paraId="47F1C590" w14:textId="77777777" w:rsidR="00236301" w:rsidRDefault="00265296">
            <w:pPr>
              <w:rPr>
                <w:rFonts w:eastAsia="Times New Roman"/>
              </w:rPr>
            </w:pPr>
            <w:r>
              <w:rPr>
                <w:rFonts w:eastAsia="Times New Roman"/>
                <w:b/>
                <w:bCs/>
              </w:rPr>
              <w:t> </w:t>
            </w:r>
          </w:p>
        </w:tc>
        <w:tc>
          <w:tcPr>
            <w:tcW w:w="0" w:type="auto"/>
            <w:shd w:val="clear" w:color="auto" w:fill="CCEEFF"/>
            <w:vAlign w:val="bottom"/>
            <w:hideMark/>
          </w:tcPr>
          <w:p w14:paraId="2134FEA1" w14:textId="77777777" w:rsidR="00236301" w:rsidRDefault="00265296">
            <w:pPr>
              <w:rPr>
                <w:rFonts w:eastAsia="Times New Roman"/>
              </w:rPr>
            </w:pPr>
            <w:r>
              <w:rPr>
                <w:rFonts w:eastAsia="Times New Roman"/>
                <w:b/>
                <w:bCs/>
              </w:rPr>
              <w:t> </w:t>
            </w:r>
          </w:p>
        </w:tc>
      </w:tr>
      <w:tr w:rsidR="00236301" w14:paraId="5F82FBC3" w14:textId="77777777" w:rsidTr="00D56C13">
        <w:trPr>
          <w:divId w:val="1244484769"/>
          <w:tblCellSpacing w:w="0" w:type="dxa"/>
        </w:trPr>
        <w:tc>
          <w:tcPr>
            <w:tcW w:w="0" w:type="auto"/>
            <w:shd w:val="clear" w:color="auto" w:fill="FFFFFF"/>
            <w:vAlign w:val="bottom"/>
            <w:hideMark/>
          </w:tcPr>
          <w:p w14:paraId="25FCC843" w14:textId="77777777" w:rsidR="00236301" w:rsidRDefault="00265296">
            <w:pPr>
              <w:pStyle w:val="NormalWeb"/>
            </w:pPr>
            <w:r>
              <w:rPr>
                <w:sz w:val="20"/>
                <w:szCs w:val="20"/>
              </w:rPr>
              <w:t xml:space="preserve">Cash flow from financing activities:   </w:t>
            </w:r>
          </w:p>
        </w:tc>
        <w:tc>
          <w:tcPr>
            <w:tcW w:w="0" w:type="auto"/>
            <w:shd w:val="clear" w:color="auto" w:fill="FFFFFF"/>
            <w:vAlign w:val="bottom"/>
            <w:hideMark/>
          </w:tcPr>
          <w:p w14:paraId="6D9B7DF1" w14:textId="77777777" w:rsidR="00236301" w:rsidRDefault="00265296">
            <w:pPr>
              <w:rPr>
                <w:rFonts w:eastAsia="Times New Roman"/>
              </w:rPr>
            </w:pPr>
            <w:r>
              <w:rPr>
                <w:rFonts w:eastAsia="Times New Roman"/>
                <w:b/>
                <w:bCs/>
              </w:rPr>
              <w:t> </w:t>
            </w:r>
          </w:p>
        </w:tc>
        <w:tc>
          <w:tcPr>
            <w:tcW w:w="0" w:type="auto"/>
            <w:shd w:val="clear" w:color="auto" w:fill="FFFFFF"/>
            <w:vAlign w:val="bottom"/>
            <w:hideMark/>
          </w:tcPr>
          <w:p w14:paraId="013B6AF5" w14:textId="77777777" w:rsidR="00236301" w:rsidRDefault="00265296">
            <w:pPr>
              <w:rPr>
                <w:rFonts w:eastAsia="Times New Roman"/>
              </w:rPr>
            </w:pPr>
            <w:r>
              <w:rPr>
                <w:rFonts w:eastAsia="Times New Roman"/>
                <w:b/>
                <w:bCs/>
              </w:rPr>
              <w:t> </w:t>
            </w:r>
          </w:p>
        </w:tc>
      </w:tr>
      <w:tr w:rsidR="00236301" w14:paraId="4C7DC4A9" w14:textId="77777777" w:rsidTr="00D56C13">
        <w:trPr>
          <w:divId w:val="1244484769"/>
          <w:tblCellSpacing w:w="0" w:type="dxa"/>
        </w:trPr>
        <w:tc>
          <w:tcPr>
            <w:tcW w:w="0" w:type="auto"/>
            <w:shd w:val="clear" w:color="auto" w:fill="CCEEFF"/>
            <w:vAlign w:val="bottom"/>
            <w:hideMark/>
          </w:tcPr>
          <w:p w14:paraId="3F0161F9" w14:textId="77777777" w:rsidR="00236301" w:rsidRDefault="00265296">
            <w:pPr>
              <w:pStyle w:val="NormalWeb"/>
            </w:pPr>
            <w:r>
              <w:rPr>
                <w:sz w:val="20"/>
                <w:szCs w:val="20"/>
              </w:rPr>
              <w:t>Proceeds from:     </w:t>
            </w:r>
          </w:p>
        </w:tc>
        <w:tc>
          <w:tcPr>
            <w:tcW w:w="0" w:type="auto"/>
            <w:shd w:val="clear" w:color="auto" w:fill="CCEEFF"/>
            <w:vAlign w:val="bottom"/>
            <w:hideMark/>
          </w:tcPr>
          <w:p w14:paraId="3318759C" w14:textId="77777777" w:rsidR="00236301" w:rsidRDefault="00265296">
            <w:pPr>
              <w:rPr>
                <w:rFonts w:eastAsia="Times New Roman"/>
              </w:rPr>
            </w:pPr>
            <w:r>
              <w:rPr>
                <w:rFonts w:eastAsia="Times New Roman"/>
                <w:b/>
                <w:bCs/>
              </w:rPr>
              <w:t> </w:t>
            </w:r>
          </w:p>
        </w:tc>
        <w:tc>
          <w:tcPr>
            <w:tcW w:w="0" w:type="auto"/>
            <w:shd w:val="clear" w:color="auto" w:fill="CCEEFF"/>
            <w:vAlign w:val="bottom"/>
            <w:hideMark/>
          </w:tcPr>
          <w:p w14:paraId="4C64A794" w14:textId="77777777" w:rsidR="00236301" w:rsidRDefault="00265296">
            <w:pPr>
              <w:rPr>
                <w:rFonts w:eastAsia="Times New Roman"/>
              </w:rPr>
            </w:pPr>
            <w:r>
              <w:rPr>
                <w:rFonts w:eastAsia="Times New Roman"/>
                <w:b/>
                <w:bCs/>
              </w:rPr>
              <w:t> </w:t>
            </w:r>
          </w:p>
        </w:tc>
      </w:tr>
      <w:tr w:rsidR="00236301" w14:paraId="0C1A3C2C" w14:textId="77777777" w:rsidTr="00D56C13">
        <w:trPr>
          <w:divId w:val="1244484769"/>
          <w:tblCellSpacing w:w="0" w:type="dxa"/>
        </w:trPr>
        <w:tc>
          <w:tcPr>
            <w:tcW w:w="0" w:type="auto"/>
            <w:shd w:val="clear" w:color="auto" w:fill="FFFFFF"/>
            <w:vAlign w:val="bottom"/>
            <w:hideMark/>
          </w:tcPr>
          <w:p w14:paraId="0FEE76D1" w14:textId="77777777" w:rsidR="00236301" w:rsidRDefault="00265296">
            <w:pPr>
              <w:pStyle w:val="NormalWeb"/>
            </w:pPr>
            <w:r>
              <w:rPr>
                <w:sz w:val="20"/>
                <w:szCs w:val="20"/>
              </w:rPr>
              <w:t>    Borrowing from officer-directors     </w:t>
            </w:r>
          </w:p>
        </w:tc>
        <w:tc>
          <w:tcPr>
            <w:tcW w:w="0" w:type="auto"/>
            <w:shd w:val="clear" w:color="auto" w:fill="FFFFFF"/>
            <w:vAlign w:val="bottom"/>
            <w:hideMark/>
          </w:tcPr>
          <w:p w14:paraId="4A50E739" w14:textId="77777777" w:rsidR="00236301" w:rsidRDefault="00265296">
            <w:pPr>
              <w:pStyle w:val="NormalWeb"/>
              <w:jc w:val="right"/>
            </w:pPr>
            <w:r>
              <w:rPr>
                <w:sz w:val="20"/>
                <w:szCs w:val="20"/>
              </w:rPr>
              <w:t>17,264</w:t>
            </w:r>
          </w:p>
        </w:tc>
        <w:tc>
          <w:tcPr>
            <w:tcW w:w="0" w:type="auto"/>
            <w:shd w:val="clear" w:color="auto" w:fill="FFFFFF"/>
            <w:vAlign w:val="bottom"/>
            <w:hideMark/>
          </w:tcPr>
          <w:p w14:paraId="1CC3517F" w14:textId="77777777" w:rsidR="00236301" w:rsidRDefault="00265296">
            <w:pPr>
              <w:pStyle w:val="NormalWeb"/>
              <w:jc w:val="right"/>
            </w:pPr>
            <w:r>
              <w:rPr>
                <w:sz w:val="20"/>
                <w:szCs w:val="20"/>
              </w:rPr>
              <w:t>4,739</w:t>
            </w:r>
          </w:p>
        </w:tc>
      </w:tr>
      <w:tr w:rsidR="00236301" w14:paraId="64223541" w14:textId="77777777" w:rsidTr="00D56C13">
        <w:trPr>
          <w:divId w:val="1244484769"/>
          <w:tblCellSpacing w:w="0" w:type="dxa"/>
        </w:trPr>
        <w:tc>
          <w:tcPr>
            <w:tcW w:w="0" w:type="auto"/>
            <w:shd w:val="clear" w:color="auto" w:fill="CCEEFF"/>
            <w:vAlign w:val="bottom"/>
            <w:hideMark/>
          </w:tcPr>
          <w:p w14:paraId="65831EF3" w14:textId="2416AEEE" w:rsidR="00236301" w:rsidRDefault="008C730C" w:rsidP="008C730C">
            <w:pPr>
              <w:pStyle w:val="NormalWeb"/>
            </w:pPr>
            <w:r>
              <w:rPr>
                <w:sz w:val="20"/>
                <w:szCs w:val="20"/>
              </w:rPr>
              <w:t xml:space="preserve">     Long Term Debt</w:t>
            </w:r>
          </w:p>
        </w:tc>
        <w:tc>
          <w:tcPr>
            <w:tcW w:w="0" w:type="auto"/>
            <w:shd w:val="clear" w:color="auto" w:fill="CCEEFF"/>
            <w:vAlign w:val="bottom"/>
            <w:hideMark/>
          </w:tcPr>
          <w:p w14:paraId="72474E9B" w14:textId="1541B129" w:rsidR="00236301" w:rsidRDefault="00ED45AB">
            <w:pPr>
              <w:pStyle w:val="NormalWeb"/>
              <w:jc w:val="right"/>
            </w:pPr>
            <w:r>
              <w:rPr>
                <w:sz w:val="20"/>
                <w:szCs w:val="20"/>
              </w:rPr>
              <w:t>-</w:t>
            </w:r>
          </w:p>
        </w:tc>
        <w:tc>
          <w:tcPr>
            <w:tcW w:w="0" w:type="auto"/>
            <w:shd w:val="clear" w:color="auto" w:fill="CCEEFF"/>
            <w:vAlign w:val="bottom"/>
            <w:hideMark/>
          </w:tcPr>
          <w:p w14:paraId="349F7397" w14:textId="77777777" w:rsidR="00236301" w:rsidRDefault="00265296">
            <w:pPr>
              <w:pStyle w:val="NormalWeb"/>
              <w:jc w:val="right"/>
            </w:pPr>
            <w:r>
              <w:rPr>
                <w:sz w:val="20"/>
                <w:szCs w:val="20"/>
              </w:rPr>
              <w:t>543</w:t>
            </w:r>
          </w:p>
        </w:tc>
      </w:tr>
      <w:tr w:rsidR="00236301" w14:paraId="1BAEE7C4" w14:textId="77777777" w:rsidTr="00D56C13">
        <w:trPr>
          <w:divId w:val="1244484769"/>
          <w:tblCellSpacing w:w="0" w:type="dxa"/>
        </w:trPr>
        <w:tc>
          <w:tcPr>
            <w:tcW w:w="0" w:type="auto"/>
            <w:shd w:val="clear" w:color="auto" w:fill="FFFFFF"/>
            <w:vAlign w:val="bottom"/>
            <w:hideMark/>
          </w:tcPr>
          <w:p w14:paraId="0F61F0CF" w14:textId="77777777" w:rsidR="00236301" w:rsidRDefault="00265296">
            <w:pPr>
              <w:pStyle w:val="NormalWeb"/>
            </w:pPr>
            <w:r>
              <w:rPr>
                <w:sz w:val="20"/>
                <w:szCs w:val="20"/>
              </w:rPr>
              <w:t>Proceeds used for:</w:t>
            </w:r>
          </w:p>
        </w:tc>
        <w:tc>
          <w:tcPr>
            <w:tcW w:w="0" w:type="auto"/>
            <w:shd w:val="clear" w:color="auto" w:fill="FFFFFF"/>
            <w:vAlign w:val="bottom"/>
            <w:hideMark/>
          </w:tcPr>
          <w:p w14:paraId="3B5FE1C8" w14:textId="77777777" w:rsidR="00236301" w:rsidRDefault="00265296">
            <w:pPr>
              <w:rPr>
                <w:rFonts w:eastAsia="Times New Roman"/>
              </w:rPr>
            </w:pPr>
            <w:r>
              <w:rPr>
                <w:rFonts w:eastAsia="Times New Roman"/>
              </w:rPr>
              <w:t> </w:t>
            </w:r>
          </w:p>
        </w:tc>
        <w:tc>
          <w:tcPr>
            <w:tcW w:w="0" w:type="auto"/>
            <w:shd w:val="clear" w:color="auto" w:fill="FFFFFF"/>
            <w:vAlign w:val="bottom"/>
            <w:hideMark/>
          </w:tcPr>
          <w:p w14:paraId="6865926A" w14:textId="77777777" w:rsidR="00236301" w:rsidRDefault="00265296">
            <w:pPr>
              <w:rPr>
                <w:rFonts w:eastAsia="Times New Roman"/>
              </w:rPr>
            </w:pPr>
            <w:r>
              <w:rPr>
                <w:rFonts w:eastAsia="Times New Roman"/>
              </w:rPr>
              <w:t> </w:t>
            </w:r>
          </w:p>
        </w:tc>
      </w:tr>
      <w:tr w:rsidR="00236301" w14:paraId="67A94314" w14:textId="77777777" w:rsidTr="00D56C13">
        <w:trPr>
          <w:divId w:val="1244484769"/>
          <w:tblCellSpacing w:w="0" w:type="dxa"/>
        </w:trPr>
        <w:tc>
          <w:tcPr>
            <w:tcW w:w="0" w:type="auto"/>
            <w:shd w:val="clear" w:color="auto" w:fill="CCEEFF"/>
            <w:vAlign w:val="bottom"/>
            <w:hideMark/>
          </w:tcPr>
          <w:p w14:paraId="1FFE1C54" w14:textId="14363D6D" w:rsidR="00236301" w:rsidRDefault="008C730C" w:rsidP="008C730C">
            <w:pPr>
              <w:pStyle w:val="NormalWeb"/>
            </w:pPr>
            <w:r>
              <w:rPr>
                <w:sz w:val="20"/>
                <w:szCs w:val="20"/>
              </w:rPr>
              <w:t xml:space="preserve">    </w:t>
            </w:r>
            <w:r w:rsidR="00265296">
              <w:rPr>
                <w:sz w:val="20"/>
                <w:szCs w:val="20"/>
              </w:rPr>
              <w:t>Long Term Debt</w:t>
            </w:r>
          </w:p>
        </w:tc>
        <w:tc>
          <w:tcPr>
            <w:tcW w:w="0" w:type="auto"/>
            <w:shd w:val="clear" w:color="auto" w:fill="CCEEFF"/>
            <w:vAlign w:val="bottom"/>
            <w:hideMark/>
          </w:tcPr>
          <w:p w14:paraId="729178FC" w14:textId="6D2E4078" w:rsidR="00236301" w:rsidRDefault="00265296" w:rsidP="000F232D">
            <w:pPr>
              <w:pStyle w:val="NormalWeb"/>
              <w:jc w:val="right"/>
            </w:pPr>
            <w:r>
              <w:rPr>
                <w:sz w:val="20"/>
                <w:szCs w:val="20"/>
              </w:rPr>
              <w:t>(</w:t>
            </w:r>
            <w:r w:rsidR="000F232D">
              <w:rPr>
                <w:sz w:val="20"/>
                <w:szCs w:val="20"/>
              </w:rPr>
              <w:t>24,963</w:t>
            </w:r>
            <w:r>
              <w:rPr>
                <w:sz w:val="20"/>
                <w:szCs w:val="20"/>
              </w:rPr>
              <w:t>)</w:t>
            </w:r>
          </w:p>
        </w:tc>
        <w:tc>
          <w:tcPr>
            <w:tcW w:w="0" w:type="auto"/>
            <w:shd w:val="clear" w:color="auto" w:fill="CCEEFF"/>
            <w:vAlign w:val="bottom"/>
            <w:hideMark/>
          </w:tcPr>
          <w:p w14:paraId="51DB5DC6" w14:textId="77777777" w:rsidR="00236301" w:rsidRDefault="00265296">
            <w:pPr>
              <w:pStyle w:val="NormalWeb"/>
              <w:jc w:val="right"/>
            </w:pPr>
            <w:r>
              <w:rPr>
                <w:sz w:val="20"/>
                <w:szCs w:val="20"/>
              </w:rPr>
              <w:t>(64,794)</w:t>
            </w:r>
          </w:p>
        </w:tc>
      </w:tr>
      <w:tr w:rsidR="00236301" w14:paraId="095BA2F8" w14:textId="77777777" w:rsidTr="00D56C13">
        <w:trPr>
          <w:divId w:val="1244484769"/>
          <w:tblCellSpacing w:w="0" w:type="dxa"/>
        </w:trPr>
        <w:tc>
          <w:tcPr>
            <w:tcW w:w="0" w:type="auto"/>
            <w:shd w:val="clear" w:color="auto" w:fill="FFFFFF"/>
            <w:vAlign w:val="bottom"/>
            <w:hideMark/>
          </w:tcPr>
          <w:p w14:paraId="637F4169" w14:textId="226C36EE" w:rsidR="00236301" w:rsidRDefault="00236301">
            <w:pPr>
              <w:rPr>
                <w:rFonts w:eastAsia="Times New Roman"/>
              </w:rPr>
            </w:pPr>
          </w:p>
        </w:tc>
        <w:tc>
          <w:tcPr>
            <w:tcW w:w="0" w:type="auto"/>
            <w:shd w:val="clear" w:color="auto" w:fill="FFFFFF"/>
            <w:vAlign w:val="bottom"/>
            <w:hideMark/>
          </w:tcPr>
          <w:p w14:paraId="23FD4F9C" w14:textId="77777777" w:rsidR="00236301" w:rsidRDefault="00265296">
            <w:pPr>
              <w:pStyle w:val="NormalWeb"/>
              <w:jc w:val="right"/>
            </w:pPr>
            <w:r>
              <w:rPr>
                <w:sz w:val="20"/>
                <w:szCs w:val="20"/>
              </w:rPr>
              <w:t>-------------</w:t>
            </w:r>
          </w:p>
        </w:tc>
        <w:tc>
          <w:tcPr>
            <w:tcW w:w="0" w:type="auto"/>
            <w:shd w:val="clear" w:color="auto" w:fill="FFFFFF"/>
            <w:vAlign w:val="bottom"/>
            <w:hideMark/>
          </w:tcPr>
          <w:p w14:paraId="47E3CDD1" w14:textId="77777777" w:rsidR="00236301" w:rsidRDefault="00265296">
            <w:pPr>
              <w:pStyle w:val="NormalWeb"/>
              <w:jc w:val="right"/>
            </w:pPr>
            <w:r>
              <w:rPr>
                <w:sz w:val="20"/>
                <w:szCs w:val="20"/>
              </w:rPr>
              <w:t>-------------</w:t>
            </w:r>
          </w:p>
        </w:tc>
      </w:tr>
      <w:tr w:rsidR="00236301" w14:paraId="5EDC7DDB" w14:textId="77777777" w:rsidTr="00D56C13">
        <w:trPr>
          <w:divId w:val="1244484769"/>
          <w:tblCellSpacing w:w="0" w:type="dxa"/>
        </w:trPr>
        <w:tc>
          <w:tcPr>
            <w:tcW w:w="0" w:type="auto"/>
            <w:shd w:val="clear" w:color="auto" w:fill="CCEEFF"/>
            <w:vAlign w:val="bottom"/>
            <w:hideMark/>
          </w:tcPr>
          <w:p w14:paraId="1B87C7FB" w14:textId="77777777" w:rsidR="00236301" w:rsidRDefault="00265296">
            <w:pPr>
              <w:pStyle w:val="NormalWeb"/>
            </w:pPr>
            <w:r>
              <w:rPr>
                <w:sz w:val="20"/>
                <w:szCs w:val="20"/>
              </w:rPr>
              <w:t xml:space="preserve">     Net cash provided by financing activities </w:t>
            </w:r>
          </w:p>
        </w:tc>
        <w:tc>
          <w:tcPr>
            <w:tcW w:w="0" w:type="auto"/>
            <w:shd w:val="clear" w:color="auto" w:fill="CCEEFF"/>
            <w:vAlign w:val="bottom"/>
            <w:hideMark/>
          </w:tcPr>
          <w:p w14:paraId="430FB164" w14:textId="2C83FB57" w:rsidR="00236301" w:rsidRDefault="00265296" w:rsidP="00D0157F">
            <w:pPr>
              <w:pStyle w:val="NormalWeb"/>
              <w:jc w:val="right"/>
            </w:pPr>
            <w:r>
              <w:rPr>
                <w:sz w:val="20"/>
                <w:szCs w:val="20"/>
              </w:rPr>
              <w:t>(</w:t>
            </w:r>
            <w:r w:rsidR="00D0157F">
              <w:rPr>
                <w:sz w:val="20"/>
                <w:szCs w:val="20"/>
              </w:rPr>
              <w:t>7,699</w:t>
            </w:r>
            <w:r>
              <w:rPr>
                <w:sz w:val="20"/>
                <w:szCs w:val="20"/>
              </w:rPr>
              <w:t>)</w:t>
            </w:r>
          </w:p>
        </w:tc>
        <w:tc>
          <w:tcPr>
            <w:tcW w:w="0" w:type="auto"/>
            <w:shd w:val="clear" w:color="auto" w:fill="CCEEFF"/>
            <w:vAlign w:val="bottom"/>
            <w:hideMark/>
          </w:tcPr>
          <w:p w14:paraId="4C150E90" w14:textId="5E4DF8E4" w:rsidR="00236301" w:rsidRDefault="00265296" w:rsidP="00D0157F">
            <w:pPr>
              <w:pStyle w:val="NormalWeb"/>
              <w:jc w:val="right"/>
            </w:pPr>
            <w:r>
              <w:rPr>
                <w:sz w:val="20"/>
                <w:szCs w:val="20"/>
              </w:rPr>
              <w:t>(</w:t>
            </w:r>
            <w:r w:rsidR="00D0157F">
              <w:rPr>
                <w:sz w:val="20"/>
                <w:szCs w:val="20"/>
              </w:rPr>
              <w:t>60,055</w:t>
            </w:r>
            <w:r>
              <w:rPr>
                <w:sz w:val="20"/>
                <w:szCs w:val="20"/>
              </w:rPr>
              <w:t>)</w:t>
            </w:r>
          </w:p>
        </w:tc>
      </w:tr>
      <w:tr w:rsidR="000F232D" w14:paraId="5F21388A" w14:textId="77777777" w:rsidTr="00D56C13">
        <w:trPr>
          <w:divId w:val="1244484769"/>
          <w:tblCellSpacing w:w="0" w:type="dxa"/>
        </w:trPr>
        <w:tc>
          <w:tcPr>
            <w:tcW w:w="0" w:type="auto"/>
            <w:shd w:val="clear" w:color="auto" w:fill="FFFFFF"/>
            <w:vAlign w:val="bottom"/>
            <w:hideMark/>
          </w:tcPr>
          <w:p w14:paraId="4BD528B4" w14:textId="6CA4CCA9" w:rsidR="000F232D" w:rsidRDefault="000F232D" w:rsidP="000F232D">
            <w:pPr>
              <w:pStyle w:val="NormalWeb"/>
            </w:pPr>
            <w:r>
              <w:rPr>
                <w:sz w:val="20"/>
                <w:szCs w:val="20"/>
              </w:rPr>
              <w:lastRenderedPageBreak/>
              <w:t xml:space="preserve">Change due to FX </w:t>
            </w:r>
            <w:r w:rsidR="00A36F86">
              <w:rPr>
                <w:sz w:val="20"/>
                <w:szCs w:val="20"/>
              </w:rPr>
              <w:t>Translation</w:t>
            </w:r>
          </w:p>
        </w:tc>
        <w:tc>
          <w:tcPr>
            <w:tcW w:w="0" w:type="auto"/>
            <w:shd w:val="clear" w:color="auto" w:fill="FFFFFF"/>
            <w:vAlign w:val="bottom"/>
            <w:hideMark/>
          </w:tcPr>
          <w:p w14:paraId="4B875BAE" w14:textId="77777777" w:rsidR="000F232D" w:rsidRDefault="000F232D" w:rsidP="007E57A4">
            <w:pPr>
              <w:jc w:val="right"/>
              <w:rPr>
                <w:rFonts w:eastAsia="Times New Roman"/>
              </w:rPr>
            </w:pPr>
            <w:r>
              <w:rPr>
                <w:sz w:val="20"/>
                <w:szCs w:val="20"/>
              </w:rPr>
              <w:t>(3,093)</w:t>
            </w:r>
          </w:p>
        </w:tc>
        <w:tc>
          <w:tcPr>
            <w:tcW w:w="0" w:type="auto"/>
            <w:shd w:val="clear" w:color="auto" w:fill="FFFFFF"/>
            <w:vAlign w:val="bottom"/>
            <w:hideMark/>
          </w:tcPr>
          <w:p w14:paraId="22D4F755" w14:textId="1E0225AB" w:rsidR="000F232D" w:rsidRPr="00B01AB8" w:rsidRDefault="00B478AF" w:rsidP="00B01AB8">
            <w:pPr>
              <w:jc w:val="right"/>
              <w:rPr>
                <w:rFonts w:eastAsia="Times New Roman"/>
                <w:sz w:val="20"/>
                <w:szCs w:val="20"/>
              </w:rPr>
            </w:pPr>
            <w:r>
              <w:rPr>
                <w:rFonts w:eastAsia="Times New Roman"/>
              </w:rPr>
              <w:t xml:space="preserve">                </w:t>
            </w:r>
            <w:r w:rsidRPr="00B01AB8">
              <w:rPr>
                <w:rFonts w:eastAsia="Times New Roman"/>
                <w:sz w:val="20"/>
                <w:szCs w:val="20"/>
              </w:rPr>
              <w:t>25,136</w:t>
            </w:r>
          </w:p>
        </w:tc>
      </w:tr>
      <w:tr w:rsidR="000F232D" w14:paraId="524E61EF" w14:textId="77777777" w:rsidTr="00D56C13">
        <w:trPr>
          <w:divId w:val="1244484769"/>
          <w:tblCellSpacing w:w="0" w:type="dxa"/>
        </w:trPr>
        <w:tc>
          <w:tcPr>
            <w:tcW w:w="0" w:type="auto"/>
            <w:shd w:val="clear" w:color="auto" w:fill="CCEEFF"/>
            <w:vAlign w:val="bottom"/>
            <w:hideMark/>
          </w:tcPr>
          <w:p w14:paraId="1882FCF9" w14:textId="52AD06E3" w:rsidR="000F232D" w:rsidRDefault="000F232D" w:rsidP="00491274">
            <w:pPr>
              <w:pStyle w:val="NormalWeb"/>
            </w:pPr>
            <w:r>
              <w:rPr>
                <w:sz w:val="20"/>
                <w:szCs w:val="20"/>
              </w:rPr>
              <w:t>      </w:t>
            </w:r>
            <w:r>
              <w:rPr>
                <w:b/>
                <w:bCs/>
                <w:sz w:val="20"/>
                <w:szCs w:val="20"/>
              </w:rPr>
              <w:t xml:space="preserve">NET DECREASE IN CASH   </w:t>
            </w:r>
          </w:p>
        </w:tc>
        <w:tc>
          <w:tcPr>
            <w:tcW w:w="0" w:type="auto"/>
            <w:shd w:val="clear" w:color="auto" w:fill="CCEEFF"/>
            <w:vAlign w:val="bottom"/>
            <w:hideMark/>
          </w:tcPr>
          <w:p w14:paraId="742F9314" w14:textId="77777777" w:rsidR="000F232D" w:rsidRDefault="000F232D" w:rsidP="000F232D">
            <w:pPr>
              <w:pStyle w:val="NormalWeb"/>
              <w:jc w:val="right"/>
            </w:pPr>
            <w:r>
              <w:rPr>
                <w:b/>
                <w:bCs/>
                <w:sz w:val="20"/>
                <w:szCs w:val="20"/>
              </w:rPr>
              <w:t>(22,090)</w:t>
            </w:r>
          </w:p>
        </w:tc>
        <w:tc>
          <w:tcPr>
            <w:tcW w:w="0" w:type="auto"/>
            <w:shd w:val="clear" w:color="auto" w:fill="CCEEFF"/>
            <w:vAlign w:val="bottom"/>
            <w:hideMark/>
          </w:tcPr>
          <w:p w14:paraId="602A5010" w14:textId="77777777" w:rsidR="000F232D" w:rsidRDefault="000F232D" w:rsidP="000F232D">
            <w:pPr>
              <w:pStyle w:val="NormalWeb"/>
              <w:jc w:val="right"/>
            </w:pPr>
            <w:r>
              <w:rPr>
                <w:b/>
                <w:bCs/>
                <w:sz w:val="20"/>
                <w:szCs w:val="20"/>
              </w:rPr>
              <w:t>(32,565)</w:t>
            </w:r>
          </w:p>
        </w:tc>
      </w:tr>
      <w:tr w:rsidR="000F232D" w14:paraId="15FCCD13" w14:textId="77777777" w:rsidTr="00D56C13">
        <w:trPr>
          <w:divId w:val="1244484769"/>
          <w:tblCellSpacing w:w="0" w:type="dxa"/>
        </w:trPr>
        <w:tc>
          <w:tcPr>
            <w:tcW w:w="0" w:type="auto"/>
            <w:shd w:val="clear" w:color="auto" w:fill="FFFFFF"/>
            <w:vAlign w:val="bottom"/>
            <w:hideMark/>
          </w:tcPr>
          <w:p w14:paraId="240FEBC9" w14:textId="77777777" w:rsidR="000F232D" w:rsidRDefault="000F232D" w:rsidP="000F232D">
            <w:pPr>
              <w:rPr>
                <w:rFonts w:eastAsia="Times New Roman"/>
              </w:rPr>
            </w:pPr>
            <w:r>
              <w:rPr>
                <w:rFonts w:eastAsia="Times New Roman"/>
              </w:rPr>
              <w:t> </w:t>
            </w:r>
          </w:p>
        </w:tc>
        <w:tc>
          <w:tcPr>
            <w:tcW w:w="0" w:type="auto"/>
            <w:shd w:val="clear" w:color="auto" w:fill="FFFFFF"/>
            <w:vAlign w:val="bottom"/>
            <w:hideMark/>
          </w:tcPr>
          <w:p w14:paraId="11D54F52" w14:textId="77777777" w:rsidR="000F232D" w:rsidRDefault="000F232D" w:rsidP="000F232D">
            <w:pPr>
              <w:rPr>
                <w:rFonts w:eastAsia="Times New Roman"/>
              </w:rPr>
            </w:pPr>
            <w:r>
              <w:rPr>
                <w:rFonts w:eastAsia="Times New Roman"/>
              </w:rPr>
              <w:t> </w:t>
            </w:r>
          </w:p>
        </w:tc>
        <w:tc>
          <w:tcPr>
            <w:tcW w:w="0" w:type="auto"/>
            <w:shd w:val="clear" w:color="auto" w:fill="FFFFFF"/>
            <w:vAlign w:val="bottom"/>
            <w:hideMark/>
          </w:tcPr>
          <w:p w14:paraId="3F50B356" w14:textId="77777777" w:rsidR="000F232D" w:rsidRDefault="000F232D" w:rsidP="000F232D">
            <w:pPr>
              <w:rPr>
                <w:rFonts w:eastAsia="Times New Roman"/>
              </w:rPr>
            </w:pPr>
            <w:r>
              <w:rPr>
                <w:rFonts w:eastAsia="Times New Roman"/>
              </w:rPr>
              <w:t> </w:t>
            </w:r>
          </w:p>
        </w:tc>
      </w:tr>
      <w:tr w:rsidR="000F232D" w14:paraId="6719CB1F" w14:textId="77777777" w:rsidTr="00D56C13">
        <w:trPr>
          <w:divId w:val="1244484769"/>
          <w:tblCellSpacing w:w="0" w:type="dxa"/>
        </w:trPr>
        <w:tc>
          <w:tcPr>
            <w:tcW w:w="0" w:type="auto"/>
            <w:shd w:val="clear" w:color="auto" w:fill="CCEEFF"/>
            <w:vAlign w:val="bottom"/>
            <w:hideMark/>
          </w:tcPr>
          <w:p w14:paraId="1E541BC9" w14:textId="77777777" w:rsidR="000F232D" w:rsidRDefault="000F232D" w:rsidP="000F232D">
            <w:pPr>
              <w:pStyle w:val="NormalWeb"/>
            </w:pPr>
            <w:r>
              <w:rPr>
                <w:sz w:val="20"/>
                <w:szCs w:val="20"/>
              </w:rPr>
              <w:t xml:space="preserve">Cash at beginning of year    </w:t>
            </w:r>
          </w:p>
        </w:tc>
        <w:tc>
          <w:tcPr>
            <w:tcW w:w="0" w:type="auto"/>
            <w:shd w:val="clear" w:color="auto" w:fill="CCEEFF"/>
            <w:vAlign w:val="bottom"/>
            <w:hideMark/>
          </w:tcPr>
          <w:p w14:paraId="1BBAA53F" w14:textId="77777777" w:rsidR="000F232D" w:rsidRDefault="000F232D" w:rsidP="000F232D">
            <w:pPr>
              <w:pStyle w:val="NormalWeb"/>
              <w:jc w:val="right"/>
            </w:pPr>
            <w:r>
              <w:rPr>
                <w:sz w:val="20"/>
                <w:szCs w:val="20"/>
              </w:rPr>
              <w:t>$ 68,260</w:t>
            </w:r>
          </w:p>
        </w:tc>
        <w:tc>
          <w:tcPr>
            <w:tcW w:w="0" w:type="auto"/>
            <w:shd w:val="clear" w:color="auto" w:fill="CCEEFF"/>
            <w:vAlign w:val="bottom"/>
            <w:hideMark/>
          </w:tcPr>
          <w:p w14:paraId="62621057" w14:textId="77777777" w:rsidR="000F232D" w:rsidRDefault="000F232D" w:rsidP="000F232D">
            <w:pPr>
              <w:pStyle w:val="NormalWeb"/>
              <w:jc w:val="right"/>
            </w:pPr>
            <w:r>
              <w:rPr>
                <w:sz w:val="20"/>
                <w:szCs w:val="20"/>
              </w:rPr>
              <w:t>$ 100,825</w:t>
            </w:r>
          </w:p>
        </w:tc>
      </w:tr>
      <w:tr w:rsidR="000F232D" w14:paraId="294C855F" w14:textId="77777777" w:rsidTr="00D56C13">
        <w:trPr>
          <w:divId w:val="1244484769"/>
          <w:tblCellSpacing w:w="0" w:type="dxa"/>
        </w:trPr>
        <w:tc>
          <w:tcPr>
            <w:tcW w:w="0" w:type="auto"/>
            <w:shd w:val="clear" w:color="auto" w:fill="FFFFFF"/>
            <w:vAlign w:val="bottom"/>
            <w:hideMark/>
          </w:tcPr>
          <w:p w14:paraId="63924538" w14:textId="77777777" w:rsidR="000F232D" w:rsidRDefault="000F232D" w:rsidP="000F232D">
            <w:pPr>
              <w:pStyle w:val="NormalWeb"/>
            </w:pPr>
            <w:r>
              <w:rPr>
                <w:sz w:val="20"/>
                <w:szCs w:val="20"/>
              </w:rPr>
              <w:t> </w:t>
            </w:r>
          </w:p>
        </w:tc>
        <w:tc>
          <w:tcPr>
            <w:tcW w:w="0" w:type="auto"/>
            <w:shd w:val="clear" w:color="auto" w:fill="FFFFFF"/>
            <w:vAlign w:val="bottom"/>
            <w:hideMark/>
          </w:tcPr>
          <w:p w14:paraId="7D7650D4" w14:textId="77777777" w:rsidR="000F232D" w:rsidRDefault="000F232D" w:rsidP="000F232D">
            <w:pPr>
              <w:pStyle w:val="NormalWeb"/>
              <w:jc w:val="right"/>
            </w:pPr>
            <w:r>
              <w:rPr>
                <w:sz w:val="20"/>
                <w:szCs w:val="20"/>
              </w:rPr>
              <w:t>-------------</w:t>
            </w:r>
          </w:p>
        </w:tc>
        <w:tc>
          <w:tcPr>
            <w:tcW w:w="0" w:type="auto"/>
            <w:shd w:val="clear" w:color="auto" w:fill="FFFFFF"/>
            <w:vAlign w:val="bottom"/>
            <w:hideMark/>
          </w:tcPr>
          <w:p w14:paraId="3F07CCE7" w14:textId="77777777" w:rsidR="000F232D" w:rsidRDefault="000F232D" w:rsidP="000F232D">
            <w:pPr>
              <w:pStyle w:val="NormalWeb"/>
              <w:jc w:val="right"/>
            </w:pPr>
            <w:r>
              <w:rPr>
                <w:sz w:val="20"/>
                <w:szCs w:val="20"/>
              </w:rPr>
              <w:t>-------------</w:t>
            </w:r>
          </w:p>
        </w:tc>
      </w:tr>
      <w:tr w:rsidR="000F232D" w14:paraId="37ED571B" w14:textId="77777777" w:rsidTr="00D56C13">
        <w:trPr>
          <w:divId w:val="1244484769"/>
          <w:tblCellSpacing w:w="0" w:type="dxa"/>
        </w:trPr>
        <w:tc>
          <w:tcPr>
            <w:tcW w:w="0" w:type="auto"/>
            <w:shd w:val="clear" w:color="auto" w:fill="CCEEFF"/>
            <w:vAlign w:val="bottom"/>
            <w:hideMark/>
          </w:tcPr>
          <w:p w14:paraId="77A563FA" w14:textId="77777777" w:rsidR="000F232D" w:rsidRDefault="000F232D" w:rsidP="000F232D">
            <w:pPr>
              <w:pStyle w:val="NormalWeb"/>
            </w:pPr>
            <w:r>
              <w:rPr>
                <w:sz w:val="20"/>
                <w:szCs w:val="20"/>
              </w:rPr>
              <w:t xml:space="preserve">Cash at end of year  </w:t>
            </w:r>
          </w:p>
        </w:tc>
        <w:tc>
          <w:tcPr>
            <w:tcW w:w="0" w:type="auto"/>
            <w:shd w:val="clear" w:color="auto" w:fill="CCEEFF"/>
            <w:vAlign w:val="bottom"/>
            <w:hideMark/>
          </w:tcPr>
          <w:p w14:paraId="1EF95F30" w14:textId="77777777" w:rsidR="000F232D" w:rsidRDefault="000F232D" w:rsidP="000F232D">
            <w:pPr>
              <w:pStyle w:val="NormalWeb"/>
              <w:jc w:val="right"/>
            </w:pPr>
            <w:r>
              <w:rPr>
                <w:sz w:val="20"/>
                <w:szCs w:val="20"/>
              </w:rPr>
              <w:t>$ 46,170</w:t>
            </w:r>
          </w:p>
        </w:tc>
        <w:tc>
          <w:tcPr>
            <w:tcW w:w="0" w:type="auto"/>
            <w:shd w:val="clear" w:color="auto" w:fill="CCEEFF"/>
            <w:vAlign w:val="bottom"/>
            <w:hideMark/>
          </w:tcPr>
          <w:p w14:paraId="5FC58788" w14:textId="77777777" w:rsidR="000F232D" w:rsidRDefault="000F232D" w:rsidP="000F232D">
            <w:pPr>
              <w:pStyle w:val="NormalWeb"/>
              <w:jc w:val="right"/>
            </w:pPr>
            <w:r>
              <w:rPr>
                <w:sz w:val="20"/>
                <w:szCs w:val="20"/>
              </w:rPr>
              <w:t>$ 68,260</w:t>
            </w:r>
          </w:p>
        </w:tc>
      </w:tr>
      <w:tr w:rsidR="000F232D" w14:paraId="630B4B3B" w14:textId="77777777" w:rsidTr="00D56C13">
        <w:trPr>
          <w:divId w:val="1244484769"/>
          <w:tblCellSpacing w:w="0" w:type="dxa"/>
        </w:trPr>
        <w:tc>
          <w:tcPr>
            <w:tcW w:w="0" w:type="auto"/>
            <w:shd w:val="clear" w:color="auto" w:fill="FFFFFF"/>
            <w:vAlign w:val="bottom"/>
            <w:hideMark/>
          </w:tcPr>
          <w:p w14:paraId="27337376" w14:textId="77777777" w:rsidR="000F232D" w:rsidRDefault="000F232D" w:rsidP="000F232D">
            <w:pPr>
              <w:pStyle w:val="NormalWeb"/>
            </w:pPr>
            <w:r>
              <w:rPr>
                <w:sz w:val="20"/>
                <w:szCs w:val="20"/>
              </w:rPr>
              <w:t> </w:t>
            </w:r>
          </w:p>
        </w:tc>
        <w:tc>
          <w:tcPr>
            <w:tcW w:w="0" w:type="auto"/>
            <w:shd w:val="clear" w:color="auto" w:fill="FFFFFF"/>
            <w:vAlign w:val="bottom"/>
            <w:hideMark/>
          </w:tcPr>
          <w:p w14:paraId="7BE148BC" w14:textId="77777777" w:rsidR="000F232D" w:rsidRDefault="000F232D" w:rsidP="000F232D">
            <w:pPr>
              <w:pStyle w:val="NormalWeb"/>
              <w:jc w:val="right"/>
            </w:pPr>
            <w:r>
              <w:rPr>
                <w:sz w:val="20"/>
                <w:szCs w:val="20"/>
              </w:rPr>
              <w:t>=============</w:t>
            </w:r>
          </w:p>
        </w:tc>
        <w:tc>
          <w:tcPr>
            <w:tcW w:w="0" w:type="auto"/>
            <w:shd w:val="clear" w:color="auto" w:fill="FFFFFF"/>
            <w:vAlign w:val="bottom"/>
            <w:hideMark/>
          </w:tcPr>
          <w:p w14:paraId="0CB05075" w14:textId="77777777" w:rsidR="000F232D" w:rsidRDefault="000F232D" w:rsidP="000F232D">
            <w:pPr>
              <w:pStyle w:val="NormalWeb"/>
              <w:jc w:val="right"/>
            </w:pPr>
            <w:r>
              <w:rPr>
                <w:sz w:val="20"/>
                <w:szCs w:val="20"/>
              </w:rPr>
              <w:t>=============</w:t>
            </w:r>
          </w:p>
        </w:tc>
      </w:tr>
      <w:tr w:rsidR="000F232D" w14:paraId="4AB6E9ED" w14:textId="77777777" w:rsidTr="00D56C13">
        <w:trPr>
          <w:divId w:val="1244484769"/>
          <w:tblCellSpacing w:w="0" w:type="dxa"/>
        </w:trPr>
        <w:tc>
          <w:tcPr>
            <w:tcW w:w="0" w:type="auto"/>
            <w:shd w:val="clear" w:color="auto" w:fill="CCEEFF"/>
            <w:vAlign w:val="bottom"/>
            <w:hideMark/>
          </w:tcPr>
          <w:p w14:paraId="4351EF26" w14:textId="788CC769" w:rsidR="000F232D" w:rsidRPr="006A7DC9" w:rsidRDefault="000F232D" w:rsidP="000F232D">
            <w:pPr>
              <w:rPr>
                <w:rFonts w:eastAsia="Times New Roman"/>
                <w:sz w:val="20"/>
                <w:szCs w:val="20"/>
              </w:rPr>
            </w:pPr>
            <w:r w:rsidRPr="006A7DC9">
              <w:rPr>
                <w:rFonts w:eastAsia="Times New Roman"/>
                <w:sz w:val="20"/>
                <w:szCs w:val="20"/>
              </w:rPr>
              <w:t> </w:t>
            </w:r>
            <w:r w:rsidR="00D56C13" w:rsidRPr="006A7DC9">
              <w:rPr>
                <w:rFonts w:eastAsia="Times New Roman"/>
                <w:sz w:val="20"/>
                <w:szCs w:val="20"/>
              </w:rPr>
              <w:t>Non Cash Investing and Financing Activ</w:t>
            </w:r>
            <w:r w:rsidR="00D56C13" w:rsidRPr="00D56C13">
              <w:rPr>
                <w:rFonts w:eastAsia="Times New Roman"/>
                <w:sz w:val="20"/>
                <w:szCs w:val="20"/>
              </w:rPr>
              <w:t>it</w:t>
            </w:r>
            <w:r w:rsidR="00D56C13" w:rsidRPr="006A7DC9">
              <w:rPr>
                <w:rFonts w:eastAsia="Times New Roman"/>
                <w:sz w:val="20"/>
                <w:szCs w:val="20"/>
              </w:rPr>
              <w:t>ies</w:t>
            </w:r>
          </w:p>
        </w:tc>
        <w:tc>
          <w:tcPr>
            <w:tcW w:w="0" w:type="auto"/>
            <w:shd w:val="clear" w:color="auto" w:fill="CCEEFF"/>
            <w:vAlign w:val="bottom"/>
            <w:hideMark/>
          </w:tcPr>
          <w:p w14:paraId="3950610B" w14:textId="77777777" w:rsidR="000F232D" w:rsidRPr="006A7DC9" w:rsidRDefault="000F232D" w:rsidP="000F232D">
            <w:pPr>
              <w:rPr>
                <w:rFonts w:eastAsia="Times New Roman"/>
                <w:sz w:val="20"/>
                <w:szCs w:val="20"/>
              </w:rPr>
            </w:pPr>
            <w:r w:rsidRPr="006A7DC9">
              <w:rPr>
                <w:rFonts w:eastAsia="Times New Roman"/>
                <w:sz w:val="20"/>
                <w:szCs w:val="20"/>
              </w:rPr>
              <w:t> </w:t>
            </w:r>
          </w:p>
        </w:tc>
        <w:tc>
          <w:tcPr>
            <w:tcW w:w="0" w:type="auto"/>
            <w:shd w:val="clear" w:color="auto" w:fill="CCEEFF"/>
            <w:vAlign w:val="bottom"/>
            <w:hideMark/>
          </w:tcPr>
          <w:p w14:paraId="5BA7AD79" w14:textId="77777777" w:rsidR="000F232D" w:rsidRPr="006A7DC9" w:rsidRDefault="000F232D" w:rsidP="000F232D">
            <w:pPr>
              <w:rPr>
                <w:rFonts w:eastAsia="Times New Roman"/>
                <w:sz w:val="20"/>
                <w:szCs w:val="20"/>
              </w:rPr>
            </w:pPr>
            <w:r w:rsidRPr="006A7DC9">
              <w:rPr>
                <w:rFonts w:eastAsia="Times New Roman"/>
                <w:sz w:val="20"/>
                <w:szCs w:val="20"/>
              </w:rPr>
              <w:t> </w:t>
            </w:r>
          </w:p>
        </w:tc>
      </w:tr>
      <w:tr w:rsidR="00D56C13" w14:paraId="62EEDCE3" w14:textId="77777777" w:rsidTr="006A7DC9">
        <w:trPr>
          <w:divId w:val="1244484769"/>
          <w:tblCellSpacing w:w="0" w:type="dxa"/>
        </w:trPr>
        <w:tc>
          <w:tcPr>
            <w:tcW w:w="0" w:type="auto"/>
            <w:shd w:val="clear" w:color="auto" w:fill="FFFFFF" w:themeFill="background1"/>
            <w:vAlign w:val="bottom"/>
          </w:tcPr>
          <w:p w14:paraId="28929BD9" w14:textId="2AFC7610" w:rsidR="00D56C13" w:rsidRPr="006A7DC9" w:rsidRDefault="00D56C13" w:rsidP="00D56C13">
            <w:pPr>
              <w:rPr>
                <w:rFonts w:eastAsia="Times New Roman"/>
                <w:sz w:val="20"/>
                <w:szCs w:val="20"/>
              </w:rPr>
            </w:pPr>
            <w:r w:rsidRPr="006A7DC9">
              <w:rPr>
                <w:rFonts w:eastAsia="Times New Roman"/>
                <w:sz w:val="20"/>
                <w:szCs w:val="20"/>
              </w:rPr>
              <w:t xml:space="preserve">        Change in Common Stock due to 20 to 1 reverse split</w:t>
            </w:r>
          </w:p>
        </w:tc>
        <w:tc>
          <w:tcPr>
            <w:tcW w:w="0" w:type="auto"/>
            <w:shd w:val="clear" w:color="auto" w:fill="FFFFFF" w:themeFill="background1"/>
            <w:vAlign w:val="bottom"/>
          </w:tcPr>
          <w:p w14:paraId="1B718B6E" w14:textId="74D95EE4" w:rsidR="00D56C13" w:rsidRPr="006A7DC9" w:rsidRDefault="00D56C13" w:rsidP="006A7DC9">
            <w:pPr>
              <w:jc w:val="right"/>
              <w:rPr>
                <w:rFonts w:eastAsia="Times New Roman"/>
                <w:sz w:val="20"/>
                <w:szCs w:val="20"/>
              </w:rPr>
            </w:pPr>
            <w:r w:rsidRPr="006A7DC9">
              <w:rPr>
                <w:rFonts w:eastAsia="Times New Roman"/>
                <w:sz w:val="20"/>
                <w:szCs w:val="20"/>
              </w:rPr>
              <w:t>-</w:t>
            </w:r>
          </w:p>
        </w:tc>
        <w:tc>
          <w:tcPr>
            <w:tcW w:w="0" w:type="auto"/>
            <w:shd w:val="clear" w:color="auto" w:fill="FFFFFF" w:themeFill="background1"/>
            <w:vAlign w:val="bottom"/>
          </w:tcPr>
          <w:p w14:paraId="6DFECC41" w14:textId="521A35FB" w:rsidR="00D56C13" w:rsidRPr="006A7DC9" w:rsidRDefault="00D56C13" w:rsidP="006A7DC9">
            <w:pPr>
              <w:jc w:val="right"/>
              <w:rPr>
                <w:rFonts w:eastAsia="Times New Roman"/>
                <w:sz w:val="20"/>
                <w:szCs w:val="20"/>
              </w:rPr>
            </w:pPr>
            <w:r w:rsidRPr="006A7DC9">
              <w:rPr>
                <w:rFonts w:eastAsia="Times New Roman"/>
                <w:sz w:val="20"/>
                <w:szCs w:val="20"/>
              </w:rPr>
              <w:t>446,807</w:t>
            </w:r>
          </w:p>
        </w:tc>
      </w:tr>
      <w:tr w:rsidR="00D56C13" w14:paraId="3D3CEDF0" w14:textId="77777777" w:rsidTr="00D56C13">
        <w:trPr>
          <w:divId w:val="1244484769"/>
          <w:tblCellSpacing w:w="0" w:type="dxa"/>
        </w:trPr>
        <w:tc>
          <w:tcPr>
            <w:tcW w:w="0" w:type="auto"/>
            <w:shd w:val="clear" w:color="auto" w:fill="CCEEFF"/>
            <w:vAlign w:val="bottom"/>
            <w:hideMark/>
          </w:tcPr>
          <w:p w14:paraId="0DC067FD" w14:textId="32B8D9EA" w:rsidR="00D56C13" w:rsidRPr="0046413E" w:rsidRDefault="00D56C13" w:rsidP="00D56C13">
            <w:pPr>
              <w:rPr>
                <w:rFonts w:eastAsia="Times New Roman"/>
                <w:sz w:val="20"/>
                <w:szCs w:val="20"/>
              </w:rPr>
            </w:pPr>
            <w:r w:rsidRPr="00D56C13">
              <w:rPr>
                <w:rFonts w:eastAsia="Times New Roman"/>
                <w:sz w:val="20"/>
                <w:szCs w:val="20"/>
              </w:rPr>
              <w:t> </w:t>
            </w:r>
          </w:p>
        </w:tc>
        <w:tc>
          <w:tcPr>
            <w:tcW w:w="0" w:type="auto"/>
            <w:shd w:val="clear" w:color="auto" w:fill="CCEEFF"/>
            <w:vAlign w:val="bottom"/>
            <w:hideMark/>
          </w:tcPr>
          <w:p w14:paraId="296211C1" w14:textId="77777777" w:rsidR="00D56C13" w:rsidRPr="00BF3006" w:rsidRDefault="00D56C13" w:rsidP="00CF47C2">
            <w:pPr>
              <w:rPr>
                <w:rFonts w:eastAsia="Times New Roman"/>
                <w:sz w:val="20"/>
                <w:szCs w:val="20"/>
              </w:rPr>
            </w:pPr>
            <w:r w:rsidRPr="0046413E">
              <w:rPr>
                <w:rFonts w:eastAsia="Times New Roman"/>
                <w:sz w:val="20"/>
                <w:szCs w:val="20"/>
              </w:rPr>
              <w:t> </w:t>
            </w:r>
          </w:p>
        </w:tc>
        <w:tc>
          <w:tcPr>
            <w:tcW w:w="0" w:type="auto"/>
            <w:shd w:val="clear" w:color="auto" w:fill="CCEEFF"/>
            <w:vAlign w:val="bottom"/>
            <w:hideMark/>
          </w:tcPr>
          <w:p w14:paraId="324FDF79" w14:textId="77777777" w:rsidR="00D56C13" w:rsidRPr="0073252B" w:rsidRDefault="00D56C13" w:rsidP="00CF47C2">
            <w:pPr>
              <w:rPr>
                <w:rFonts w:eastAsia="Times New Roman"/>
                <w:sz w:val="20"/>
                <w:szCs w:val="20"/>
              </w:rPr>
            </w:pPr>
            <w:r w:rsidRPr="0073252B">
              <w:rPr>
                <w:rFonts w:eastAsia="Times New Roman"/>
                <w:sz w:val="20"/>
                <w:szCs w:val="20"/>
              </w:rPr>
              <w:t> </w:t>
            </w:r>
          </w:p>
        </w:tc>
      </w:tr>
      <w:tr w:rsidR="00D56C13" w14:paraId="35C71D39" w14:textId="77777777" w:rsidTr="00D56C13">
        <w:trPr>
          <w:divId w:val="1244484769"/>
          <w:tblCellSpacing w:w="0" w:type="dxa"/>
        </w:trPr>
        <w:tc>
          <w:tcPr>
            <w:tcW w:w="0" w:type="auto"/>
            <w:shd w:val="clear" w:color="auto" w:fill="FFFFFF" w:themeFill="background1"/>
            <w:vAlign w:val="bottom"/>
          </w:tcPr>
          <w:p w14:paraId="6580E6E1" w14:textId="47A92A49" w:rsidR="00D56C13" w:rsidRPr="0046413E" w:rsidRDefault="00D56C13" w:rsidP="00D56C13">
            <w:pPr>
              <w:rPr>
                <w:rFonts w:eastAsia="Times New Roman"/>
                <w:sz w:val="20"/>
                <w:szCs w:val="20"/>
              </w:rPr>
            </w:pPr>
            <w:r w:rsidRPr="00D56C13">
              <w:rPr>
                <w:rFonts w:eastAsia="Times New Roman"/>
                <w:sz w:val="20"/>
                <w:szCs w:val="20"/>
              </w:rPr>
              <w:t xml:space="preserve">        </w:t>
            </w:r>
            <w:r w:rsidRPr="0046413E">
              <w:rPr>
                <w:rFonts w:eastAsia="Times New Roman"/>
                <w:sz w:val="20"/>
                <w:szCs w:val="20"/>
              </w:rPr>
              <w:t>Cash paid for Interest</w:t>
            </w:r>
          </w:p>
        </w:tc>
        <w:tc>
          <w:tcPr>
            <w:tcW w:w="0" w:type="auto"/>
            <w:shd w:val="clear" w:color="auto" w:fill="FFFFFF" w:themeFill="background1"/>
            <w:vAlign w:val="bottom"/>
          </w:tcPr>
          <w:p w14:paraId="1D2625A6" w14:textId="77C8A004" w:rsidR="00D56C13" w:rsidRPr="0073252B" w:rsidRDefault="00D56C13" w:rsidP="00CF47C2">
            <w:pPr>
              <w:jc w:val="right"/>
              <w:rPr>
                <w:rFonts w:eastAsia="Times New Roman"/>
                <w:sz w:val="20"/>
                <w:szCs w:val="20"/>
              </w:rPr>
            </w:pPr>
            <w:r w:rsidRPr="0073252B">
              <w:rPr>
                <w:rFonts w:eastAsia="Times New Roman"/>
                <w:sz w:val="20"/>
                <w:szCs w:val="20"/>
              </w:rPr>
              <w:t>7,955</w:t>
            </w:r>
          </w:p>
        </w:tc>
        <w:tc>
          <w:tcPr>
            <w:tcW w:w="0" w:type="auto"/>
            <w:shd w:val="clear" w:color="auto" w:fill="FFFFFF" w:themeFill="background1"/>
            <w:vAlign w:val="bottom"/>
          </w:tcPr>
          <w:p w14:paraId="5B7F17F6" w14:textId="7AFFBB67" w:rsidR="00D56C13" w:rsidRPr="0073252B" w:rsidRDefault="00D56C13" w:rsidP="00CF47C2">
            <w:pPr>
              <w:jc w:val="right"/>
              <w:rPr>
                <w:rFonts w:eastAsia="Times New Roman"/>
                <w:sz w:val="20"/>
                <w:szCs w:val="20"/>
              </w:rPr>
            </w:pPr>
            <w:r w:rsidRPr="0073252B">
              <w:rPr>
                <w:rFonts w:eastAsia="Times New Roman"/>
                <w:sz w:val="20"/>
                <w:szCs w:val="20"/>
              </w:rPr>
              <w:t>10,410</w:t>
            </w:r>
          </w:p>
        </w:tc>
      </w:tr>
      <w:tr w:rsidR="00D56C13" w14:paraId="16E11E94" w14:textId="77777777" w:rsidTr="00D56C13">
        <w:trPr>
          <w:divId w:val="1244484769"/>
          <w:tblCellSpacing w:w="0" w:type="dxa"/>
        </w:trPr>
        <w:tc>
          <w:tcPr>
            <w:tcW w:w="0" w:type="auto"/>
            <w:shd w:val="clear" w:color="auto" w:fill="CCEEFF"/>
            <w:vAlign w:val="bottom"/>
          </w:tcPr>
          <w:p w14:paraId="4959C2F5" w14:textId="77777777" w:rsidR="00D56C13" w:rsidRDefault="00D56C13" w:rsidP="000F232D">
            <w:pPr>
              <w:rPr>
                <w:rFonts w:eastAsia="Times New Roman"/>
              </w:rPr>
            </w:pPr>
          </w:p>
        </w:tc>
        <w:tc>
          <w:tcPr>
            <w:tcW w:w="0" w:type="auto"/>
            <w:shd w:val="clear" w:color="auto" w:fill="CCEEFF"/>
            <w:vAlign w:val="bottom"/>
          </w:tcPr>
          <w:p w14:paraId="13990AC5" w14:textId="77777777" w:rsidR="00D56C13" w:rsidRDefault="00D56C13" w:rsidP="000F232D">
            <w:pPr>
              <w:rPr>
                <w:rFonts w:eastAsia="Times New Roman"/>
              </w:rPr>
            </w:pPr>
          </w:p>
        </w:tc>
        <w:tc>
          <w:tcPr>
            <w:tcW w:w="0" w:type="auto"/>
            <w:shd w:val="clear" w:color="auto" w:fill="CCEEFF"/>
            <w:vAlign w:val="bottom"/>
          </w:tcPr>
          <w:p w14:paraId="713EF244" w14:textId="77777777" w:rsidR="00D56C13" w:rsidRDefault="00D56C13" w:rsidP="000F232D">
            <w:pPr>
              <w:rPr>
                <w:rFonts w:eastAsia="Times New Roman"/>
              </w:rPr>
            </w:pPr>
          </w:p>
        </w:tc>
      </w:tr>
      <w:tr w:rsidR="000F232D" w14:paraId="3440E237" w14:textId="77777777" w:rsidTr="00D56C13">
        <w:trPr>
          <w:divId w:val="1244484769"/>
          <w:tblCellSpacing w:w="0" w:type="dxa"/>
        </w:trPr>
        <w:tc>
          <w:tcPr>
            <w:tcW w:w="0" w:type="auto"/>
            <w:gridSpan w:val="3"/>
            <w:shd w:val="clear" w:color="auto" w:fill="FFFFFF"/>
            <w:vAlign w:val="bottom"/>
            <w:hideMark/>
          </w:tcPr>
          <w:p w14:paraId="6639034F" w14:textId="77777777" w:rsidR="000F232D" w:rsidRDefault="000F232D" w:rsidP="000F232D">
            <w:pPr>
              <w:pStyle w:val="NormalWeb"/>
              <w:jc w:val="center"/>
            </w:pPr>
            <w:r>
              <w:rPr>
                <w:b/>
                <w:bCs/>
                <w:sz w:val="20"/>
                <w:szCs w:val="20"/>
              </w:rPr>
              <w:t>See accompanying notes to financial statements.</w:t>
            </w:r>
          </w:p>
        </w:tc>
      </w:tr>
    </w:tbl>
    <w:p w14:paraId="38331CC4" w14:textId="77777777" w:rsidR="00236301" w:rsidRDefault="00265296">
      <w:pPr>
        <w:pStyle w:val="NormalWeb"/>
        <w:divId w:val="1244484769"/>
      </w:pPr>
      <w:r>
        <w:rPr>
          <w:sz w:val="20"/>
          <w:szCs w:val="20"/>
        </w:rPr>
        <w:t> </w:t>
      </w:r>
    </w:p>
    <w:p w14:paraId="1BE35B4E" w14:textId="77777777" w:rsidR="00236301" w:rsidRDefault="00265296">
      <w:pPr>
        <w:pStyle w:val="NormalWeb"/>
        <w:jc w:val="center"/>
        <w:divId w:val="1244484769"/>
      </w:pPr>
      <w:r>
        <w:rPr>
          <w:b/>
          <w:bCs/>
          <w:sz w:val="20"/>
          <w:szCs w:val="20"/>
        </w:rPr>
        <w:t>F-7</w:t>
      </w:r>
      <w:r>
        <w:rPr>
          <w:sz w:val="20"/>
          <w:szCs w:val="20"/>
        </w:rPr>
        <w:t xml:space="preserve"> </w:t>
      </w:r>
    </w:p>
    <w:p w14:paraId="7C32797A" w14:textId="77777777" w:rsidR="00236301" w:rsidRDefault="00084F74">
      <w:pPr>
        <w:jc w:val="center"/>
        <w:divId w:val="1244484769"/>
        <w:rPr>
          <w:rFonts w:eastAsia="Times New Roman"/>
          <w:sz w:val="20"/>
          <w:szCs w:val="20"/>
        </w:rPr>
      </w:pPr>
      <w:r>
        <w:rPr>
          <w:rFonts w:eastAsia="Times New Roman"/>
          <w:sz w:val="20"/>
          <w:szCs w:val="20"/>
        </w:rPr>
        <w:pict w14:anchorId="00F315B4">
          <v:rect id="_x0000_i1065" style="width:.05pt;height:1pt" o:hralign="center" o:hrstd="t" o:hrnoshade="t" o:hr="t" fillcolor="blue" stroked="f"/>
        </w:pict>
      </w:r>
    </w:p>
    <w:p w14:paraId="376B3BBA" w14:textId="77777777" w:rsidR="00236301" w:rsidRDefault="00265296">
      <w:pPr>
        <w:pStyle w:val="NormalWeb"/>
        <w:divId w:val="1244484769"/>
      </w:pPr>
      <w:r>
        <w:rPr>
          <w:sz w:val="20"/>
          <w:szCs w:val="20"/>
        </w:rPr>
        <w:t> </w:t>
      </w:r>
    </w:p>
    <w:p w14:paraId="27DF1288" w14:textId="77777777" w:rsidR="00236301" w:rsidRDefault="00265296">
      <w:pPr>
        <w:pStyle w:val="NormalWeb"/>
        <w:divId w:val="1244484769"/>
      </w:pPr>
      <w:bookmarkStart w:id="26" w:name="notes"/>
      <w:bookmarkEnd w:id="26"/>
      <w:r>
        <w:rPr>
          <w:b/>
          <w:bCs/>
          <w:sz w:val="20"/>
          <w:szCs w:val="20"/>
        </w:rPr>
        <w:t>NOTE 1- ORGANIZATION AND LINE OF BUSINESS</w:t>
      </w:r>
      <w:r>
        <w:rPr>
          <w:b/>
          <w:bCs/>
          <w:sz w:val="20"/>
          <w:szCs w:val="20"/>
        </w:rPr>
        <w:br/>
      </w:r>
      <w:r>
        <w:rPr>
          <w:sz w:val="20"/>
          <w:szCs w:val="20"/>
        </w:rPr>
        <w:br/>
      </w:r>
      <w:r>
        <w:rPr>
          <w:i/>
          <w:iCs/>
          <w:sz w:val="20"/>
          <w:szCs w:val="20"/>
        </w:rPr>
        <w:t>Organization:</w:t>
      </w:r>
    </w:p>
    <w:p w14:paraId="1490E57C" w14:textId="4F07C6A8" w:rsidR="006A6D70" w:rsidRDefault="006A6D70">
      <w:pPr>
        <w:pStyle w:val="NormalWeb"/>
        <w:divId w:val="1244484769"/>
        <w:rPr>
          <w:sz w:val="20"/>
          <w:szCs w:val="20"/>
        </w:rPr>
      </w:pPr>
      <w:r>
        <w:rPr>
          <w:sz w:val="20"/>
          <w:szCs w:val="20"/>
        </w:rPr>
        <w:t xml:space="preserve">Advanced Oxygen Technologies </w:t>
      </w:r>
      <w:proofErr w:type="spellStart"/>
      <w:r>
        <w:rPr>
          <w:sz w:val="20"/>
          <w:szCs w:val="20"/>
        </w:rPr>
        <w:t>Inc</w:t>
      </w:r>
      <w:proofErr w:type="spellEnd"/>
      <w:r>
        <w:rPr>
          <w:sz w:val="20"/>
          <w:szCs w:val="20"/>
        </w:rPr>
        <w:t xml:space="preserve">, incorporated in Delaware in 1981 under the name Aquanautics </w:t>
      </w:r>
      <w:proofErr w:type="gramStart"/>
      <w:r>
        <w:rPr>
          <w:sz w:val="20"/>
          <w:szCs w:val="20"/>
        </w:rPr>
        <w:t>Corporation  and</w:t>
      </w:r>
      <w:proofErr w:type="gramEnd"/>
      <w:r>
        <w:rPr>
          <w:sz w:val="20"/>
          <w:szCs w:val="20"/>
        </w:rPr>
        <w:t xml:space="preserve"> was, from 1985 until May 1995, a development stage specialty materials company producing new oxygen control technologies.  From May of 1995 through December of 1997 the Company had minimal operations and was seeking funding for operations and companies to which it could merge or acquire.  In March of 1998 the Company began operations again in California.  From 1998 through 2000, the business produced and sold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real estate rentals in Denmark through its wholly owned subsidiary.</w:t>
      </w:r>
    </w:p>
    <w:p w14:paraId="517A82AC" w14:textId="77777777" w:rsidR="00236301" w:rsidRDefault="00265296">
      <w:pPr>
        <w:pStyle w:val="NormalWeb"/>
        <w:divId w:val="1244484769"/>
      </w:pPr>
      <w:r>
        <w:rPr>
          <w:i/>
          <w:iCs/>
          <w:sz w:val="20"/>
          <w:szCs w:val="20"/>
        </w:rPr>
        <w:t>Lines of Business:</w:t>
      </w:r>
    </w:p>
    <w:p w14:paraId="2839E807" w14:textId="1EA23604" w:rsidR="006A6D70" w:rsidRDefault="00265296">
      <w:pPr>
        <w:pStyle w:val="NormalWeb"/>
        <w:divId w:val="1244484769"/>
      </w:pPr>
      <w:r>
        <w:rPr>
          <w:sz w:val="20"/>
          <w:szCs w:val="20"/>
        </w:rPr>
        <w:lastRenderedPageBreak/>
        <w:t xml:space="preserve">The Company, through its wholly owned subsidiary </w:t>
      </w:r>
      <w:r w:rsidR="00FA069D">
        <w:rPr>
          <w:sz w:val="20"/>
          <w:szCs w:val="20"/>
        </w:rPr>
        <w:t>Anton Nielsen Vojens ApS</w:t>
      </w:r>
      <w:r>
        <w:rPr>
          <w:sz w:val="20"/>
          <w:szCs w:val="20"/>
        </w:rPr>
        <w:t xml:space="preserve"> owns income producing commercial real estate leased until 2026. The real estate consists solely of the land with no buildings or improvements ("Land"). All improvements on the Land are those of the tenant. </w:t>
      </w:r>
    </w:p>
    <w:p w14:paraId="1FDFD33D" w14:textId="77777777" w:rsidR="00236301" w:rsidRDefault="00265296">
      <w:pPr>
        <w:pStyle w:val="NormalWeb"/>
        <w:divId w:val="1244484769"/>
      </w:pPr>
      <w:r>
        <w:rPr>
          <w:b/>
          <w:bCs/>
          <w:sz w:val="20"/>
          <w:szCs w:val="20"/>
        </w:rPr>
        <w:t>NOTE 2 - SUMMARY OF SIGNIFICANT ACCOUNTING POLICIES</w:t>
      </w:r>
      <w:proofErr w:type="gramStart"/>
      <w:r>
        <w:rPr>
          <w:b/>
          <w:bCs/>
          <w:sz w:val="20"/>
          <w:szCs w:val="20"/>
        </w:rPr>
        <w:t>:</w:t>
      </w:r>
      <w:proofErr w:type="gramEnd"/>
      <w:r>
        <w:rPr>
          <w:sz w:val="20"/>
          <w:szCs w:val="20"/>
        </w:rPr>
        <w:br/>
      </w:r>
      <w:r>
        <w:rPr>
          <w:sz w:val="20"/>
          <w:szCs w:val="20"/>
        </w:rPr>
        <w:br/>
      </w:r>
      <w:r>
        <w:rPr>
          <w:i/>
          <w:iCs/>
          <w:sz w:val="20"/>
          <w:szCs w:val="20"/>
        </w:rPr>
        <w:t>Revenue Recognition</w:t>
      </w:r>
      <w:r>
        <w:rPr>
          <w:sz w:val="20"/>
          <w:szCs w:val="20"/>
        </w:rPr>
        <w:t>:</w:t>
      </w:r>
    </w:p>
    <w:p w14:paraId="68B77B7D" w14:textId="77777777" w:rsidR="00236301" w:rsidRDefault="00265296">
      <w:pPr>
        <w:pStyle w:val="NormalWeb"/>
        <w:divId w:val="1244484769"/>
      </w:pPr>
      <w:r>
        <w:rPr>
          <w:i/>
          <w:iCs/>
          <w:sz w:val="20"/>
          <w:szCs w:val="20"/>
        </w:rPr>
        <w:t>Recognition of rental income:</w:t>
      </w:r>
    </w:p>
    <w:p w14:paraId="44E80160" w14:textId="5B79A8F9" w:rsidR="00A55BF5" w:rsidRDefault="00A55BF5">
      <w:pPr>
        <w:pStyle w:val="NormalWeb"/>
        <w:divId w:val="1244484769"/>
        <w:rPr>
          <w:sz w:val="20"/>
          <w:szCs w:val="20"/>
        </w:rPr>
      </w:pPr>
      <w:r>
        <w:rPr>
          <w:sz w:val="20"/>
          <w:szCs w:val="20"/>
        </w:rPr>
        <w:t xml:space="preserve">Revenues are recognized during the period in which the rental payment is received.  The Company applies the provisions of FASB Accounting Standards Codification (“ASC”) 605-10.  Revenue Recognition in Financial Statements ASC 605-10, which provides guidance on recognition, presentation, and disclosure of revenues in financial statements filed with the SEC.  </w:t>
      </w:r>
    </w:p>
    <w:p w14:paraId="62094A51" w14:textId="4754A4FF" w:rsidR="00236301" w:rsidRDefault="00A55BF5">
      <w:pPr>
        <w:pStyle w:val="NormalWeb"/>
        <w:divId w:val="1244484769"/>
      </w:pPr>
      <w:r>
        <w:rPr>
          <w:sz w:val="20"/>
          <w:szCs w:val="20"/>
        </w:rPr>
        <w:t>The Company’s source of revenue is from the Commercial Property lease in which quarterly payments are received pursuant to the property lease which is in effect until 2026</w:t>
      </w:r>
      <w:r w:rsidR="00CF47C2">
        <w:rPr>
          <w:sz w:val="20"/>
          <w:szCs w:val="20"/>
        </w:rPr>
        <w:t>.</w:t>
      </w:r>
    </w:p>
    <w:p w14:paraId="1974F273" w14:textId="77777777" w:rsidR="00236301" w:rsidRDefault="00265296">
      <w:pPr>
        <w:pStyle w:val="auto-style2"/>
        <w:divId w:val="1244484769"/>
      </w:pPr>
      <w:r>
        <w:rPr>
          <w:b/>
          <w:bCs/>
          <w:sz w:val="20"/>
          <w:szCs w:val="20"/>
        </w:rPr>
        <w:t>F-9</w:t>
      </w:r>
    </w:p>
    <w:p w14:paraId="3685E445" w14:textId="77777777" w:rsidR="00236301" w:rsidRDefault="00084F74">
      <w:pPr>
        <w:jc w:val="center"/>
        <w:divId w:val="1244484769"/>
        <w:rPr>
          <w:rFonts w:eastAsia="Times New Roman"/>
          <w:sz w:val="20"/>
          <w:szCs w:val="20"/>
        </w:rPr>
      </w:pPr>
      <w:r>
        <w:rPr>
          <w:rFonts w:eastAsia="Times New Roman"/>
          <w:sz w:val="20"/>
          <w:szCs w:val="20"/>
        </w:rPr>
        <w:pict w14:anchorId="3A73C6BB">
          <v:rect id="_x0000_i1066" style="width:.05pt;height:1pt" o:hralign="center" o:hrstd="t" o:hrnoshade="t" o:hr="t" fillcolor="blue" stroked="f"/>
        </w:pict>
      </w:r>
    </w:p>
    <w:p w14:paraId="4992F146" w14:textId="77777777" w:rsidR="00236301" w:rsidRDefault="00265296">
      <w:pPr>
        <w:pStyle w:val="NormalWeb"/>
        <w:divId w:val="1244484769"/>
      </w:pPr>
      <w:r>
        <w:rPr>
          <w:i/>
          <w:iCs/>
          <w:sz w:val="20"/>
          <w:szCs w:val="20"/>
        </w:rPr>
        <w:t>Real Estate Accounting Principles:</w:t>
      </w:r>
    </w:p>
    <w:p w14:paraId="253EEBD7" w14:textId="08B087CD" w:rsidR="00236301" w:rsidRDefault="00265296">
      <w:pPr>
        <w:pStyle w:val="NormalWeb"/>
        <w:divId w:val="1244484769"/>
      </w:pPr>
      <w:r>
        <w:rPr>
          <w:sz w:val="20"/>
          <w:szCs w:val="20"/>
        </w:rPr>
        <w:t xml:space="preserve">The Company treats the valuation of its real estate in accordance with FASB </w:t>
      </w:r>
      <w:r w:rsidR="0010454A">
        <w:rPr>
          <w:sz w:val="20"/>
          <w:szCs w:val="20"/>
        </w:rPr>
        <w:t>ASC 820</w:t>
      </w:r>
      <w:r>
        <w:rPr>
          <w:sz w:val="20"/>
          <w:szCs w:val="20"/>
        </w:rPr>
        <w:t xml:space="preserve">,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w:t>
      </w:r>
      <w:r w:rsidR="009E1595">
        <w:rPr>
          <w:sz w:val="20"/>
          <w:szCs w:val="20"/>
        </w:rPr>
        <w:t xml:space="preserve">the </w:t>
      </w:r>
      <w:r>
        <w:rPr>
          <w:sz w:val="20"/>
          <w:szCs w:val="20"/>
        </w:rPr>
        <w:t>FASB Statement: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14:paraId="60B83D93" w14:textId="77777777" w:rsidR="00236301" w:rsidRDefault="00265296">
      <w:pPr>
        <w:pStyle w:val="NormalWeb"/>
        <w:divId w:val="1244484769"/>
      </w:pPr>
      <w:r>
        <w:rPr>
          <w:b/>
          <w:bCs/>
          <w:i/>
          <w:iCs/>
          <w:sz w:val="20"/>
          <w:szCs w:val="20"/>
        </w:rPr>
        <w:t>Real Estate Investments</w:t>
      </w:r>
      <w:r>
        <w:rPr>
          <w:b/>
          <w:bCs/>
          <w:i/>
          <w:iCs/>
          <w:sz w:val="20"/>
          <w:szCs w:val="20"/>
        </w:rPr>
        <w:br/>
      </w:r>
      <w:r>
        <w:rPr>
          <w:sz w:val="20"/>
          <w:szCs w:val="20"/>
        </w:rPr>
        <w:br/>
      </w:r>
      <w:r>
        <w:rPr>
          <w:i/>
          <w:iCs/>
          <w:sz w:val="20"/>
          <w:szCs w:val="20"/>
        </w:rPr>
        <w:t>Depreciation and Amortization</w:t>
      </w:r>
    </w:p>
    <w:p w14:paraId="171F260B" w14:textId="77777777" w:rsidR="00236301" w:rsidRDefault="00265296">
      <w:pPr>
        <w:pStyle w:val="NormalWeb"/>
        <w:divId w:val="1244484769"/>
      </w:pPr>
      <w:r>
        <w:rPr>
          <w:sz w:val="20"/>
          <w:szCs w:val="20"/>
        </w:rPr>
        <w:t xml:space="preserve">Real estate costs related to the acquisition and improvement of properties are capitalized and amortized over the expected useful life of the asset on a straight-line basis. Repair and maintenance costs are charged to expense as incurred and significant replacements and betterments are capitalized. Repair and maintenance costs include all costs that do not extend the useful life of the real estate asset. The Company considers the period of future benefit of an asset to determine its appropriate useful life. The Company anticipates the estimated useful lives of its assets by class to be generally as follows: land improvements—three to 40 </w:t>
      </w:r>
      <w:r>
        <w:rPr>
          <w:sz w:val="20"/>
          <w:szCs w:val="20"/>
        </w:rPr>
        <w:lastRenderedPageBreak/>
        <w:t>years, buildings and building improvements—three to 40 years, and furniture and equipment—one to 20 years.</w:t>
      </w:r>
      <w:r>
        <w:rPr>
          <w:sz w:val="20"/>
          <w:szCs w:val="20"/>
        </w:rPr>
        <w:br/>
      </w:r>
      <w:r>
        <w:rPr>
          <w:sz w:val="20"/>
          <w:szCs w:val="20"/>
        </w:rPr>
        <w:br/>
      </w:r>
      <w:r>
        <w:rPr>
          <w:i/>
          <w:iCs/>
          <w:sz w:val="20"/>
          <w:szCs w:val="20"/>
        </w:rPr>
        <w:t>Impairment of Real Estate Investments</w:t>
      </w:r>
    </w:p>
    <w:p w14:paraId="21032E38" w14:textId="77777777" w:rsidR="00236301" w:rsidRDefault="00265296">
      <w:pPr>
        <w:pStyle w:val="NormalWeb"/>
        <w:divId w:val="1244484769"/>
      </w:pPr>
      <w:r>
        <w:rPr>
          <w:sz w:val="20"/>
          <w:szCs w:val="20"/>
        </w:rPr>
        <w:t>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investments, the Company would record an impairment loss to the extent that the carrying value exceeds the estimated fair value of its real estate investments.</w:t>
      </w:r>
    </w:p>
    <w:p w14:paraId="1210D2FE" w14:textId="77777777" w:rsidR="00236301" w:rsidRDefault="00265296">
      <w:pPr>
        <w:pStyle w:val="NormalWeb"/>
        <w:divId w:val="1244484769"/>
      </w:pPr>
      <w:r>
        <w:rPr>
          <w:i/>
          <w:iCs/>
          <w:sz w:val="20"/>
          <w:szCs w:val="20"/>
        </w:rPr>
        <w:t>Interest Recognition on Notes Receivable</w:t>
      </w:r>
    </w:p>
    <w:p w14:paraId="2A7B1A0A" w14:textId="77777777" w:rsidR="00236301" w:rsidRDefault="00265296">
      <w:pPr>
        <w:pStyle w:val="NormalWeb"/>
        <w:divId w:val="1244484769"/>
      </w:pP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14:paraId="4FA2BB36" w14:textId="77777777" w:rsidR="00236301" w:rsidRDefault="00265296">
      <w:pPr>
        <w:pStyle w:val="NormalWeb"/>
        <w:divId w:val="1244484769"/>
      </w:pPr>
      <w:r>
        <w:rPr>
          <w:i/>
          <w:iCs/>
          <w:sz w:val="20"/>
          <w:szCs w:val="20"/>
        </w:rPr>
        <w:t>Foreign currency translation:</w:t>
      </w:r>
    </w:p>
    <w:p w14:paraId="30F4EEB2" w14:textId="77777777" w:rsidR="00236301" w:rsidRDefault="00265296">
      <w:pPr>
        <w:pStyle w:val="NormalWeb"/>
        <w:divId w:val="1244484769"/>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Pr>
          <w:sz w:val="20"/>
          <w:szCs w:val="20"/>
        </w:rPr>
        <w:br/>
      </w:r>
      <w:r>
        <w:rPr>
          <w:sz w:val="20"/>
          <w:szCs w:val="20"/>
        </w:rPr>
        <w:br/>
      </w:r>
      <w:r>
        <w:rPr>
          <w:i/>
          <w:iCs/>
          <w:sz w:val="20"/>
          <w:szCs w:val="20"/>
        </w:rPr>
        <w:t>Income Taxes:</w:t>
      </w:r>
    </w:p>
    <w:p w14:paraId="3F75E19B" w14:textId="77777777" w:rsidR="00236301" w:rsidRDefault="00265296">
      <w:pPr>
        <w:pStyle w:val="NormalWeb"/>
        <w:divId w:val="1244484769"/>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Pr>
          <w:sz w:val="20"/>
          <w:szCs w:val="20"/>
        </w:rPr>
        <w:br/>
      </w:r>
      <w:r>
        <w:rPr>
          <w:sz w:val="20"/>
          <w:szCs w:val="20"/>
        </w:rPr>
        <w:br/>
      </w:r>
      <w:r>
        <w:rPr>
          <w:i/>
          <w:iCs/>
          <w:sz w:val="20"/>
          <w:szCs w:val="20"/>
        </w:rPr>
        <w:t>Net Earnings per Share:</w:t>
      </w:r>
    </w:p>
    <w:p w14:paraId="285CC0F7" w14:textId="23650F7B" w:rsidR="00236301" w:rsidRDefault="00265296">
      <w:pPr>
        <w:pStyle w:val="NormalWeb"/>
        <w:divId w:val="1244484769"/>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r w:rsidR="000441FD">
        <w:rPr>
          <w:sz w:val="20"/>
          <w:szCs w:val="20"/>
        </w:rPr>
        <w:t xml:space="preserve">  As of June 30, 2016 and June 30, 20</w:t>
      </w:r>
      <w:r w:rsidR="00656271">
        <w:rPr>
          <w:sz w:val="20"/>
          <w:szCs w:val="20"/>
        </w:rPr>
        <w:t>15 there were 10,000 and 10,000</w:t>
      </w:r>
      <w:r w:rsidR="000441FD">
        <w:rPr>
          <w:sz w:val="20"/>
          <w:szCs w:val="20"/>
        </w:rPr>
        <w:t xml:space="preserve">, </w:t>
      </w:r>
      <w:proofErr w:type="gramStart"/>
      <w:r w:rsidR="000441FD">
        <w:rPr>
          <w:sz w:val="20"/>
          <w:szCs w:val="20"/>
        </w:rPr>
        <w:t>respectively  potential</w:t>
      </w:r>
      <w:proofErr w:type="gramEnd"/>
      <w:r w:rsidR="000441FD">
        <w:rPr>
          <w:sz w:val="20"/>
          <w:szCs w:val="20"/>
        </w:rPr>
        <w:t xml:space="preserve"> dilutive shares that need to be considered as Common Share Equivalents.</w:t>
      </w:r>
    </w:p>
    <w:p w14:paraId="09638C6A" w14:textId="77777777" w:rsidR="00236301" w:rsidRDefault="00265296">
      <w:pPr>
        <w:pStyle w:val="auto-style2"/>
        <w:divId w:val="2137093822"/>
      </w:pPr>
      <w:r>
        <w:rPr>
          <w:b/>
          <w:bCs/>
          <w:sz w:val="20"/>
          <w:szCs w:val="20"/>
        </w:rPr>
        <w:lastRenderedPageBreak/>
        <w:t>F-10</w:t>
      </w:r>
    </w:p>
    <w:p w14:paraId="4B0E7954" w14:textId="77777777" w:rsidR="00236301" w:rsidRDefault="00084F74">
      <w:pPr>
        <w:jc w:val="center"/>
        <w:divId w:val="1954942145"/>
        <w:rPr>
          <w:rFonts w:eastAsia="Times New Roman"/>
          <w:sz w:val="20"/>
          <w:szCs w:val="20"/>
        </w:rPr>
      </w:pPr>
      <w:r>
        <w:rPr>
          <w:rFonts w:eastAsia="Times New Roman"/>
          <w:sz w:val="20"/>
          <w:szCs w:val="20"/>
        </w:rPr>
        <w:pict w14:anchorId="069BC379">
          <v:rect id="_x0000_i1067" style="width:.05pt;height:1pt" o:hralign="center" o:hrstd="t" o:hrnoshade="t" o:hr="t" fillcolor="blue" stroked="f"/>
        </w:pict>
      </w:r>
    </w:p>
    <w:p w14:paraId="0551558C" w14:textId="77777777" w:rsidR="00236301" w:rsidRDefault="00265296">
      <w:pPr>
        <w:pStyle w:val="NormalWeb"/>
        <w:divId w:val="1244484769"/>
      </w:pPr>
      <w:r>
        <w:rPr>
          <w:i/>
          <w:iCs/>
          <w:sz w:val="20"/>
          <w:szCs w:val="20"/>
        </w:rPr>
        <w:t>Cash and Cash Equivalents:</w:t>
      </w:r>
    </w:p>
    <w:p w14:paraId="1C4BA105" w14:textId="77777777" w:rsidR="00236301" w:rsidRDefault="00265296">
      <w:pPr>
        <w:pStyle w:val="NormalWeb"/>
        <w:divId w:val="1244484769"/>
      </w:pPr>
      <w:r>
        <w:rPr>
          <w:sz w:val="20"/>
          <w:szCs w:val="20"/>
        </w:rPr>
        <w:t>For purposes of the statement of cash flows, the Company considers all highly-liquid investments purchased with original maturities of three months or less to be cash equivalents.</w:t>
      </w:r>
      <w:r>
        <w:rPr>
          <w:sz w:val="20"/>
          <w:szCs w:val="20"/>
        </w:rPr>
        <w:br/>
      </w:r>
      <w:r>
        <w:rPr>
          <w:sz w:val="20"/>
          <w:szCs w:val="20"/>
        </w:rPr>
        <w:br/>
        <w:t>The Company maintains its cash in bank deposit accounts which, at June 30, 2016 did not exceed federally insured limits. The Company has not experienced any losses in such accounts and believes that it is not exposed to any significant credit risk on such amounts.</w:t>
      </w:r>
      <w:r>
        <w:rPr>
          <w:sz w:val="20"/>
          <w:szCs w:val="20"/>
        </w:rPr>
        <w:br/>
      </w:r>
      <w:r>
        <w:rPr>
          <w:sz w:val="20"/>
          <w:szCs w:val="20"/>
        </w:rPr>
        <w:br/>
      </w:r>
      <w:r>
        <w:rPr>
          <w:i/>
          <w:iCs/>
          <w:sz w:val="20"/>
          <w:szCs w:val="20"/>
        </w:rPr>
        <w:t>Estimates:</w:t>
      </w:r>
    </w:p>
    <w:p w14:paraId="1C6D0965" w14:textId="77777777" w:rsidR="00236301" w:rsidRDefault="00265296">
      <w:pPr>
        <w:pStyle w:val="NormalWeb"/>
        <w:divId w:val="1244484769"/>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Pr>
          <w:sz w:val="20"/>
          <w:szCs w:val="20"/>
        </w:rPr>
        <w:br/>
      </w:r>
      <w:r>
        <w:rPr>
          <w:sz w:val="20"/>
          <w:szCs w:val="20"/>
        </w:rPr>
        <w:br/>
      </w:r>
      <w:r>
        <w:rPr>
          <w:i/>
          <w:iCs/>
          <w:sz w:val="20"/>
          <w:szCs w:val="20"/>
        </w:rPr>
        <w:t>Concentrations of Credit Risk:</w:t>
      </w:r>
    </w:p>
    <w:p w14:paraId="1E0E3399" w14:textId="77777777" w:rsidR="00236301" w:rsidRDefault="00265296">
      <w:pPr>
        <w:pStyle w:val="NormalWeb"/>
        <w:divId w:val="1244484769"/>
      </w:pPr>
      <w:r>
        <w:rPr>
          <w:sz w:val="20"/>
          <w:szCs w:val="20"/>
        </w:rPr>
        <w:t>Financial instruments that potentially subject the Company to major credit risk consist principally of a single subsidiary of Anton Nielsen Vojens ApS.</w:t>
      </w:r>
    </w:p>
    <w:p w14:paraId="21DE2823" w14:textId="77777777" w:rsidR="00236301" w:rsidRDefault="00265296">
      <w:pPr>
        <w:pStyle w:val="NormalWeb"/>
        <w:spacing w:after="240" w:afterAutospacing="0"/>
        <w:divId w:val="1788502657"/>
      </w:pPr>
      <w:r>
        <w:rPr>
          <w:i/>
          <w:iCs/>
          <w:sz w:val="20"/>
          <w:szCs w:val="20"/>
        </w:rPr>
        <w:t>Subsequent Events:</w:t>
      </w:r>
    </w:p>
    <w:p w14:paraId="62B678FD" w14:textId="77777777" w:rsidR="00236301" w:rsidRDefault="00265296">
      <w:pPr>
        <w:pStyle w:val="NormalWeb"/>
        <w:spacing w:after="240" w:afterAutospacing="0"/>
        <w:divId w:val="1788502657"/>
      </w:pPr>
      <w:r>
        <w:rPr>
          <w:sz w:val="20"/>
          <w:szCs w:val="20"/>
        </w:rPr>
        <w:t xml:space="preserve">The Company evaluated subsequent events and transactions for potential recognition or </w:t>
      </w:r>
      <w:r w:rsidR="00B23BBD">
        <w:rPr>
          <w:sz w:val="20"/>
          <w:szCs w:val="20"/>
        </w:rPr>
        <w:t>disclosure</w:t>
      </w:r>
      <w:r>
        <w:rPr>
          <w:sz w:val="20"/>
          <w:szCs w:val="20"/>
        </w:rPr>
        <w:t xml:space="preserve"> in the </w:t>
      </w:r>
      <w:r w:rsidR="00B23BBD">
        <w:rPr>
          <w:sz w:val="20"/>
          <w:szCs w:val="20"/>
        </w:rPr>
        <w:t>consolidated</w:t>
      </w:r>
      <w:r>
        <w:rPr>
          <w:sz w:val="20"/>
          <w:szCs w:val="20"/>
        </w:rPr>
        <w:t xml:space="preserve"> financial statements through the date of issuance.</w:t>
      </w:r>
    </w:p>
    <w:p w14:paraId="0D4C7D8C" w14:textId="77777777" w:rsidR="00236301" w:rsidRDefault="00265296">
      <w:pPr>
        <w:pStyle w:val="NormalWeb"/>
        <w:spacing w:after="240" w:afterAutospacing="0"/>
        <w:divId w:val="1788502657"/>
      </w:pPr>
      <w:r>
        <w:rPr>
          <w:i/>
          <w:iCs/>
          <w:sz w:val="20"/>
          <w:szCs w:val="20"/>
        </w:rPr>
        <w:t>Recently Issued Accounting Standards</w:t>
      </w:r>
    </w:p>
    <w:p w14:paraId="181C4D45" w14:textId="77777777" w:rsidR="0010454A" w:rsidRDefault="0010454A">
      <w:pPr>
        <w:pStyle w:val="NormalWeb"/>
        <w:divId w:val="1175192839"/>
        <w:rPr>
          <w:sz w:val="20"/>
          <w:szCs w:val="20"/>
        </w:rPr>
      </w:pPr>
      <w:r>
        <w:rPr>
          <w:sz w:val="20"/>
          <w:szCs w:val="20"/>
        </w:rPr>
        <w:t xml:space="preserve">    In February 2016, the FASB issued ASU No. 2016-02 - Leases (Topic 842), which sets out the principles for the recognition, measurement, presentation and disclosure of leases for both parties to a contract (i.e. lessees and lessors). The new standard requires lessees to apply a dual approach, classifying leases as either financing or operating leases based on the principle of whether or not the lease is effectively a financed purchase by the lessee. This classification will determine whether lease expense is recognized based on an effective interest method or on a straight line basis over the term of the lease, respectively. A lessee is also required to record a right-of-use asset and a lease liability for all leases with a term of greater than 12 months regardless of their classification.  Leases with a term of 12 months or less will be accounted for similar to existing guidance for operating leases today. The new standard requires lessors to account for leases using an approach that is substantially equivalent to existing guidance for sales-type leases, direct financing leases and operating leases. The standard is effective on January 1, 2019, however early adoption is permitted.  The Company is in the process of evaluating the impact of this new guidance. </w:t>
      </w:r>
    </w:p>
    <w:p w14:paraId="2F0A51CD" w14:textId="77777777" w:rsidR="00236301" w:rsidRDefault="00265296">
      <w:pPr>
        <w:pStyle w:val="NormalWeb"/>
        <w:divId w:val="1175192839"/>
      </w:pPr>
      <w:r>
        <w:rPr>
          <w:sz w:val="20"/>
          <w:szCs w:val="20"/>
        </w:rPr>
        <w:lastRenderedPageBreak/>
        <w:t>In February 2015, the FASB issued Accounting Standards Update No. 2015-02 (ASU 2015-02) "Consolidation (Topic 810): Amendments to the Consolidation Analysis." ASU 2015-02 changes the analysis that a reporting entity must perform to determine whether it should consolidate certain types of legal entities. It is effective for annual reporting periods, and interim periods within those years, beginning after December 15, 2015. Early adoption is permitted, including adoption in an interim period. We do not anticipate that the adoption of ASU 2015-02 will have any impact on our consolidated financial statements.</w:t>
      </w:r>
    </w:p>
    <w:p w14:paraId="39F0E1DE" w14:textId="77777777" w:rsidR="00236301" w:rsidRDefault="00265296">
      <w:pPr>
        <w:pStyle w:val="NormalWeb"/>
        <w:divId w:val="1175192839"/>
      </w:pPr>
      <w:r>
        <w:rPr>
          <w:sz w:val="20"/>
          <w:szCs w:val="20"/>
        </w:rPr>
        <w:t>Other recent accounting pronouncements issued by the FASB did not or are not believed by management to have a material impact on the Company's present or future financial statements.</w:t>
      </w:r>
    </w:p>
    <w:p w14:paraId="6915C48F" w14:textId="77777777" w:rsidR="00236301" w:rsidRDefault="00265296">
      <w:pPr>
        <w:pStyle w:val="NormalWeb"/>
        <w:divId w:val="1788502657"/>
      </w:pPr>
      <w:r>
        <w:rPr>
          <w:b/>
          <w:bCs/>
          <w:sz w:val="20"/>
          <w:szCs w:val="20"/>
        </w:rPr>
        <w:t>NOTE 3 - MAJOR CUSTOMER:</w:t>
      </w:r>
    </w:p>
    <w:p w14:paraId="032283A9" w14:textId="77777777" w:rsidR="00236301" w:rsidRDefault="00265296">
      <w:pPr>
        <w:pStyle w:val="NormalWeb"/>
        <w:divId w:val="1788502657"/>
      </w:pPr>
      <w:r>
        <w:rPr>
          <w:sz w:val="20"/>
          <w:szCs w:val="20"/>
        </w:rPr>
        <w:t xml:space="preserve">The Company's subsidiary, Anton Nielsen Vojens, ApS has sales to one customer who is a non related party. For the period ending June 30, 2016 and June 30, 2015 the major customer concentrations were as follows: </w:t>
      </w:r>
    </w:p>
    <w:tbl>
      <w:tblPr>
        <w:tblW w:w="2500" w:type="pct"/>
        <w:tblCellSpacing w:w="0" w:type="dxa"/>
        <w:tblCellMar>
          <w:left w:w="0" w:type="dxa"/>
          <w:right w:w="0" w:type="dxa"/>
        </w:tblCellMar>
        <w:tblLook w:val="04A0" w:firstRow="1" w:lastRow="0" w:firstColumn="1" w:lastColumn="0" w:noHBand="0" w:noVBand="1"/>
      </w:tblPr>
      <w:tblGrid>
        <w:gridCol w:w="3240"/>
        <w:gridCol w:w="1620"/>
        <w:gridCol w:w="1620"/>
      </w:tblGrid>
      <w:tr w:rsidR="00236301" w14:paraId="305A72D7" w14:textId="77777777">
        <w:trPr>
          <w:divId w:val="1788502657"/>
          <w:tblCellSpacing w:w="0" w:type="dxa"/>
        </w:trPr>
        <w:tc>
          <w:tcPr>
            <w:tcW w:w="2500" w:type="pct"/>
            <w:shd w:val="clear" w:color="auto" w:fill="CCEEFF"/>
            <w:vAlign w:val="center"/>
            <w:hideMark/>
          </w:tcPr>
          <w:p w14:paraId="5E219879" w14:textId="77777777" w:rsidR="00236301" w:rsidRDefault="00265296">
            <w:pPr>
              <w:rPr>
                <w:rFonts w:eastAsia="Times New Roman"/>
              </w:rPr>
            </w:pPr>
            <w:r>
              <w:rPr>
                <w:rFonts w:eastAsia="Times New Roman"/>
                <w:b/>
                <w:bCs/>
              </w:rPr>
              <w:t> </w:t>
            </w:r>
          </w:p>
        </w:tc>
        <w:tc>
          <w:tcPr>
            <w:tcW w:w="0" w:type="auto"/>
            <w:gridSpan w:val="2"/>
            <w:shd w:val="clear" w:color="auto" w:fill="CCEEFF"/>
            <w:vAlign w:val="center"/>
            <w:hideMark/>
          </w:tcPr>
          <w:p w14:paraId="49E34EFF" w14:textId="77777777" w:rsidR="00236301" w:rsidRDefault="00265296">
            <w:pPr>
              <w:pStyle w:val="NormalWeb"/>
              <w:jc w:val="center"/>
            </w:pPr>
            <w:r>
              <w:rPr>
                <w:b/>
                <w:bCs/>
                <w:sz w:val="20"/>
                <w:szCs w:val="20"/>
              </w:rPr>
              <w:t xml:space="preserve">Percent of Sales </w:t>
            </w:r>
            <w:r>
              <w:rPr>
                <w:b/>
                <w:bCs/>
              </w:rPr>
              <w:br/>
            </w:r>
            <w:r>
              <w:rPr>
                <w:b/>
                <w:bCs/>
                <w:sz w:val="20"/>
                <w:szCs w:val="20"/>
              </w:rPr>
              <w:t xml:space="preserve">for the Period ending June 30, </w:t>
            </w:r>
          </w:p>
        </w:tc>
      </w:tr>
      <w:tr w:rsidR="00236301" w14:paraId="3B47DE42" w14:textId="77777777">
        <w:trPr>
          <w:divId w:val="1788502657"/>
          <w:tblCellSpacing w:w="0" w:type="dxa"/>
        </w:trPr>
        <w:tc>
          <w:tcPr>
            <w:tcW w:w="0" w:type="auto"/>
            <w:shd w:val="clear" w:color="auto" w:fill="FFFFFF"/>
            <w:vAlign w:val="center"/>
            <w:hideMark/>
          </w:tcPr>
          <w:p w14:paraId="18F472A8" w14:textId="77777777" w:rsidR="00236301" w:rsidRDefault="00265296">
            <w:pPr>
              <w:pStyle w:val="NormalWeb"/>
              <w:jc w:val="center"/>
            </w:pPr>
            <w:r>
              <w:rPr>
                <w:b/>
                <w:bCs/>
                <w:sz w:val="20"/>
                <w:szCs w:val="20"/>
              </w:rPr>
              <w:t>Customer</w:t>
            </w:r>
          </w:p>
        </w:tc>
        <w:tc>
          <w:tcPr>
            <w:tcW w:w="0" w:type="auto"/>
            <w:shd w:val="clear" w:color="auto" w:fill="FFFFFF"/>
            <w:vAlign w:val="center"/>
            <w:hideMark/>
          </w:tcPr>
          <w:p w14:paraId="74DF549F" w14:textId="77777777" w:rsidR="00236301" w:rsidRDefault="00265296">
            <w:pPr>
              <w:pStyle w:val="NormalWeb"/>
              <w:jc w:val="center"/>
            </w:pPr>
            <w:r>
              <w:rPr>
                <w:b/>
                <w:bCs/>
                <w:sz w:val="20"/>
                <w:szCs w:val="20"/>
                <w:u w:val="single"/>
              </w:rPr>
              <w:t>2016</w:t>
            </w:r>
          </w:p>
        </w:tc>
        <w:tc>
          <w:tcPr>
            <w:tcW w:w="0" w:type="auto"/>
            <w:shd w:val="clear" w:color="auto" w:fill="FFFFFF"/>
            <w:vAlign w:val="center"/>
            <w:hideMark/>
          </w:tcPr>
          <w:p w14:paraId="36BE3D71" w14:textId="77777777" w:rsidR="00236301" w:rsidRDefault="00265296">
            <w:pPr>
              <w:pStyle w:val="NormalWeb"/>
              <w:jc w:val="center"/>
            </w:pPr>
            <w:r>
              <w:rPr>
                <w:b/>
                <w:bCs/>
                <w:sz w:val="20"/>
                <w:szCs w:val="20"/>
                <w:u w:val="single"/>
              </w:rPr>
              <w:t>2015</w:t>
            </w:r>
          </w:p>
        </w:tc>
      </w:tr>
      <w:tr w:rsidR="00236301" w14:paraId="3E471B29" w14:textId="77777777">
        <w:trPr>
          <w:divId w:val="1788502657"/>
          <w:tblCellSpacing w:w="0" w:type="dxa"/>
        </w:trPr>
        <w:tc>
          <w:tcPr>
            <w:tcW w:w="0" w:type="auto"/>
            <w:shd w:val="clear" w:color="auto" w:fill="CCEEFF"/>
            <w:vAlign w:val="center"/>
            <w:hideMark/>
          </w:tcPr>
          <w:p w14:paraId="4F266B62" w14:textId="77777777" w:rsidR="00236301" w:rsidRDefault="00265296">
            <w:pPr>
              <w:pStyle w:val="NormalWeb"/>
              <w:jc w:val="center"/>
            </w:pPr>
            <w:r>
              <w:rPr>
                <w:sz w:val="20"/>
                <w:szCs w:val="20"/>
              </w:rPr>
              <w:t>A</w:t>
            </w:r>
          </w:p>
        </w:tc>
        <w:tc>
          <w:tcPr>
            <w:tcW w:w="0" w:type="auto"/>
            <w:shd w:val="clear" w:color="auto" w:fill="CCEEFF"/>
            <w:vAlign w:val="center"/>
            <w:hideMark/>
          </w:tcPr>
          <w:p w14:paraId="0FF26D8A" w14:textId="77777777" w:rsidR="00236301" w:rsidRDefault="00265296">
            <w:pPr>
              <w:pStyle w:val="NormalWeb"/>
              <w:jc w:val="right"/>
            </w:pPr>
            <w:r>
              <w:rPr>
                <w:sz w:val="20"/>
                <w:szCs w:val="20"/>
              </w:rPr>
              <w:t>100%</w:t>
            </w:r>
          </w:p>
        </w:tc>
        <w:tc>
          <w:tcPr>
            <w:tcW w:w="0" w:type="auto"/>
            <w:shd w:val="clear" w:color="auto" w:fill="CCEEFF"/>
            <w:vAlign w:val="center"/>
            <w:hideMark/>
          </w:tcPr>
          <w:p w14:paraId="6260FFED" w14:textId="77777777" w:rsidR="00236301" w:rsidRDefault="00265296">
            <w:pPr>
              <w:pStyle w:val="NormalWeb"/>
              <w:jc w:val="right"/>
            </w:pPr>
            <w:r>
              <w:rPr>
                <w:sz w:val="20"/>
                <w:szCs w:val="20"/>
              </w:rPr>
              <w:t>100%</w:t>
            </w:r>
          </w:p>
        </w:tc>
      </w:tr>
      <w:tr w:rsidR="00236301" w14:paraId="2F9315C9" w14:textId="77777777">
        <w:trPr>
          <w:divId w:val="1788502657"/>
          <w:tblCellSpacing w:w="0" w:type="dxa"/>
        </w:trPr>
        <w:tc>
          <w:tcPr>
            <w:tcW w:w="0" w:type="auto"/>
            <w:shd w:val="clear" w:color="auto" w:fill="FFFFFF"/>
            <w:vAlign w:val="center"/>
            <w:hideMark/>
          </w:tcPr>
          <w:p w14:paraId="48E9DB98" w14:textId="77777777" w:rsidR="00236301" w:rsidRDefault="00265296">
            <w:pPr>
              <w:pStyle w:val="NormalWeb"/>
              <w:jc w:val="right"/>
            </w:pPr>
            <w:r>
              <w:rPr>
                <w:sz w:val="20"/>
                <w:szCs w:val="20"/>
              </w:rPr>
              <w:t>-</w:t>
            </w:r>
          </w:p>
        </w:tc>
        <w:tc>
          <w:tcPr>
            <w:tcW w:w="0" w:type="auto"/>
            <w:shd w:val="clear" w:color="auto" w:fill="FFFFFF"/>
            <w:vAlign w:val="center"/>
            <w:hideMark/>
          </w:tcPr>
          <w:p w14:paraId="4E9A3F0B" w14:textId="77777777" w:rsidR="00236301" w:rsidRDefault="00265296">
            <w:pPr>
              <w:pStyle w:val="NormalWeb"/>
              <w:jc w:val="right"/>
            </w:pPr>
            <w:r>
              <w:rPr>
                <w:sz w:val="20"/>
                <w:szCs w:val="20"/>
              </w:rPr>
              <w:t>-</w:t>
            </w:r>
          </w:p>
        </w:tc>
        <w:tc>
          <w:tcPr>
            <w:tcW w:w="0" w:type="auto"/>
            <w:shd w:val="clear" w:color="auto" w:fill="FFFFFF"/>
            <w:vAlign w:val="center"/>
            <w:hideMark/>
          </w:tcPr>
          <w:p w14:paraId="0E716742" w14:textId="77777777" w:rsidR="00236301" w:rsidRDefault="00265296">
            <w:pPr>
              <w:pStyle w:val="NormalWeb"/>
              <w:jc w:val="right"/>
            </w:pPr>
            <w:r>
              <w:rPr>
                <w:sz w:val="20"/>
                <w:szCs w:val="20"/>
              </w:rPr>
              <w:t>-</w:t>
            </w:r>
          </w:p>
        </w:tc>
      </w:tr>
      <w:tr w:rsidR="00236301" w14:paraId="33EF08C1" w14:textId="77777777">
        <w:trPr>
          <w:divId w:val="1788502657"/>
          <w:tblCellSpacing w:w="0" w:type="dxa"/>
        </w:trPr>
        <w:tc>
          <w:tcPr>
            <w:tcW w:w="0" w:type="auto"/>
            <w:shd w:val="clear" w:color="auto" w:fill="CCEEFF"/>
            <w:vAlign w:val="center"/>
            <w:hideMark/>
          </w:tcPr>
          <w:p w14:paraId="38B78C72" w14:textId="77777777" w:rsidR="00236301" w:rsidRDefault="00084F74">
            <w:pPr>
              <w:jc w:val="center"/>
              <w:rPr>
                <w:rFonts w:eastAsia="Times New Roman"/>
                <w:sz w:val="20"/>
                <w:szCs w:val="20"/>
              </w:rPr>
            </w:pPr>
            <w:r>
              <w:rPr>
                <w:rFonts w:eastAsia="Times New Roman"/>
                <w:sz w:val="20"/>
                <w:szCs w:val="20"/>
              </w:rPr>
              <w:pict w14:anchorId="20A6B859">
                <v:rect id="_x0000_i1068" style="width:.05pt;height:1pt" o:hralign="center" o:hrstd="t" o:hr="t" fillcolor="#a0a0a0" stroked="f"/>
              </w:pict>
            </w:r>
          </w:p>
        </w:tc>
        <w:tc>
          <w:tcPr>
            <w:tcW w:w="0" w:type="auto"/>
            <w:shd w:val="clear" w:color="auto" w:fill="CCEEFF"/>
            <w:vAlign w:val="center"/>
            <w:hideMark/>
          </w:tcPr>
          <w:p w14:paraId="7493D5BD" w14:textId="77777777" w:rsidR="00236301" w:rsidRDefault="00084F74">
            <w:pPr>
              <w:jc w:val="center"/>
              <w:rPr>
                <w:rFonts w:eastAsia="Times New Roman"/>
                <w:sz w:val="20"/>
                <w:szCs w:val="20"/>
              </w:rPr>
            </w:pPr>
            <w:r>
              <w:rPr>
                <w:rFonts w:eastAsia="Times New Roman"/>
                <w:sz w:val="20"/>
                <w:szCs w:val="20"/>
              </w:rPr>
              <w:pict w14:anchorId="36FAFB6F">
                <v:rect id="_x0000_i1069" style="width:.05pt;height:1pt" o:hralign="center" o:hrstd="t" o:hr="t" fillcolor="#a0a0a0" stroked="f"/>
              </w:pict>
            </w:r>
          </w:p>
        </w:tc>
        <w:tc>
          <w:tcPr>
            <w:tcW w:w="0" w:type="auto"/>
            <w:shd w:val="clear" w:color="auto" w:fill="CCEEFF"/>
            <w:vAlign w:val="center"/>
            <w:hideMark/>
          </w:tcPr>
          <w:p w14:paraId="667BBC2D" w14:textId="77777777" w:rsidR="00236301" w:rsidRDefault="00084F74">
            <w:pPr>
              <w:jc w:val="center"/>
              <w:rPr>
                <w:rFonts w:eastAsia="Times New Roman"/>
                <w:sz w:val="20"/>
                <w:szCs w:val="20"/>
              </w:rPr>
            </w:pPr>
            <w:r>
              <w:rPr>
                <w:rFonts w:eastAsia="Times New Roman"/>
                <w:sz w:val="20"/>
                <w:szCs w:val="20"/>
              </w:rPr>
              <w:pict w14:anchorId="558CA7A4">
                <v:rect id="_x0000_i1070" style="width:.05pt;height:1pt" o:hralign="center" o:hrstd="t" o:hr="t" fillcolor="#a0a0a0" stroked="f"/>
              </w:pict>
            </w:r>
          </w:p>
        </w:tc>
      </w:tr>
      <w:tr w:rsidR="00236301" w14:paraId="64C955D3" w14:textId="77777777">
        <w:trPr>
          <w:divId w:val="1788502657"/>
          <w:tblCellSpacing w:w="0" w:type="dxa"/>
        </w:trPr>
        <w:tc>
          <w:tcPr>
            <w:tcW w:w="0" w:type="auto"/>
            <w:shd w:val="clear" w:color="auto" w:fill="FFFFFF"/>
            <w:vAlign w:val="center"/>
            <w:hideMark/>
          </w:tcPr>
          <w:p w14:paraId="742F97FF" w14:textId="77777777" w:rsidR="00236301" w:rsidRDefault="00265296">
            <w:pPr>
              <w:pStyle w:val="NormalWeb"/>
              <w:jc w:val="right"/>
            </w:pPr>
            <w:r>
              <w:rPr>
                <w:b/>
                <w:bCs/>
                <w:sz w:val="20"/>
                <w:szCs w:val="20"/>
              </w:rPr>
              <w:t>Total Sales from Major Customers</w:t>
            </w:r>
          </w:p>
        </w:tc>
        <w:tc>
          <w:tcPr>
            <w:tcW w:w="0" w:type="auto"/>
            <w:shd w:val="clear" w:color="auto" w:fill="FFFFFF"/>
            <w:vAlign w:val="center"/>
            <w:hideMark/>
          </w:tcPr>
          <w:p w14:paraId="60E70134" w14:textId="77777777" w:rsidR="00236301" w:rsidRDefault="00265296">
            <w:pPr>
              <w:pStyle w:val="NormalWeb"/>
              <w:jc w:val="right"/>
            </w:pPr>
            <w:r>
              <w:rPr>
                <w:b/>
                <w:bCs/>
                <w:sz w:val="20"/>
                <w:szCs w:val="20"/>
              </w:rPr>
              <w:t>100%</w:t>
            </w:r>
          </w:p>
        </w:tc>
        <w:tc>
          <w:tcPr>
            <w:tcW w:w="0" w:type="auto"/>
            <w:shd w:val="clear" w:color="auto" w:fill="FFFFFF"/>
            <w:vAlign w:val="center"/>
            <w:hideMark/>
          </w:tcPr>
          <w:p w14:paraId="19261391" w14:textId="77777777" w:rsidR="00236301" w:rsidRDefault="00265296">
            <w:pPr>
              <w:pStyle w:val="NormalWeb"/>
              <w:jc w:val="right"/>
            </w:pPr>
            <w:r>
              <w:rPr>
                <w:b/>
                <w:bCs/>
                <w:sz w:val="20"/>
                <w:szCs w:val="20"/>
              </w:rPr>
              <w:t>100%</w:t>
            </w:r>
          </w:p>
        </w:tc>
      </w:tr>
    </w:tbl>
    <w:p w14:paraId="1AEE69AE" w14:textId="77777777" w:rsidR="00236301" w:rsidRDefault="00265296">
      <w:pPr>
        <w:pStyle w:val="auto-style2"/>
        <w:divId w:val="1384713872"/>
      </w:pPr>
      <w:r>
        <w:rPr>
          <w:b/>
          <w:bCs/>
          <w:sz w:val="20"/>
          <w:szCs w:val="20"/>
        </w:rPr>
        <w:t>F-11</w:t>
      </w:r>
    </w:p>
    <w:p w14:paraId="4758EC83" w14:textId="77777777" w:rsidR="00236301" w:rsidRDefault="00084F74">
      <w:pPr>
        <w:divId w:val="1384713872"/>
        <w:rPr>
          <w:rFonts w:eastAsia="Times New Roman"/>
          <w:sz w:val="20"/>
          <w:szCs w:val="20"/>
        </w:rPr>
      </w:pPr>
      <w:r>
        <w:rPr>
          <w:rFonts w:eastAsia="Times New Roman"/>
          <w:sz w:val="20"/>
          <w:szCs w:val="20"/>
        </w:rPr>
        <w:pict w14:anchorId="10082203">
          <v:rect id="_x0000_i1071" style="width:.05pt;height:1pt" o:hralign="center" o:hrstd="t" o:hrnoshade="t" o:hr="t" fillcolor="blue" stroked="f"/>
        </w:pict>
      </w:r>
    </w:p>
    <w:p w14:paraId="39762F30" w14:textId="77777777" w:rsidR="00236301" w:rsidRDefault="00265296">
      <w:pPr>
        <w:pStyle w:val="NormalWeb"/>
        <w:divId w:val="1788502657"/>
      </w:pPr>
      <w:r>
        <w:rPr>
          <w:b/>
          <w:bCs/>
          <w:color w:val="000000"/>
          <w:sz w:val="20"/>
          <w:szCs w:val="20"/>
        </w:rPr>
        <w:t xml:space="preserve">NOTE 4 - LAND AND </w:t>
      </w:r>
      <w:proofErr w:type="gramStart"/>
      <w:r>
        <w:rPr>
          <w:b/>
          <w:bCs/>
          <w:color w:val="000000"/>
          <w:sz w:val="20"/>
          <w:szCs w:val="20"/>
        </w:rPr>
        <w:t>BUILDINGS :</w:t>
      </w:r>
      <w:proofErr w:type="gramEnd"/>
    </w:p>
    <w:p w14:paraId="05FD16DD" w14:textId="5F2CDA88" w:rsidR="00236301" w:rsidRDefault="00265296">
      <w:pPr>
        <w:pStyle w:val="NormalWeb"/>
        <w:divId w:val="1788502657"/>
      </w:pPr>
      <w:r>
        <w:rPr>
          <w:sz w:val="20"/>
          <w:szCs w:val="20"/>
        </w:rPr>
        <w:t xml:space="preserve">The Land owned by the Company's wholly owned subsidiary constitutes the largest asset of the Company. During the period ending June 30, 2016 the Company recorded </w:t>
      </w:r>
      <w:proofErr w:type="gramStart"/>
      <w:r>
        <w:rPr>
          <w:sz w:val="20"/>
          <w:szCs w:val="20"/>
        </w:rPr>
        <w:t>an</w:t>
      </w:r>
      <w:proofErr w:type="gramEnd"/>
      <w:r>
        <w:rPr>
          <w:sz w:val="20"/>
          <w:szCs w:val="20"/>
        </w:rPr>
        <w:t xml:space="preserve"> decrease in the value of the Land of $</w:t>
      </w:r>
      <w:r w:rsidR="00D27240">
        <w:rPr>
          <w:sz w:val="20"/>
          <w:szCs w:val="20"/>
        </w:rPr>
        <w:t>10,168</w:t>
      </w:r>
      <w:r>
        <w:rPr>
          <w:sz w:val="20"/>
          <w:szCs w:val="20"/>
        </w:rPr>
        <w:t xml:space="preserve"> due to the fluctuation in the currency of the dollar. The value of the Land of the Company was as follows:</w:t>
      </w:r>
      <w:r>
        <w:t xml:space="preserve"> </w:t>
      </w:r>
    </w:p>
    <w:p w14:paraId="5962C844" w14:textId="77777777" w:rsidR="00236301" w:rsidRDefault="00236301">
      <w:pPr>
        <w:pStyle w:val="NormalWeb"/>
        <w:divId w:val="1788502657"/>
      </w:pPr>
    </w:p>
    <w:tbl>
      <w:tblPr>
        <w:tblW w:w="2500" w:type="pct"/>
        <w:tblCellSpacing w:w="0" w:type="dxa"/>
        <w:tblCellMar>
          <w:left w:w="0" w:type="dxa"/>
          <w:right w:w="0" w:type="dxa"/>
        </w:tblCellMar>
        <w:tblLook w:val="04A0" w:firstRow="1" w:lastRow="0" w:firstColumn="1" w:lastColumn="0" w:noHBand="0" w:noVBand="1"/>
      </w:tblPr>
      <w:tblGrid>
        <w:gridCol w:w="3240"/>
        <w:gridCol w:w="1620"/>
        <w:gridCol w:w="1620"/>
      </w:tblGrid>
      <w:tr w:rsidR="00236301" w14:paraId="5F554E21" w14:textId="77777777">
        <w:trPr>
          <w:divId w:val="1788502657"/>
          <w:tblCellSpacing w:w="0" w:type="dxa"/>
        </w:trPr>
        <w:tc>
          <w:tcPr>
            <w:tcW w:w="2500" w:type="pct"/>
            <w:shd w:val="clear" w:color="auto" w:fill="CCEEFF"/>
            <w:vAlign w:val="center"/>
            <w:hideMark/>
          </w:tcPr>
          <w:p w14:paraId="3DA9CA72" w14:textId="77777777" w:rsidR="00236301" w:rsidRDefault="00265296">
            <w:pPr>
              <w:rPr>
                <w:rFonts w:eastAsia="Times New Roman"/>
              </w:rPr>
            </w:pPr>
            <w:r>
              <w:rPr>
                <w:rFonts w:eastAsia="Times New Roman"/>
                <w:b/>
                <w:bCs/>
              </w:rPr>
              <w:t> </w:t>
            </w:r>
          </w:p>
        </w:tc>
        <w:tc>
          <w:tcPr>
            <w:tcW w:w="0" w:type="auto"/>
            <w:gridSpan w:val="2"/>
            <w:shd w:val="clear" w:color="auto" w:fill="CCEEFF"/>
            <w:vAlign w:val="center"/>
            <w:hideMark/>
          </w:tcPr>
          <w:p w14:paraId="35C846EA" w14:textId="77777777" w:rsidR="00236301" w:rsidRDefault="00265296">
            <w:pPr>
              <w:rPr>
                <w:rFonts w:eastAsia="Times New Roman"/>
              </w:rPr>
            </w:pPr>
            <w:r>
              <w:rPr>
                <w:rFonts w:eastAsia="Times New Roman"/>
                <w:b/>
                <w:bCs/>
                <w:sz w:val="20"/>
                <w:szCs w:val="20"/>
              </w:rPr>
              <w:t>Value of Land at June 30,</w:t>
            </w:r>
          </w:p>
        </w:tc>
      </w:tr>
      <w:tr w:rsidR="00236301" w14:paraId="7788D917" w14:textId="77777777">
        <w:trPr>
          <w:divId w:val="1788502657"/>
          <w:tblCellSpacing w:w="0" w:type="dxa"/>
        </w:trPr>
        <w:tc>
          <w:tcPr>
            <w:tcW w:w="0" w:type="auto"/>
            <w:shd w:val="clear" w:color="auto" w:fill="FFFFFF"/>
            <w:vAlign w:val="center"/>
            <w:hideMark/>
          </w:tcPr>
          <w:p w14:paraId="66A340FF" w14:textId="77777777" w:rsidR="00236301" w:rsidRDefault="00265296">
            <w:pPr>
              <w:rPr>
                <w:rFonts w:eastAsia="Times New Roman"/>
              </w:rPr>
            </w:pPr>
            <w:r>
              <w:rPr>
                <w:rFonts w:eastAsia="Times New Roman"/>
              </w:rPr>
              <w:t> </w:t>
            </w:r>
          </w:p>
        </w:tc>
        <w:tc>
          <w:tcPr>
            <w:tcW w:w="0" w:type="auto"/>
            <w:shd w:val="clear" w:color="auto" w:fill="FFFFFF"/>
            <w:vAlign w:val="center"/>
            <w:hideMark/>
          </w:tcPr>
          <w:p w14:paraId="20015DE4" w14:textId="77777777" w:rsidR="00236301" w:rsidRDefault="00265296">
            <w:pPr>
              <w:pStyle w:val="NormalWeb"/>
              <w:jc w:val="center"/>
            </w:pPr>
            <w:r>
              <w:rPr>
                <w:b/>
                <w:bCs/>
                <w:sz w:val="20"/>
                <w:szCs w:val="20"/>
                <w:u w:val="single"/>
              </w:rPr>
              <w:t>2016</w:t>
            </w:r>
          </w:p>
        </w:tc>
        <w:tc>
          <w:tcPr>
            <w:tcW w:w="0" w:type="auto"/>
            <w:shd w:val="clear" w:color="auto" w:fill="FFFFFF"/>
            <w:vAlign w:val="center"/>
            <w:hideMark/>
          </w:tcPr>
          <w:p w14:paraId="6F7BB2D7" w14:textId="77777777" w:rsidR="00236301" w:rsidRDefault="00265296">
            <w:pPr>
              <w:pStyle w:val="NormalWeb"/>
              <w:jc w:val="center"/>
            </w:pPr>
            <w:r>
              <w:rPr>
                <w:b/>
                <w:bCs/>
                <w:sz w:val="20"/>
                <w:szCs w:val="20"/>
                <w:u w:val="single"/>
              </w:rPr>
              <w:t>2015</w:t>
            </w:r>
          </w:p>
        </w:tc>
      </w:tr>
      <w:tr w:rsidR="00236301" w14:paraId="6281C9B2" w14:textId="77777777">
        <w:trPr>
          <w:divId w:val="1788502657"/>
          <w:tblCellSpacing w:w="0" w:type="dxa"/>
        </w:trPr>
        <w:tc>
          <w:tcPr>
            <w:tcW w:w="0" w:type="auto"/>
            <w:shd w:val="clear" w:color="auto" w:fill="CCEEFF"/>
            <w:vAlign w:val="center"/>
            <w:hideMark/>
          </w:tcPr>
          <w:p w14:paraId="57FD3247" w14:textId="77777777" w:rsidR="00236301" w:rsidRDefault="00265296">
            <w:pPr>
              <w:pStyle w:val="NormalWeb"/>
              <w:jc w:val="center"/>
            </w:pPr>
            <w:r>
              <w:rPr>
                <w:sz w:val="20"/>
                <w:szCs w:val="20"/>
              </w:rPr>
              <w:t>US Dollars</w:t>
            </w:r>
          </w:p>
        </w:tc>
        <w:tc>
          <w:tcPr>
            <w:tcW w:w="0" w:type="auto"/>
            <w:shd w:val="clear" w:color="auto" w:fill="CCEEFF"/>
            <w:vAlign w:val="center"/>
            <w:hideMark/>
          </w:tcPr>
          <w:p w14:paraId="277EAF6D" w14:textId="6A7E5AF0" w:rsidR="00236301" w:rsidRDefault="00265296" w:rsidP="00B478AF">
            <w:pPr>
              <w:pStyle w:val="NormalWeb"/>
              <w:jc w:val="right"/>
            </w:pPr>
            <w:r>
              <w:rPr>
                <w:sz w:val="20"/>
                <w:szCs w:val="20"/>
              </w:rPr>
              <w:t>$</w:t>
            </w:r>
            <w:r w:rsidR="00B478AF">
              <w:rPr>
                <w:sz w:val="20"/>
                <w:szCs w:val="20"/>
              </w:rPr>
              <w:t>595,280</w:t>
            </w:r>
          </w:p>
        </w:tc>
        <w:tc>
          <w:tcPr>
            <w:tcW w:w="0" w:type="auto"/>
            <w:shd w:val="clear" w:color="auto" w:fill="CCEEFF"/>
            <w:vAlign w:val="center"/>
            <w:hideMark/>
          </w:tcPr>
          <w:p w14:paraId="421CB613" w14:textId="0C73A173" w:rsidR="00236301" w:rsidRDefault="00265296" w:rsidP="00B478AF">
            <w:pPr>
              <w:pStyle w:val="NormalWeb"/>
              <w:jc w:val="right"/>
            </w:pPr>
            <w:r>
              <w:rPr>
                <w:sz w:val="20"/>
                <w:szCs w:val="20"/>
              </w:rPr>
              <w:t>$</w:t>
            </w:r>
            <w:r w:rsidR="00B478AF">
              <w:rPr>
                <w:sz w:val="20"/>
                <w:szCs w:val="20"/>
              </w:rPr>
              <w:t>605,448</w:t>
            </w:r>
          </w:p>
        </w:tc>
      </w:tr>
    </w:tbl>
    <w:p w14:paraId="2823A6DB" w14:textId="77777777" w:rsidR="00236301" w:rsidRDefault="00236301">
      <w:pPr>
        <w:pStyle w:val="NormalWeb"/>
        <w:divId w:val="1788502657"/>
      </w:pPr>
    </w:p>
    <w:p w14:paraId="02A0C82C" w14:textId="79CA3CD1" w:rsidR="00D27240" w:rsidRDefault="00265296" w:rsidP="00D27240">
      <w:pPr>
        <w:pStyle w:val="NormalWeb"/>
        <w:divId w:val="1788502657"/>
        <w:rPr>
          <w:sz w:val="20"/>
          <w:szCs w:val="20"/>
        </w:rPr>
      </w:pPr>
      <w:r>
        <w:rPr>
          <w:b/>
          <w:bCs/>
          <w:sz w:val="20"/>
          <w:szCs w:val="20"/>
        </w:rPr>
        <w:t xml:space="preserve">NOTE 5 - RELATED PARTY TRANSACTIONS </w:t>
      </w:r>
      <w:r>
        <w:rPr>
          <w:b/>
          <w:bCs/>
          <w:sz w:val="20"/>
          <w:szCs w:val="20"/>
        </w:rPr>
        <w:br/>
      </w:r>
      <w:r>
        <w:rPr>
          <w:sz w:val="20"/>
          <w:szCs w:val="20"/>
        </w:rPr>
        <w:br/>
      </w:r>
    </w:p>
    <w:p w14:paraId="470D93C2" w14:textId="726C7A5C" w:rsidR="00D27240" w:rsidRDefault="00D27240" w:rsidP="00D27240">
      <w:pPr>
        <w:pStyle w:val="NormalWeb"/>
        <w:divId w:val="1788502657"/>
      </w:pPr>
      <w:r>
        <w:rPr>
          <w:sz w:val="20"/>
          <w:szCs w:val="20"/>
        </w:rPr>
        <w:t xml:space="preserve">Advances payable to Crossfields, Inc., a related party, which are not collateralized, non-interest bearing, and payable upon demand, however, the Company did not expect to make payment within one year. During the year ended June 30, 2016 and June 30, 2015 the Company had a balance of $78,262 and $60,998 respectively, from affiliates and officers to meet expenses. The balances were not collateralized, were non-interest bearing and were payable on demand. </w:t>
      </w:r>
    </w:p>
    <w:p w14:paraId="7AC4D654" w14:textId="3026B4AD" w:rsidR="00236301" w:rsidRDefault="00236301">
      <w:pPr>
        <w:pStyle w:val="NormalWeb"/>
        <w:divId w:val="1788502657"/>
      </w:pPr>
    </w:p>
    <w:p w14:paraId="6C5F4C40" w14:textId="66834879" w:rsidR="00236301" w:rsidRDefault="00265296">
      <w:pPr>
        <w:pStyle w:val="NormalWeb"/>
        <w:spacing w:after="240" w:afterAutospacing="0"/>
        <w:divId w:val="1788502657"/>
      </w:pPr>
      <w:r>
        <w:rPr>
          <w:b/>
          <w:bCs/>
          <w:sz w:val="20"/>
          <w:szCs w:val="20"/>
        </w:rPr>
        <w:t xml:space="preserve">NOTE 6 </w:t>
      </w:r>
      <w:r w:rsidR="000475B4">
        <w:rPr>
          <w:b/>
          <w:bCs/>
          <w:sz w:val="20"/>
          <w:szCs w:val="20"/>
        </w:rPr>
        <w:t>–</w:t>
      </w:r>
      <w:r>
        <w:rPr>
          <w:b/>
          <w:bCs/>
          <w:sz w:val="20"/>
          <w:szCs w:val="20"/>
        </w:rPr>
        <w:t xml:space="preserve"> </w:t>
      </w:r>
      <w:r w:rsidR="00656271">
        <w:rPr>
          <w:b/>
          <w:bCs/>
          <w:sz w:val="20"/>
          <w:szCs w:val="20"/>
        </w:rPr>
        <w:t>NOTES PAYABLE</w:t>
      </w:r>
      <w:r>
        <w:rPr>
          <w:b/>
          <w:bCs/>
          <w:sz w:val="20"/>
          <w:szCs w:val="20"/>
        </w:rPr>
        <w:t>:</w:t>
      </w:r>
    </w:p>
    <w:p w14:paraId="1EFD1748" w14:textId="77777777" w:rsidR="00236301" w:rsidRDefault="00265296">
      <w:pPr>
        <w:pStyle w:val="NormalWeb"/>
        <w:divId w:val="1788502657"/>
      </w:pPr>
      <w:r>
        <w:rPr>
          <w:i/>
          <w:iCs/>
          <w:sz w:val="20"/>
          <w:szCs w:val="20"/>
        </w:rPr>
        <w:t>Commitments</w:t>
      </w:r>
      <w:r>
        <w:rPr>
          <w:sz w:val="20"/>
          <w:szCs w:val="20"/>
        </w:rPr>
        <w:t>:</w:t>
      </w:r>
    </w:p>
    <w:p w14:paraId="6E72EB83" w14:textId="77777777" w:rsidR="00236301" w:rsidRDefault="00265296">
      <w:pPr>
        <w:pStyle w:val="NormalWeb"/>
        <w:divId w:val="1788502657"/>
      </w:pPr>
      <w:r>
        <w:rPr>
          <w:sz w:val="20"/>
          <w:szCs w:val="20"/>
        </w:rPr>
        <w:t xml:space="preserve">The Company issued a promissory note ("Note") for $650,000, payable to the Borkwood Development Ltd, a previous shareholder of the Company ("Seller"), payable and amortized monthly and carrying </w:t>
      </w:r>
      <w:r w:rsidR="00B23BBD">
        <w:rPr>
          <w:sz w:val="20"/>
          <w:szCs w:val="20"/>
        </w:rPr>
        <w:t>an</w:t>
      </w:r>
      <w:r>
        <w:rPr>
          <w:sz w:val="20"/>
          <w:szCs w:val="20"/>
        </w:rPr>
        <w:t xml:space="preserve">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t>
      </w:r>
      <w:r w:rsidR="00B23BBD">
        <w:rPr>
          <w:sz w:val="20"/>
          <w:szCs w:val="20"/>
        </w:rPr>
        <w:t>whichever</w:t>
      </w:r>
      <w:r>
        <w:rPr>
          <w:sz w:val="20"/>
          <w:szCs w:val="20"/>
        </w:rPr>
        <w:t xml:space="preserve"> is greater, divided by the previous ten day closing price of AOXY as quoted on the national exchange, or b) Fifteen million shares, </w:t>
      </w:r>
      <w:r w:rsidR="00B23BBD">
        <w:rPr>
          <w:sz w:val="20"/>
          <w:szCs w:val="20"/>
        </w:rPr>
        <w:t>whichever</w:t>
      </w:r>
      <w:r>
        <w:rPr>
          <w:sz w:val="20"/>
          <w:szCs w:val="20"/>
        </w:rPr>
        <w:t xml:space="preserve"> is lesser. The Note has been extended until July 1, 2017 and interest waived through the period ending June 30, 2016.</w:t>
      </w:r>
    </w:p>
    <w:p w14:paraId="49C1EFEF" w14:textId="53B861B1" w:rsidR="00236301" w:rsidRDefault="00265296">
      <w:pPr>
        <w:pStyle w:val="NormalWeb"/>
        <w:divId w:val="1788502657"/>
      </w:pPr>
      <w:r>
        <w:rPr>
          <w:sz w:val="20"/>
          <w:szCs w:val="20"/>
        </w:rPr>
        <w:t xml:space="preserve">The Company has a note payable with a bank. The original amount of the note was kr </w:t>
      </w:r>
      <w:r w:rsidR="00EE717F">
        <w:rPr>
          <w:sz w:val="20"/>
          <w:szCs w:val="20"/>
        </w:rPr>
        <w:t>800</w:t>
      </w:r>
      <w:r>
        <w:rPr>
          <w:sz w:val="20"/>
          <w:szCs w:val="20"/>
        </w:rPr>
        <w:t xml:space="preserve">,000 Danish Krone (kr) ("Note A"). The note is secured by the revenues of the lease with Statoil, with a 7.00% interest rate and 5 years left on the term. The balance on the note as of June 30, </w:t>
      </w:r>
      <w:r w:rsidR="00B478AF">
        <w:rPr>
          <w:sz w:val="20"/>
          <w:szCs w:val="20"/>
        </w:rPr>
        <w:t xml:space="preserve">2016 </w:t>
      </w:r>
      <w:r>
        <w:rPr>
          <w:sz w:val="20"/>
          <w:szCs w:val="20"/>
        </w:rPr>
        <w:t>was $</w:t>
      </w:r>
      <w:r w:rsidR="00B478AF">
        <w:rPr>
          <w:sz w:val="20"/>
          <w:szCs w:val="20"/>
        </w:rPr>
        <w:t>20,107</w:t>
      </w:r>
      <w:r>
        <w:rPr>
          <w:sz w:val="20"/>
          <w:szCs w:val="20"/>
        </w:rPr>
        <w:t>and the yearly payments are fixed at kr 75,000. The value of the note reflect the currency adjustments. The table below summarizes the compan</w:t>
      </w:r>
      <w:r w:rsidR="00F02AE0">
        <w:rPr>
          <w:sz w:val="20"/>
          <w:szCs w:val="20"/>
        </w:rPr>
        <w:t>y’</w:t>
      </w:r>
      <w:r>
        <w:rPr>
          <w:sz w:val="20"/>
          <w:szCs w:val="20"/>
        </w:rPr>
        <w:t>s commitments going forward.</w:t>
      </w:r>
    </w:p>
    <w:p w14:paraId="301E7AAB" w14:textId="6388B710" w:rsidR="00236301" w:rsidRDefault="00265296">
      <w:pPr>
        <w:pStyle w:val="NormalWeb"/>
        <w:divId w:val="1788502657"/>
      </w:pPr>
      <w:r>
        <w:rPr>
          <w:sz w:val="20"/>
          <w:szCs w:val="20"/>
        </w:rPr>
        <w:t xml:space="preserve">The Company has a note payable with a bank ("Note B"). The original amount of Note B was kr 1,132,000 Danish Krone (kr). Note B is secured by the subsidiary's real estate, with a 2.00% interest rate and 10 years left on the term. The balance on the note as of June 30, </w:t>
      </w:r>
      <w:r w:rsidR="00B478AF">
        <w:rPr>
          <w:sz w:val="20"/>
          <w:szCs w:val="20"/>
        </w:rPr>
        <w:t xml:space="preserve">2016 </w:t>
      </w:r>
      <w:r>
        <w:rPr>
          <w:sz w:val="20"/>
          <w:szCs w:val="20"/>
        </w:rPr>
        <w:t>was $</w:t>
      </w:r>
      <w:r w:rsidR="00B478AF">
        <w:rPr>
          <w:sz w:val="20"/>
          <w:szCs w:val="20"/>
        </w:rPr>
        <w:t>120,024</w:t>
      </w:r>
      <w:r>
        <w:rPr>
          <w:sz w:val="20"/>
          <w:szCs w:val="20"/>
        </w:rPr>
        <w:t>.</w:t>
      </w:r>
    </w:p>
    <w:p w14:paraId="1C54B99B" w14:textId="77777777" w:rsidR="00236301" w:rsidRDefault="00265296">
      <w:pPr>
        <w:pStyle w:val="auto-style2"/>
        <w:divId w:val="1788502657"/>
      </w:pPr>
      <w:r>
        <w:rPr>
          <w:sz w:val="20"/>
          <w:szCs w:val="20"/>
        </w:rPr>
        <w:br/>
      </w:r>
      <w:r>
        <w:rPr>
          <w:b/>
          <w:bCs/>
          <w:sz w:val="20"/>
          <w:szCs w:val="20"/>
        </w:rPr>
        <w:t>F-12</w:t>
      </w:r>
      <w:r>
        <w:rPr>
          <w:sz w:val="20"/>
          <w:szCs w:val="20"/>
        </w:rPr>
        <w:t xml:space="preserve"> </w:t>
      </w:r>
    </w:p>
    <w:p w14:paraId="79612DB8" w14:textId="77777777" w:rsidR="00236301" w:rsidRDefault="00084F74">
      <w:pPr>
        <w:jc w:val="center"/>
        <w:divId w:val="1788502657"/>
        <w:rPr>
          <w:rFonts w:eastAsia="Times New Roman"/>
          <w:sz w:val="20"/>
          <w:szCs w:val="20"/>
        </w:rPr>
      </w:pPr>
      <w:r>
        <w:rPr>
          <w:rFonts w:eastAsia="Times New Roman"/>
          <w:sz w:val="20"/>
          <w:szCs w:val="20"/>
        </w:rPr>
        <w:pict w14:anchorId="230D81FE">
          <v:rect id="_x0000_i1072" style="width:.05pt;height:1pt" o:hralign="center" o:hrstd="t" o:hrnoshade="t" o:hr="t" fillcolor="blue" stroked="f"/>
        </w:pict>
      </w:r>
    </w:p>
    <w:p w14:paraId="603154E2" w14:textId="5522A04F" w:rsidR="00236301" w:rsidRDefault="00265296">
      <w:pPr>
        <w:pStyle w:val="NormalWeb"/>
        <w:divId w:val="1788502657"/>
      </w:pPr>
      <w:r>
        <w:lastRenderedPageBreak/>
        <w:br/>
      </w:r>
      <w:r w:rsidR="00127C8D">
        <w:rPr>
          <w:sz w:val="20"/>
          <w:szCs w:val="20"/>
        </w:rPr>
        <w:t>The Company’s commitments and contingencies are $160,178 for 2017 and $22,089 for the years</w:t>
      </w:r>
      <w:r w:rsidR="00DE79F3">
        <w:rPr>
          <w:sz w:val="20"/>
          <w:szCs w:val="20"/>
        </w:rPr>
        <w:t xml:space="preserve"> 2018 through 2025 with a total of $347,950.  </w:t>
      </w:r>
      <w:r>
        <w:rPr>
          <w:sz w:val="20"/>
          <w:szCs w:val="20"/>
        </w:rPr>
        <w:t xml:space="preserve">The amounts stated reflect the Company's commitments in the currencies that those commitments were made and the </w:t>
      </w:r>
      <w:r w:rsidR="00DE79F3">
        <w:rPr>
          <w:sz w:val="20"/>
          <w:szCs w:val="20"/>
        </w:rPr>
        <w:t>amounts are</w:t>
      </w:r>
      <w:r>
        <w:rPr>
          <w:sz w:val="20"/>
          <w:szCs w:val="20"/>
        </w:rPr>
        <w:t xml:space="preserve"> an estimate of what the US dollar amount would be if the currency rates did not change going forward.</w:t>
      </w:r>
    </w:p>
    <w:p w14:paraId="17B78D5B" w14:textId="7BBECBD1" w:rsidR="00236301" w:rsidRDefault="00265296">
      <w:pPr>
        <w:pStyle w:val="NormalWeb"/>
        <w:divId w:val="1788502657"/>
      </w:pPr>
      <w:r>
        <w:rPr>
          <w:b/>
          <w:bCs/>
          <w:sz w:val="20"/>
          <w:szCs w:val="20"/>
        </w:rPr>
        <w:t xml:space="preserve">NOTE </w:t>
      </w:r>
      <w:r w:rsidR="00D27240">
        <w:rPr>
          <w:b/>
          <w:bCs/>
          <w:sz w:val="20"/>
          <w:szCs w:val="20"/>
        </w:rPr>
        <w:t>7</w:t>
      </w:r>
      <w:r>
        <w:rPr>
          <w:b/>
          <w:bCs/>
          <w:sz w:val="20"/>
          <w:szCs w:val="20"/>
        </w:rPr>
        <w:t xml:space="preserve"> - INCOME TAXES</w:t>
      </w:r>
    </w:p>
    <w:p w14:paraId="77B6A45C" w14:textId="77777777" w:rsidR="00236301" w:rsidRDefault="00265296">
      <w:pPr>
        <w:pStyle w:val="NormalWeb"/>
        <w:divId w:val="1788502657"/>
      </w:pPr>
      <w:r>
        <w:rPr>
          <w:sz w:val="20"/>
          <w:szCs w:val="20"/>
        </w:rPr>
        <w:t>As of June 30, 2016, the Company had federal and state net operating loss carryforwards of approximately $12,400,000 of which approximately $1,160,000 may be utilized to offset future taxable income. Section 382 of the Internal Revenue Code imposes substantial restrictions on the utilization of net operating loss and tax credit carryforwards when a change in ownership occurs. No deferred tax debits have been recorded because it is considered unlikely that they will be realized. The loss carryforwards will expire during the fiscal years ended June 30 as follows:</w:t>
      </w:r>
    </w:p>
    <w:tbl>
      <w:tblPr>
        <w:tblW w:w="3390" w:type="dxa"/>
        <w:tblCellSpacing w:w="0" w:type="dxa"/>
        <w:tblCellMar>
          <w:left w:w="0" w:type="dxa"/>
          <w:right w:w="0" w:type="dxa"/>
        </w:tblCellMar>
        <w:tblLook w:val="04A0" w:firstRow="1" w:lastRow="0" w:firstColumn="1" w:lastColumn="0" w:noHBand="0" w:noVBand="1"/>
      </w:tblPr>
      <w:tblGrid>
        <w:gridCol w:w="1044"/>
        <w:gridCol w:w="2346"/>
      </w:tblGrid>
      <w:tr w:rsidR="00236301" w14:paraId="1BAB29A6" w14:textId="77777777">
        <w:trPr>
          <w:divId w:val="1788502657"/>
          <w:tblCellSpacing w:w="0" w:type="dxa"/>
        </w:trPr>
        <w:tc>
          <w:tcPr>
            <w:tcW w:w="0" w:type="auto"/>
            <w:shd w:val="clear" w:color="auto" w:fill="CCEEFF"/>
            <w:vAlign w:val="center"/>
            <w:hideMark/>
          </w:tcPr>
          <w:p w14:paraId="34CC687D" w14:textId="77777777" w:rsidR="00236301" w:rsidRDefault="00265296">
            <w:pPr>
              <w:pStyle w:val="NormalWeb"/>
            </w:pPr>
            <w:r>
              <w:rPr>
                <w:b/>
                <w:bCs/>
                <w:sz w:val="20"/>
                <w:szCs w:val="20"/>
              </w:rPr>
              <w:t>Year</w:t>
            </w:r>
          </w:p>
        </w:tc>
        <w:tc>
          <w:tcPr>
            <w:tcW w:w="0" w:type="auto"/>
            <w:shd w:val="clear" w:color="auto" w:fill="CCEEFF"/>
            <w:vAlign w:val="center"/>
            <w:hideMark/>
          </w:tcPr>
          <w:p w14:paraId="20D1620C" w14:textId="77777777" w:rsidR="00236301" w:rsidRDefault="00265296">
            <w:pPr>
              <w:pStyle w:val="NormalWeb"/>
              <w:jc w:val="right"/>
            </w:pPr>
            <w:r>
              <w:rPr>
                <w:b/>
                <w:bCs/>
                <w:sz w:val="20"/>
                <w:szCs w:val="20"/>
              </w:rPr>
              <w:t>Amount</w:t>
            </w:r>
          </w:p>
        </w:tc>
      </w:tr>
      <w:tr w:rsidR="00236301" w14:paraId="17FC0791" w14:textId="77777777">
        <w:trPr>
          <w:divId w:val="1788502657"/>
          <w:tblCellSpacing w:w="0" w:type="dxa"/>
        </w:trPr>
        <w:tc>
          <w:tcPr>
            <w:tcW w:w="0" w:type="auto"/>
            <w:shd w:val="clear" w:color="auto" w:fill="FFFFFF"/>
            <w:vAlign w:val="center"/>
            <w:hideMark/>
          </w:tcPr>
          <w:p w14:paraId="10697D21" w14:textId="77777777" w:rsidR="00236301" w:rsidRDefault="00265296">
            <w:pPr>
              <w:pStyle w:val="NormalWeb"/>
            </w:pPr>
            <w:r>
              <w:rPr>
                <w:sz w:val="20"/>
                <w:szCs w:val="20"/>
              </w:rPr>
              <w:t>2018</w:t>
            </w:r>
          </w:p>
        </w:tc>
        <w:tc>
          <w:tcPr>
            <w:tcW w:w="0" w:type="auto"/>
            <w:shd w:val="clear" w:color="auto" w:fill="FFFFFF"/>
            <w:vAlign w:val="center"/>
            <w:hideMark/>
          </w:tcPr>
          <w:p w14:paraId="39F21AD4" w14:textId="77777777" w:rsidR="00236301" w:rsidRDefault="00265296">
            <w:pPr>
              <w:pStyle w:val="NormalWeb"/>
              <w:jc w:val="right"/>
            </w:pPr>
            <w:r>
              <w:rPr>
                <w:sz w:val="20"/>
                <w:szCs w:val="20"/>
              </w:rPr>
              <w:t>236,000</w:t>
            </w:r>
          </w:p>
        </w:tc>
      </w:tr>
      <w:tr w:rsidR="00236301" w14:paraId="4ACECEBC" w14:textId="77777777">
        <w:trPr>
          <w:divId w:val="1788502657"/>
          <w:tblCellSpacing w:w="0" w:type="dxa"/>
        </w:trPr>
        <w:tc>
          <w:tcPr>
            <w:tcW w:w="0" w:type="auto"/>
            <w:shd w:val="clear" w:color="auto" w:fill="CCEEFF"/>
            <w:vAlign w:val="center"/>
            <w:hideMark/>
          </w:tcPr>
          <w:p w14:paraId="3ABB0344" w14:textId="77777777" w:rsidR="00236301" w:rsidRDefault="00265296">
            <w:pPr>
              <w:pStyle w:val="NormalWeb"/>
            </w:pPr>
            <w:r>
              <w:rPr>
                <w:sz w:val="20"/>
                <w:szCs w:val="20"/>
              </w:rPr>
              <w:t>2019</w:t>
            </w:r>
          </w:p>
        </w:tc>
        <w:tc>
          <w:tcPr>
            <w:tcW w:w="0" w:type="auto"/>
            <w:shd w:val="clear" w:color="auto" w:fill="CCEEFF"/>
            <w:vAlign w:val="center"/>
            <w:hideMark/>
          </w:tcPr>
          <w:p w14:paraId="33792D62" w14:textId="77777777" w:rsidR="00236301" w:rsidRDefault="00265296">
            <w:pPr>
              <w:pStyle w:val="NormalWeb"/>
              <w:jc w:val="right"/>
            </w:pPr>
            <w:r>
              <w:rPr>
                <w:sz w:val="20"/>
                <w:szCs w:val="20"/>
              </w:rPr>
              <w:t>548,000</w:t>
            </w:r>
          </w:p>
        </w:tc>
      </w:tr>
      <w:tr w:rsidR="00236301" w14:paraId="78DC8AA0" w14:textId="77777777">
        <w:trPr>
          <w:divId w:val="1788502657"/>
          <w:tblCellSpacing w:w="0" w:type="dxa"/>
        </w:trPr>
        <w:tc>
          <w:tcPr>
            <w:tcW w:w="0" w:type="auto"/>
            <w:shd w:val="clear" w:color="auto" w:fill="FFFFFF"/>
            <w:vAlign w:val="center"/>
            <w:hideMark/>
          </w:tcPr>
          <w:p w14:paraId="7ADDDCBB" w14:textId="77777777" w:rsidR="00236301" w:rsidRDefault="00265296">
            <w:pPr>
              <w:pStyle w:val="NormalWeb"/>
            </w:pPr>
            <w:r>
              <w:rPr>
                <w:sz w:val="20"/>
                <w:szCs w:val="20"/>
              </w:rPr>
              <w:t>2020</w:t>
            </w:r>
          </w:p>
        </w:tc>
        <w:tc>
          <w:tcPr>
            <w:tcW w:w="0" w:type="auto"/>
            <w:shd w:val="clear" w:color="auto" w:fill="FFFFFF"/>
            <w:vAlign w:val="center"/>
            <w:hideMark/>
          </w:tcPr>
          <w:p w14:paraId="2C69FB5B" w14:textId="77777777" w:rsidR="00236301" w:rsidRDefault="00265296">
            <w:pPr>
              <w:pStyle w:val="NormalWeb"/>
              <w:jc w:val="right"/>
            </w:pPr>
            <w:r>
              <w:rPr>
                <w:sz w:val="20"/>
                <w:szCs w:val="20"/>
              </w:rPr>
              <w:t>351,000</w:t>
            </w:r>
          </w:p>
        </w:tc>
      </w:tr>
      <w:tr w:rsidR="00236301" w14:paraId="5704ECCE" w14:textId="77777777">
        <w:trPr>
          <w:divId w:val="1788502657"/>
          <w:tblCellSpacing w:w="0" w:type="dxa"/>
        </w:trPr>
        <w:tc>
          <w:tcPr>
            <w:tcW w:w="0" w:type="auto"/>
            <w:shd w:val="clear" w:color="auto" w:fill="CCEEFF"/>
            <w:vAlign w:val="center"/>
            <w:hideMark/>
          </w:tcPr>
          <w:p w14:paraId="3FBF21A6" w14:textId="77777777" w:rsidR="00236301" w:rsidRDefault="00265296">
            <w:pPr>
              <w:pStyle w:val="NormalWeb"/>
            </w:pPr>
            <w:r>
              <w:rPr>
                <w:sz w:val="20"/>
                <w:szCs w:val="20"/>
                <w:u w:val="single"/>
              </w:rPr>
              <w:t>2021</w:t>
            </w:r>
          </w:p>
        </w:tc>
        <w:tc>
          <w:tcPr>
            <w:tcW w:w="0" w:type="auto"/>
            <w:shd w:val="clear" w:color="auto" w:fill="CCEEFF"/>
            <w:vAlign w:val="center"/>
            <w:hideMark/>
          </w:tcPr>
          <w:p w14:paraId="227AAB28" w14:textId="77777777" w:rsidR="00236301" w:rsidRDefault="00265296">
            <w:pPr>
              <w:pStyle w:val="NormalWeb"/>
              <w:jc w:val="right"/>
            </w:pPr>
            <w:r>
              <w:rPr>
                <w:sz w:val="20"/>
                <w:szCs w:val="20"/>
                <w:u w:val="single"/>
              </w:rPr>
              <w:t>29,000</w:t>
            </w:r>
          </w:p>
        </w:tc>
      </w:tr>
      <w:tr w:rsidR="00236301" w14:paraId="70CD1BDD" w14:textId="77777777">
        <w:trPr>
          <w:divId w:val="1788502657"/>
          <w:tblCellSpacing w:w="0" w:type="dxa"/>
        </w:trPr>
        <w:tc>
          <w:tcPr>
            <w:tcW w:w="0" w:type="auto"/>
            <w:shd w:val="clear" w:color="auto" w:fill="FFFFFF"/>
            <w:vAlign w:val="center"/>
            <w:hideMark/>
          </w:tcPr>
          <w:p w14:paraId="72FD7B6A" w14:textId="77777777" w:rsidR="00236301" w:rsidRDefault="00265296">
            <w:pPr>
              <w:pStyle w:val="NormalWeb"/>
            </w:pPr>
            <w:r>
              <w:rPr>
                <w:sz w:val="20"/>
                <w:szCs w:val="20"/>
              </w:rPr>
              <w:t>Total</w:t>
            </w:r>
          </w:p>
        </w:tc>
        <w:tc>
          <w:tcPr>
            <w:tcW w:w="0" w:type="auto"/>
            <w:shd w:val="clear" w:color="auto" w:fill="FFFFFF"/>
            <w:vAlign w:val="center"/>
            <w:hideMark/>
          </w:tcPr>
          <w:p w14:paraId="017496E2" w14:textId="77777777" w:rsidR="00236301" w:rsidRDefault="00265296">
            <w:pPr>
              <w:pStyle w:val="NormalWeb"/>
              <w:jc w:val="right"/>
            </w:pPr>
            <w:r>
              <w:rPr>
                <w:sz w:val="20"/>
                <w:szCs w:val="20"/>
              </w:rPr>
              <w:t>$ 1,164,000</w:t>
            </w:r>
          </w:p>
        </w:tc>
      </w:tr>
    </w:tbl>
    <w:p w14:paraId="07B2DD3C" w14:textId="55803926" w:rsidR="00236301" w:rsidRDefault="00265296">
      <w:pPr>
        <w:pStyle w:val="NormalWeb"/>
        <w:divId w:val="1788502657"/>
        <w:rPr>
          <w:sz w:val="20"/>
          <w:szCs w:val="20"/>
        </w:rPr>
      </w:pPr>
      <w:r>
        <w:t> </w:t>
      </w:r>
      <w:r>
        <w:rPr>
          <w:sz w:val="20"/>
          <w:szCs w:val="20"/>
        </w:rPr>
        <w:t xml:space="preserve">The overall effective tax rate differs from the federal statutory tax rate of </w:t>
      </w:r>
      <w:r w:rsidR="00AF5F2E">
        <w:rPr>
          <w:sz w:val="20"/>
          <w:szCs w:val="20"/>
        </w:rPr>
        <w:t>35</w:t>
      </w:r>
      <w:r>
        <w:rPr>
          <w:sz w:val="20"/>
          <w:szCs w:val="20"/>
        </w:rPr>
        <w:t>% due to operating losses and other deferred assets not providing benefit for income tax purposes.</w:t>
      </w:r>
    </w:p>
    <w:p w14:paraId="644889BD" w14:textId="415D717C" w:rsidR="00AE7548" w:rsidRPr="000612B9" w:rsidRDefault="00AE7548" w:rsidP="00AE7548">
      <w:pPr>
        <w:ind w:firstLine="720"/>
        <w:jc w:val="both"/>
        <w:divId w:val="1788502657"/>
        <w:rPr>
          <w:rFonts w:eastAsia="Times New Roman"/>
          <w:sz w:val="20"/>
          <w:szCs w:val="20"/>
        </w:rPr>
      </w:pPr>
      <w:r w:rsidRPr="000612B9">
        <w:rPr>
          <w:rFonts w:eastAsia="Times New Roman"/>
          <w:sz w:val="20"/>
          <w:szCs w:val="20"/>
        </w:rPr>
        <w:t xml:space="preserve">A reconciliation of income tax expense at the federal statutory rate to income tax expense at the Company’s effective rate is as follows </w:t>
      </w:r>
      <w:r>
        <w:rPr>
          <w:rFonts w:eastAsia="Times New Roman"/>
          <w:sz w:val="20"/>
          <w:szCs w:val="20"/>
        </w:rPr>
        <w:t>at June 30, 2015 and 2016</w:t>
      </w:r>
      <w:r w:rsidRPr="000612B9">
        <w:rPr>
          <w:rFonts w:eastAsia="Times New Roman"/>
          <w:sz w:val="20"/>
          <w:szCs w:val="20"/>
        </w:rPr>
        <w:t>:</w:t>
      </w:r>
    </w:p>
    <w:p w14:paraId="4DD903DB" w14:textId="77777777" w:rsidR="00AE7548" w:rsidRPr="000612B9" w:rsidRDefault="00AE7548" w:rsidP="00AE7548">
      <w:pPr>
        <w:ind w:firstLine="720"/>
        <w:jc w:val="both"/>
        <w:divId w:val="1788502657"/>
        <w:rPr>
          <w:rFonts w:eastAsia="Times New Roman"/>
          <w:sz w:val="20"/>
          <w:szCs w:val="20"/>
        </w:rPr>
      </w:pPr>
      <w:r w:rsidRPr="000612B9">
        <w:rPr>
          <w:rFonts w:eastAsia="Times New Roman"/>
          <w:sz w:val="20"/>
          <w:szCs w:val="20"/>
        </w:rPr>
        <w:t> </w:t>
      </w:r>
    </w:p>
    <w:tbl>
      <w:tblPr>
        <w:tblW w:w="5000" w:type="pct"/>
        <w:tblCellMar>
          <w:left w:w="0" w:type="dxa"/>
          <w:right w:w="0" w:type="dxa"/>
        </w:tblCellMar>
        <w:tblLook w:val="04A0" w:firstRow="1" w:lastRow="0" w:firstColumn="1" w:lastColumn="0" w:noHBand="0" w:noVBand="1"/>
      </w:tblPr>
      <w:tblGrid>
        <w:gridCol w:w="9849"/>
        <w:gridCol w:w="129"/>
        <w:gridCol w:w="130"/>
        <w:gridCol w:w="1166"/>
        <w:gridCol w:w="130"/>
        <w:gridCol w:w="130"/>
        <w:gridCol w:w="130"/>
        <w:gridCol w:w="1166"/>
        <w:gridCol w:w="130"/>
      </w:tblGrid>
      <w:tr w:rsidR="00AE7548" w:rsidRPr="000612B9" w14:paraId="35A69265" w14:textId="77777777" w:rsidTr="00AE7548">
        <w:trPr>
          <w:divId w:val="1788502657"/>
        </w:trPr>
        <w:tc>
          <w:tcPr>
            <w:tcW w:w="0" w:type="auto"/>
            <w:vAlign w:val="bottom"/>
            <w:hideMark/>
          </w:tcPr>
          <w:p w14:paraId="1975CD7D"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tcMar>
              <w:top w:w="0" w:type="dxa"/>
              <w:left w:w="0" w:type="dxa"/>
              <w:bottom w:w="30" w:type="dxa"/>
              <w:right w:w="0" w:type="dxa"/>
            </w:tcMar>
            <w:vAlign w:val="bottom"/>
            <w:hideMark/>
          </w:tcPr>
          <w:p w14:paraId="57590196" w14:textId="77777777" w:rsidR="00AE7548" w:rsidRPr="000612B9" w:rsidRDefault="00AE7548" w:rsidP="00CF47C2">
            <w:pPr>
              <w:rPr>
                <w:rFonts w:eastAsia="Times New Roman"/>
                <w:b/>
                <w:bCs/>
                <w:sz w:val="20"/>
                <w:szCs w:val="20"/>
              </w:rPr>
            </w:pPr>
            <w:r w:rsidRPr="000612B9">
              <w:rPr>
                <w:rFonts w:eastAsia="Times New Roman"/>
                <w:b/>
                <w:bCs/>
                <w:sz w:val="20"/>
                <w:szCs w:val="20"/>
              </w:rPr>
              <w:t> </w:t>
            </w:r>
          </w:p>
        </w:tc>
        <w:tc>
          <w:tcPr>
            <w:tcW w:w="0" w:type="auto"/>
            <w:gridSpan w:val="2"/>
            <w:tcBorders>
              <w:bottom w:val="single" w:sz="12" w:space="0" w:color="000000"/>
            </w:tcBorders>
            <w:vAlign w:val="bottom"/>
            <w:hideMark/>
          </w:tcPr>
          <w:p w14:paraId="0C9EB4C8" w14:textId="3C2BD6FC" w:rsidR="00AE7548" w:rsidRPr="000612B9" w:rsidRDefault="00AE7548" w:rsidP="00AE7548">
            <w:pPr>
              <w:jc w:val="center"/>
              <w:rPr>
                <w:rFonts w:eastAsia="Times New Roman"/>
                <w:b/>
                <w:bCs/>
                <w:sz w:val="20"/>
                <w:szCs w:val="20"/>
              </w:rPr>
            </w:pPr>
            <w:r w:rsidRPr="000612B9">
              <w:rPr>
                <w:rFonts w:eastAsia="Times New Roman"/>
                <w:b/>
                <w:bCs/>
                <w:sz w:val="20"/>
                <w:szCs w:val="20"/>
              </w:rPr>
              <w:t>201</w:t>
            </w:r>
            <w:r>
              <w:rPr>
                <w:rFonts w:eastAsia="Times New Roman"/>
                <w:b/>
                <w:bCs/>
                <w:sz w:val="20"/>
                <w:szCs w:val="20"/>
              </w:rPr>
              <w:t>6</w:t>
            </w:r>
          </w:p>
        </w:tc>
        <w:tc>
          <w:tcPr>
            <w:tcW w:w="0" w:type="auto"/>
            <w:tcMar>
              <w:top w:w="0" w:type="dxa"/>
              <w:left w:w="0" w:type="dxa"/>
              <w:bottom w:w="30" w:type="dxa"/>
              <w:right w:w="0" w:type="dxa"/>
            </w:tcMar>
            <w:vAlign w:val="bottom"/>
            <w:hideMark/>
          </w:tcPr>
          <w:p w14:paraId="3F8A159A" w14:textId="77777777" w:rsidR="00AE7548" w:rsidRPr="000612B9" w:rsidRDefault="00AE7548" w:rsidP="00CF47C2">
            <w:pPr>
              <w:rPr>
                <w:rFonts w:eastAsia="Times New Roman"/>
                <w:b/>
                <w:bCs/>
                <w:sz w:val="20"/>
                <w:szCs w:val="20"/>
              </w:rPr>
            </w:pPr>
            <w:r w:rsidRPr="000612B9">
              <w:rPr>
                <w:rFonts w:eastAsia="Times New Roman"/>
                <w:b/>
                <w:bCs/>
                <w:sz w:val="20"/>
                <w:szCs w:val="20"/>
              </w:rPr>
              <w:t> </w:t>
            </w:r>
          </w:p>
        </w:tc>
        <w:tc>
          <w:tcPr>
            <w:tcW w:w="0" w:type="auto"/>
            <w:tcMar>
              <w:top w:w="0" w:type="dxa"/>
              <w:left w:w="0" w:type="dxa"/>
              <w:bottom w:w="30" w:type="dxa"/>
              <w:right w:w="0" w:type="dxa"/>
            </w:tcMar>
            <w:vAlign w:val="bottom"/>
            <w:hideMark/>
          </w:tcPr>
          <w:p w14:paraId="2F6B9095" w14:textId="77777777" w:rsidR="00AE7548" w:rsidRPr="000612B9" w:rsidRDefault="00AE7548" w:rsidP="00CF47C2">
            <w:pPr>
              <w:rPr>
                <w:rFonts w:eastAsia="Times New Roman"/>
                <w:b/>
                <w:bCs/>
                <w:sz w:val="20"/>
                <w:szCs w:val="20"/>
              </w:rPr>
            </w:pPr>
            <w:r w:rsidRPr="000612B9">
              <w:rPr>
                <w:rFonts w:eastAsia="Times New Roman"/>
                <w:b/>
                <w:bCs/>
                <w:sz w:val="20"/>
                <w:szCs w:val="20"/>
              </w:rPr>
              <w:t> </w:t>
            </w:r>
          </w:p>
        </w:tc>
        <w:tc>
          <w:tcPr>
            <w:tcW w:w="0" w:type="auto"/>
            <w:gridSpan w:val="2"/>
            <w:tcBorders>
              <w:bottom w:val="single" w:sz="12" w:space="0" w:color="000000"/>
            </w:tcBorders>
            <w:vAlign w:val="bottom"/>
            <w:hideMark/>
          </w:tcPr>
          <w:p w14:paraId="4C968396" w14:textId="4421C30D" w:rsidR="00AE7548" w:rsidRPr="000612B9" w:rsidRDefault="00AE7548" w:rsidP="00AE7548">
            <w:pPr>
              <w:jc w:val="center"/>
              <w:rPr>
                <w:rFonts w:eastAsia="Times New Roman"/>
                <w:b/>
                <w:bCs/>
                <w:sz w:val="20"/>
                <w:szCs w:val="20"/>
              </w:rPr>
            </w:pPr>
            <w:r w:rsidRPr="000612B9">
              <w:rPr>
                <w:rFonts w:eastAsia="Times New Roman"/>
                <w:b/>
                <w:bCs/>
                <w:sz w:val="20"/>
                <w:szCs w:val="20"/>
              </w:rPr>
              <w:t>201</w:t>
            </w:r>
            <w:r>
              <w:rPr>
                <w:rFonts w:eastAsia="Times New Roman"/>
                <w:b/>
                <w:bCs/>
                <w:sz w:val="20"/>
                <w:szCs w:val="20"/>
              </w:rPr>
              <w:t>5</w:t>
            </w:r>
          </w:p>
        </w:tc>
        <w:tc>
          <w:tcPr>
            <w:tcW w:w="0" w:type="auto"/>
            <w:tcMar>
              <w:top w:w="0" w:type="dxa"/>
              <w:left w:w="0" w:type="dxa"/>
              <w:bottom w:w="30" w:type="dxa"/>
              <w:right w:w="0" w:type="dxa"/>
            </w:tcMar>
            <w:vAlign w:val="bottom"/>
            <w:hideMark/>
          </w:tcPr>
          <w:p w14:paraId="4542FB11" w14:textId="77777777" w:rsidR="00AE7548" w:rsidRPr="000612B9" w:rsidRDefault="00AE7548" w:rsidP="00CF47C2">
            <w:pPr>
              <w:rPr>
                <w:rFonts w:eastAsia="Times New Roman"/>
                <w:b/>
                <w:bCs/>
                <w:sz w:val="20"/>
                <w:szCs w:val="20"/>
              </w:rPr>
            </w:pPr>
            <w:r w:rsidRPr="000612B9">
              <w:rPr>
                <w:rFonts w:eastAsia="Times New Roman"/>
                <w:b/>
                <w:bCs/>
                <w:sz w:val="20"/>
                <w:szCs w:val="20"/>
              </w:rPr>
              <w:t> </w:t>
            </w:r>
          </w:p>
        </w:tc>
      </w:tr>
      <w:tr w:rsidR="00AE7548" w:rsidRPr="000612B9" w14:paraId="77C40A42" w14:textId="77777777" w:rsidTr="00E0599D">
        <w:trPr>
          <w:divId w:val="1788502657"/>
        </w:trPr>
        <w:tc>
          <w:tcPr>
            <w:tcW w:w="3800" w:type="pct"/>
            <w:shd w:val="clear" w:color="auto" w:fill="CCEEFF"/>
            <w:vAlign w:val="bottom"/>
            <w:hideMark/>
          </w:tcPr>
          <w:p w14:paraId="524AF0A7" w14:textId="2F423A79" w:rsidR="00AE7548" w:rsidRPr="000612B9" w:rsidRDefault="00AE7548" w:rsidP="00CF47C2">
            <w:pPr>
              <w:rPr>
                <w:rFonts w:eastAsia="Times New Roman"/>
                <w:sz w:val="20"/>
                <w:szCs w:val="20"/>
              </w:rPr>
            </w:pPr>
            <w:r>
              <w:rPr>
                <w:rFonts w:eastAsia="Times New Roman"/>
                <w:sz w:val="20"/>
                <w:szCs w:val="20"/>
              </w:rPr>
              <w:t>Unit</w:t>
            </w:r>
            <w:r w:rsidR="00E0599D">
              <w:rPr>
                <w:rFonts w:eastAsia="Times New Roman"/>
                <w:sz w:val="20"/>
                <w:szCs w:val="20"/>
              </w:rPr>
              <w:t>ed States Statutory I</w:t>
            </w:r>
            <w:r>
              <w:rPr>
                <w:rFonts w:eastAsia="Times New Roman"/>
                <w:sz w:val="20"/>
                <w:szCs w:val="20"/>
              </w:rPr>
              <w:t>ncome tax Rate</w:t>
            </w:r>
          </w:p>
        </w:tc>
        <w:tc>
          <w:tcPr>
            <w:tcW w:w="50" w:type="pct"/>
            <w:shd w:val="clear" w:color="auto" w:fill="CCEEFF"/>
            <w:vAlign w:val="bottom"/>
            <w:hideMark/>
          </w:tcPr>
          <w:p w14:paraId="1FFF06D8"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50" w:type="pct"/>
            <w:shd w:val="clear" w:color="auto" w:fill="CCEEFF"/>
            <w:vAlign w:val="bottom"/>
            <w:hideMark/>
          </w:tcPr>
          <w:p w14:paraId="15B64D96" w14:textId="1AC9F2F9" w:rsidR="00AE7548" w:rsidRPr="000612B9" w:rsidRDefault="00AE7548" w:rsidP="00CF47C2">
            <w:pPr>
              <w:rPr>
                <w:rFonts w:eastAsia="Times New Roman"/>
                <w:sz w:val="20"/>
                <w:szCs w:val="20"/>
              </w:rPr>
            </w:pPr>
          </w:p>
        </w:tc>
        <w:tc>
          <w:tcPr>
            <w:tcW w:w="450" w:type="pct"/>
            <w:shd w:val="clear" w:color="auto" w:fill="CCEEFF"/>
            <w:vAlign w:val="bottom"/>
          </w:tcPr>
          <w:p w14:paraId="0DCB210D" w14:textId="60A2A8FA" w:rsidR="00AE7548" w:rsidRPr="000612B9" w:rsidRDefault="00E0599D" w:rsidP="00CF47C2">
            <w:pPr>
              <w:jc w:val="right"/>
              <w:rPr>
                <w:rFonts w:eastAsia="Times New Roman"/>
                <w:sz w:val="20"/>
                <w:szCs w:val="20"/>
              </w:rPr>
            </w:pPr>
            <w:r>
              <w:rPr>
                <w:rFonts w:eastAsia="Times New Roman"/>
                <w:sz w:val="20"/>
                <w:szCs w:val="20"/>
              </w:rPr>
              <w:t>35%</w:t>
            </w:r>
          </w:p>
        </w:tc>
        <w:tc>
          <w:tcPr>
            <w:tcW w:w="50" w:type="pct"/>
            <w:shd w:val="clear" w:color="auto" w:fill="CCEEFF"/>
            <w:vAlign w:val="bottom"/>
          </w:tcPr>
          <w:p w14:paraId="44BFB3FB" w14:textId="00D970C0" w:rsidR="00AE7548" w:rsidRPr="000612B9" w:rsidRDefault="00AE7548" w:rsidP="00CF47C2">
            <w:pPr>
              <w:rPr>
                <w:rFonts w:eastAsia="Times New Roman"/>
                <w:sz w:val="20"/>
                <w:szCs w:val="20"/>
              </w:rPr>
            </w:pPr>
          </w:p>
        </w:tc>
        <w:tc>
          <w:tcPr>
            <w:tcW w:w="50" w:type="pct"/>
            <w:shd w:val="clear" w:color="auto" w:fill="CCEEFF"/>
            <w:vAlign w:val="bottom"/>
          </w:tcPr>
          <w:p w14:paraId="0968903C" w14:textId="10BB69E0" w:rsidR="00AE7548" w:rsidRPr="000612B9" w:rsidRDefault="00AE7548" w:rsidP="00CF47C2">
            <w:pPr>
              <w:rPr>
                <w:rFonts w:eastAsia="Times New Roman"/>
                <w:sz w:val="20"/>
                <w:szCs w:val="20"/>
              </w:rPr>
            </w:pPr>
          </w:p>
        </w:tc>
        <w:tc>
          <w:tcPr>
            <w:tcW w:w="50" w:type="pct"/>
            <w:shd w:val="clear" w:color="auto" w:fill="CCEEFF"/>
            <w:vAlign w:val="bottom"/>
          </w:tcPr>
          <w:p w14:paraId="0B71FE6E" w14:textId="7A32FA5B" w:rsidR="00AE7548" w:rsidRPr="000612B9" w:rsidRDefault="00AE7548" w:rsidP="00CF47C2">
            <w:pPr>
              <w:rPr>
                <w:rFonts w:eastAsia="Times New Roman"/>
                <w:sz w:val="20"/>
                <w:szCs w:val="20"/>
              </w:rPr>
            </w:pPr>
          </w:p>
        </w:tc>
        <w:tc>
          <w:tcPr>
            <w:tcW w:w="450" w:type="pct"/>
            <w:shd w:val="clear" w:color="auto" w:fill="CCEEFF"/>
            <w:vAlign w:val="bottom"/>
          </w:tcPr>
          <w:p w14:paraId="2F3A7104" w14:textId="5B397B03" w:rsidR="00AE7548" w:rsidRPr="000612B9" w:rsidRDefault="00E0599D" w:rsidP="00CF47C2">
            <w:pPr>
              <w:jc w:val="right"/>
              <w:rPr>
                <w:rFonts w:eastAsia="Times New Roman"/>
                <w:sz w:val="20"/>
                <w:szCs w:val="20"/>
              </w:rPr>
            </w:pPr>
            <w:r>
              <w:rPr>
                <w:rFonts w:eastAsia="Times New Roman"/>
                <w:sz w:val="20"/>
                <w:szCs w:val="20"/>
              </w:rPr>
              <w:t>35%</w:t>
            </w:r>
          </w:p>
        </w:tc>
        <w:tc>
          <w:tcPr>
            <w:tcW w:w="50" w:type="pct"/>
            <w:shd w:val="clear" w:color="auto" w:fill="CCEEFF"/>
            <w:vAlign w:val="bottom"/>
          </w:tcPr>
          <w:p w14:paraId="700E82FD" w14:textId="0952B7FF" w:rsidR="00AE7548" w:rsidRPr="000612B9" w:rsidRDefault="00AE7548" w:rsidP="00CF47C2">
            <w:pPr>
              <w:rPr>
                <w:rFonts w:eastAsia="Times New Roman"/>
                <w:sz w:val="20"/>
                <w:szCs w:val="20"/>
              </w:rPr>
            </w:pPr>
          </w:p>
        </w:tc>
      </w:tr>
      <w:tr w:rsidR="00AE7548" w:rsidRPr="000612B9" w14:paraId="2AE33003" w14:textId="77777777" w:rsidTr="00AE7548">
        <w:trPr>
          <w:divId w:val="1788502657"/>
        </w:trPr>
        <w:tc>
          <w:tcPr>
            <w:tcW w:w="0" w:type="auto"/>
            <w:shd w:val="clear" w:color="auto" w:fill="FFFFFF"/>
            <w:vAlign w:val="bottom"/>
            <w:hideMark/>
          </w:tcPr>
          <w:p w14:paraId="36CA8AFA" w14:textId="40822580" w:rsidR="00AE7548" w:rsidRPr="000612B9" w:rsidRDefault="00E0599D" w:rsidP="00CF47C2">
            <w:pPr>
              <w:rPr>
                <w:rFonts w:eastAsia="Times New Roman"/>
                <w:sz w:val="20"/>
                <w:szCs w:val="20"/>
              </w:rPr>
            </w:pPr>
            <w:r>
              <w:rPr>
                <w:rFonts w:eastAsia="Times New Roman"/>
                <w:sz w:val="20"/>
                <w:szCs w:val="20"/>
              </w:rPr>
              <w:t>Decrease in rate on income subject to Danish income tax rates</w:t>
            </w:r>
          </w:p>
        </w:tc>
        <w:tc>
          <w:tcPr>
            <w:tcW w:w="0" w:type="auto"/>
            <w:shd w:val="clear" w:color="auto" w:fill="FFFFFF"/>
            <w:vAlign w:val="bottom"/>
            <w:hideMark/>
          </w:tcPr>
          <w:p w14:paraId="13425C2F"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73D735DC"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223A415E" w14:textId="6BDB3612" w:rsidR="00AE7548" w:rsidRPr="000612B9" w:rsidRDefault="00E0599D" w:rsidP="00E0599D">
            <w:pPr>
              <w:jc w:val="right"/>
              <w:rPr>
                <w:rFonts w:eastAsia="Times New Roman"/>
                <w:sz w:val="20"/>
                <w:szCs w:val="20"/>
              </w:rPr>
            </w:pPr>
            <w:r>
              <w:rPr>
                <w:rFonts w:eastAsia="Times New Roman"/>
                <w:sz w:val="20"/>
                <w:szCs w:val="20"/>
              </w:rPr>
              <w:t>12%</w:t>
            </w:r>
          </w:p>
        </w:tc>
        <w:tc>
          <w:tcPr>
            <w:tcW w:w="0" w:type="auto"/>
            <w:shd w:val="clear" w:color="auto" w:fill="FFFFFF"/>
            <w:vAlign w:val="bottom"/>
            <w:hideMark/>
          </w:tcPr>
          <w:p w14:paraId="2FEA8426"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52DC66D7"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6C62396B"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0F41AC9E" w14:textId="14417AFA" w:rsidR="00AE7548" w:rsidRPr="000612B9" w:rsidRDefault="00E0599D" w:rsidP="00CF47C2">
            <w:pPr>
              <w:jc w:val="right"/>
              <w:rPr>
                <w:rFonts w:eastAsia="Times New Roman"/>
                <w:sz w:val="20"/>
                <w:szCs w:val="20"/>
              </w:rPr>
            </w:pPr>
            <w:r>
              <w:rPr>
                <w:rFonts w:eastAsia="Times New Roman"/>
                <w:sz w:val="20"/>
                <w:szCs w:val="20"/>
              </w:rPr>
              <w:t>12%</w:t>
            </w:r>
          </w:p>
        </w:tc>
        <w:tc>
          <w:tcPr>
            <w:tcW w:w="0" w:type="auto"/>
            <w:shd w:val="clear" w:color="auto" w:fill="FFFFFF"/>
            <w:vAlign w:val="bottom"/>
            <w:hideMark/>
          </w:tcPr>
          <w:p w14:paraId="6587EEDB" w14:textId="77777777" w:rsidR="00AE7548" w:rsidRPr="000612B9" w:rsidRDefault="00AE7548" w:rsidP="00CF47C2">
            <w:pPr>
              <w:rPr>
                <w:rFonts w:eastAsia="Times New Roman"/>
                <w:sz w:val="20"/>
                <w:szCs w:val="20"/>
              </w:rPr>
            </w:pPr>
            <w:r w:rsidRPr="000612B9">
              <w:rPr>
                <w:rFonts w:eastAsia="Times New Roman"/>
                <w:sz w:val="20"/>
                <w:szCs w:val="20"/>
              </w:rPr>
              <w:t> </w:t>
            </w:r>
          </w:p>
        </w:tc>
      </w:tr>
      <w:tr w:rsidR="00AE7548" w:rsidRPr="000612B9" w14:paraId="2C7D4FEF" w14:textId="77777777" w:rsidTr="00AE7548">
        <w:trPr>
          <w:divId w:val="1788502657"/>
        </w:trPr>
        <w:tc>
          <w:tcPr>
            <w:tcW w:w="0" w:type="auto"/>
            <w:shd w:val="clear" w:color="auto" w:fill="CCEEFF"/>
            <w:vAlign w:val="bottom"/>
            <w:hideMark/>
          </w:tcPr>
          <w:p w14:paraId="68B59E81" w14:textId="0D32163C" w:rsidR="00AE7548" w:rsidRPr="000612B9" w:rsidRDefault="00E0599D" w:rsidP="00CF47C2">
            <w:pPr>
              <w:rPr>
                <w:rFonts w:eastAsia="Times New Roman"/>
                <w:sz w:val="20"/>
                <w:szCs w:val="20"/>
              </w:rPr>
            </w:pPr>
            <w:r>
              <w:rPr>
                <w:rFonts w:eastAsia="Times New Roman"/>
                <w:sz w:val="20"/>
                <w:szCs w:val="20"/>
              </w:rPr>
              <w:t xml:space="preserve">Decrease in rate resulting from </w:t>
            </w:r>
            <w:r w:rsidR="00AE7548" w:rsidRPr="000612B9">
              <w:rPr>
                <w:rFonts w:eastAsia="Times New Roman"/>
                <w:sz w:val="20"/>
                <w:szCs w:val="20"/>
              </w:rPr>
              <w:t>Non-</w:t>
            </w:r>
            <w:r w:rsidRPr="000612B9">
              <w:rPr>
                <w:rFonts w:eastAsia="Times New Roman"/>
                <w:sz w:val="20"/>
                <w:szCs w:val="20"/>
              </w:rPr>
              <w:t>Deductible</w:t>
            </w:r>
            <w:r w:rsidR="00AE7548" w:rsidRPr="000612B9">
              <w:rPr>
                <w:rFonts w:eastAsia="Times New Roman"/>
                <w:sz w:val="20"/>
                <w:szCs w:val="20"/>
              </w:rPr>
              <w:t xml:space="preserve"> expenses</w:t>
            </w:r>
          </w:p>
        </w:tc>
        <w:tc>
          <w:tcPr>
            <w:tcW w:w="0" w:type="auto"/>
            <w:shd w:val="clear" w:color="auto" w:fill="CCEEFF"/>
            <w:vAlign w:val="bottom"/>
            <w:hideMark/>
          </w:tcPr>
          <w:p w14:paraId="1A8EBCA4"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shd w:val="clear" w:color="auto" w:fill="CCEEFF"/>
            <w:vAlign w:val="bottom"/>
            <w:hideMark/>
          </w:tcPr>
          <w:p w14:paraId="70E7AA21"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shd w:val="clear" w:color="auto" w:fill="CCEEFF"/>
            <w:vAlign w:val="bottom"/>
            <w:hideMark/>
          </w:tcPr>
          <w:p w14:paraId="0276A9EE" w14:textId="35ABC2E4" w:rsidR="00AE7548" w:rsidRPr="000612B9" w:rsidRDefault="00E0599D" w:rsidP="00CF47C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D61BF58"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shd w:val="clear" w:color="auto" w:fill="CCEEFF"/>
            <w:vAlign w:val="bottom"/>
            <w:hideMark/>
          </w:tcPr>
          <w:p w14:paraId="49F64912"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shd w:val="clear" w:color="auto" w:fill="CCEEFF"/>
            <w:vAlign w:val="bottom"/>
            <w:hideMark/>
          </w:tcPr>
          <w:p w14:paraId="085E0791"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shd w:val="clear" w:color="auto" w:fill="CCEEFF"/>
            <w:vAlign w:val="bottom"/>
            <w:hideMark/>
          </w:tcPr>
          <w:p w14:paraId="1A54F8DB" w14:textId="246FA8BD" w:rsidR="00AE7548" w:rsidRPr="000612B9" w:rsidRDefault="00E0599D" w:rsidP="00CF47C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48DB9F5B" w14:textId="77777777" w:rsidR="00AE7548" w:rsidRPr="000612B9" w:rsidRDefault="00AE7548" w:rsidP="00CF47C2">
            <w:pPr>
              <w:rPr>
                <w:rFonts w:eastAsia="Times New Roman"/>
                <w:sz w:val="20"/>
                <w:szCs w:val="20"/>
              </w:rPr>
            </w:pPr>
            <w:r w:rsidRPr="000612B9">
              <w:rPr>
                <w:rFonts w:eastAsia="Times New Roman"/>
                <w:sz w:val="20"/>
                <w:szCs w:val="20"/>
              </w:rPr>
              <w:t> </w:t>
            </w:r>
          </w:p>
        </w:tc>
      </w:tr>
      <w:tr w:rsidR="00AE7548" w:rsidRPr="000612B9" w14:paraId="1F26397D" w14:textId="77777777" w:rsidTr="00E0599D">
        <w:trPr>
          <w:divId w:val="1788502657"/>
        </w:trPr>
        <w:tc>
          <w:tcPr>
            <w:tcW w:w="0" w:type="auto"/>
            <w:shd w:val="clear" w:color="auto" w:fill="FFFFFF"/>
            <w:tcMar>
              <w:top w:w="0" w:type="dxa"/>
              <w:left w:w="0" w:type="dxa"/>
              <w:bottom w:w="30" w:type="dxa"/>
              <w:right w:w="0" w:type="dxa"/>
            </w:tcMar>
            <w:vAlign w:val="bottom"/>
            <w:hideMark/>
          </w:tcPr>
          <w:p w14:paraId="5E70508D" w14:textId="79A44FF6" w:rsidR="00AE7548" w:rsidRPr="000612B9" w:rsidRDefault="00AE7548" w:rsidP="00CF47C2">
            <w:pPr>
              <w:rPr>
                <w:rFonts w:eastAsia="Times New Roman"/>
                <w:sz w:val="20"/>
                <w:szCs w:val="20"/>
              </w:rPr>
            </w:pPr>
          </w:p>
        </w:tc>
        <w:tc>
          <w:tcPr>
            <w:tcW w:w="0" w:type="auto"/>
            <w:shd w:val="clear" w:color="auto" w:fill="FFFFFF"/>
            <w:tcMar>
              <w:top w:w="0" w:type="dxa"/>
              <w:left w:w="0" w:type="dxa"/>
              <w:bottom w:w="30" w:type="dxa"/>
              <w:right w:w="0" w:type="dxa"/>
            </w:tcMar>
            <w:vAlign w:val="bottom"/>
            <w:hideMark/>
          </w:tcPr>
          <w:p w14:paraId="15CF0B11"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tcBorders>
              <w:bottom w:val="single" w:sz="12" w:space="0" w:color="000000"/>
            </w:tcBorders>
            <w:shd w:val="clear" w:color="auto" w:fill="FFFFFF"/>
            <w:vAlign w:val="bottom"/>
            <w:hideMark/>
          </w:tcPr>
          <w:p w14:paraId="42E8367C"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tcBorders>
              <w:bottom w:val="single" w:sz="12" w:space="0" w:color="000000"/>
            </w:tcBorders>
            <w:shd w:val="clear" w:color="auto" w:fill="FFFFFF"/>
            <w:vAlign w:val="bottom"/>
          </w:tcPr>
          <w:p w14:paraId="617F0C6F" w14:textId="0BDD6419" w:rsidR="00AE7548" w:rsidRPr="000612B9" w:rsidRDefault="00AE7548" w:rsidP="00CF47C2">
            <w:pPr>
              <w:jc w:val="right"/>
              <w:rPr>
                <w:rFonts w:eastAsia="Times New Roman"/>
                <w:sz w:val="20"/>
                <w:szCs w:val="20"/>
              </w:rPr>
            </w:pPr>
          </w:p>
        </w:tc>
        <w:tc>
          <w:tcPr>
            <w:tcW w:w="0" w:type="auto"/>
            <w:shd w:val="clear" w:color="auto" w:fill="FFFFFF"/>
            <w:tcMar>
              <w:top w:w="0" w:type="dxa"/>
              <w:left w:w="0" w:type="dxa"/>
              <w:bottom w:w="30" w:type="dxa"/>
              <w:right w:w="0" w:type="dxa"/>
            </w:tcMar>
            <w:vAlign w:val="bottom"/>
          </w:tcPr>
          <w:p w14:paraId="620CF2E9" w14:textId="03CA8859" w:rsidR="00AE7548" w:rsidRPr="000612B9" w:rsidRDefault="00AE7548" w:rsidP="00CF47C2">
            <w:pPr>
              <w:rPr>
                <w:rFonts w:eastAsia="Times New Roman"/>
                <w:sz w:val="20"/>
                <w:szCs w:val="20"/>
              </w:rPr>
            </w:pPr>
          </w:p>
        </w:tc>
        <w:tc>
          <w:tcPr>
            <w:tcW w:w="0" w:type="auto"/>
            <w:shd w:val="clear" w:color="auto" w:fill="FFFFFF"/>
            <w:tcMar>
              <w:top w:w="0" w:type="dxa"/>
              <w:left w:w="0" w:type="dxa"/>
              <w:bottom w:w="30" w:type="dxa"/>
              <w:right w:w="0" w:type="dxa"/>
            </w:tcMar>
            <w:vAlign w:val="bottom"/>
          </w:tcPr>
          <w:p w14:paraId="25CFC6C3" w14:textId="056EB962" w:rsidR="00AE7548" w:rsidRPr="000612B9" w:rsidRDefault="00AE7548" w:rsidP="00CF47C2">
            <w:pPr>
              <w:rPr>
                <w:rFonts w:eastAsia="Times New Roman"/>
                <w:sz w:val="20"/>
                <w:szCs w:val="20"/>
              </w:rPr>
            </w:pPr>
          </w:p>
        </w:tc>
        <w:tc>
          <w:tcPr>
            <w:tcW w:w="0" w:type="auto"/>
            <w:tcBorders>
              <w:bottom w:val="single" w:sz="12" w:space="0" w:color="000000"/>
            </w:tcBorders>
            <w:shd w:val="clear" w:color="auto" w:fill="FFFFFF"/>
            <w:vAlign w:val="bottom"/>
          </w:tcPr>
          <w:p w14:paraId="2F08F2D2" w14:textId="246302CA" w:rsidR="00AE7548" w:rsidRPr="000612B9" w:rsidRDefault="00AE7548" w:rsidP="00CF47C2">
            <w:pPr>
              <w:rPr>
                <w:rFonts w:eastAsia="Times New Roman"/>
                <w:sz w:val="20"/>
                <w:szCs w:val="20"/>
              </w:rPr>
            </w:pPr>
          </w:p>
        </w:tc>
        <w:tc>
          <w:tcPr>
            <w:tcW w:w="0" w:type="auto"/>
            <w:tcBorders>
              <w:bottom w:val="single" w:sz="12" w:space="0" w:color="000000"/>
            </w:tcBorders>
            <w:shd w:val="clear" w:color="auto" w:fill="FFFFFF"/>
            <w:vAlign w:val="bottom"/>
          </w:tcPr>
          <w:p w14:paraId="05581CD0" w14:textId="2F9C9092" w:rsidR="00AE7548" w:rsidRPr="000612B9" w:rsidRDefault="00AE7548" w:rsidP="00CF47C2">
            <w:pPr>
              <w:jc w:val="right"/>
              <w:rPr>
                <w:rFonts w:eastAsia="Times New Roman"/>
                <w:sz w:val="20"/>
                <w:szCs w:val="20"/>
              </w:rPr>
            </w:pPr>
          </w:p>
        </w:tc>
        <w:tc>
          <w:tcPr>
            <w:tcW w:w="0" w:type="auto"/>
            <w:shd w:val="clear" w:color="auto" w:fill="FFFFFF"/>
            <w:tcMar>
              <w:top w:w="0" w:type="dxa"/>
              <w:left w:w="0" w:type="dxa"/>
              <w:bottom w:w="30" w:type="dxa"/>
              <w:right w:w="0" w:type="dxa"/>
            </w:tcMar>
            <w:vAlign w:val="bottom"/>
            <w:hideMark/>
          </w:tcPr>
          <w:p w14:paraId="205605B8" w14:textId="77777777" w:rsidR="00AE7548" w:rsidRPr="000612B9" w:rsidRDefault="00AE7548" w:rsidP="00CF47C2">
            <w:pPr>
              <w:rPr>
                <w:rFonts w:eastAsia="Times New Roman"/>
                <w:sz w:val="20"/>
                <w:szCs w:val="20"/>
              </w:rPr>
            </w:pPr>
            <w:r w:rsidRPr="000612B9">
              <w:rPr>
                <w:rFonts w:eastAsia="Times New Roman"/>
                <w:sz w:val="20"/>
                <w:szCs w:val="20"/>
              </w:rPr>
              <w:t> </w:t>
            </w:r>
          </w:p>
        </w:tc>
      </w:tr>
      <w:tr w:rsidR="00AE7548" w:rsidRPr="000612B9" w14:paraId="22CDEB03" w14:textId="77777777" w:rsidTr="00E0599D">
        <w:trPr>
          <w:divId w:val="1788502657"/>
        </w:trPr>
        <w:tc>
          <w:tcPr>
            <w:tcW w:w="0" w:type="auto"/>
            <w:shd w:val="clear" w:color="auto" w:fill="CCEEFF"/>
            <w:tcMar>
              <w:top w:w="0" w:type="dxa"/>
              <w:left w:w="200" w:type="dxa"/>
              <w:bottom w:w="30" w:type="dxa"/>
              <w:right w:w="0" w:type="dxa"/>
            </w:tcMar>
            <w:vAlign w:val="bottom"/>
            <w:hideMark/>
          </w:tcPr>
          <w:p w14:paraId="18783B7E" w14:textId="77777777" w:rsidR="00AE7548" w:rsidRPr="000612B9" w:rsidRDefault="00AE7548" w:rsidP="00CF47C2">
            <w:pPr>
              <w:rPr>
                <w:rFonts w:eastAsia="Times New Roman"/>
                <w:sz w:val="20"/>
                <w:szCs w:val="20"/>
              </w:rPr>
            </w:pPr>
            <w:r w:rsidRPr="000612B9">
              <w:rPr>
                <w:rFonts w:eastAsia="Times New Roman"/>
                <w:sz w:val="20"/>
                <w:szCs w:val="20"/>
              </w:rPr>
              <w:t>Income Tax Expense</w:t>
            </w:r>
          </w:p>
        </w:tc>
        <w:tc>
          <w:tcPr>
            <w:tcW w:w="0" w:type="auto"/>
            <w:shd w:val="clear" w:color="auto" w:fill="CCEEFF"/>
            <w:tcMar>
              <w:top w:w="0" w:type="dxa"/>
              <w:left w:w="0" w:type="dxa"/>
              <w:bottom w:w="30" w:type="dxa"/>
              <w:right w:w="0" w:type="dxa"/>
            </w:tcMar>
            <w:vAlign w:val="bottom"/>
          </w:tcPr>
          <w:p w14:paraId="578F0466" w14:textId="73E4BA9A" w:rsidR="00AE7548" w:rsidRPr="000612B9" w:rsidRDefault="00AE7548" w:rsidP="00CF47C2">
            <w:pPr>
              <w:rPr>
                <w:rFonts w:eastAsia="Times New Roman"/>
                <w:sz w:val="20"/>
                <w:szCs w:val="20"/>
              </w:rPr>
            </w:pPr>
          </w:p>
        </w:tc>
        <w:tc>
          <w:tcPr>
            <w:tcW w:w="0" w:type="auto"/>
            <w:tcBorders>
              <w:bottom w:val="single" w:sz="12" w:space="0" w:color="000000"/>
            </w:tcBorders>
            <w:shd w:val="clear" w:color="auto" w:fill="CCEEFF"/>
            <w:vAlign w:val="bottom"/>
          </w:tcPr>
          <w:p w14:paraId="24A89CAA" w14:textId="0F84C776" w:rsidR="00AE7548" w:rsidRPr="000612B9" w:rsidRDefault="00AE7548" w:rsidP="00CF47C2">
            <w:pPr>
              <w:rPr>
                <w:rFonts w:eastAsia="Times New Roman"/>
                <w:sz w:val="20"/>
                <w:szCs w:val="20"/>
              </w:rPr>
            </w:pPr>
          </w:p>
        </w:tc>
        <w:tc>
          <w:tcPr>
            <w:tcW w:w="0" w:type="auto"/>
            <w:tcBorders>
              <w:bottom w:val="single" w:sz="12" w:space="0" w:color="000000"/>
            </w:tcBorders>
            <w:shd w:val="clear" w:color="auto" w:fill="CCEEFF"/>
            <w:vAlign w:val="bottom"/>
          </w:tcPr>
          <w:p w14:paraId="738EF6E7" w14:textId="28D7A3C0" w:rsidR="00AE7548" w:rsidRPr="000612B9" w:rsidRDefault="00E0599D" w:rsidP="00CF47C2">
            <w:pPr>
              <w:jc w:val="right"/>
              <w:rPr>
                <w:rFonts w:eastAsia="Times New Roman"/>
                <w:sz w:val="20"/>
                <w:szCs w:val="20"/>
              </w:rPr>
            </w:pPr>
            <w:r>
              <w:rPr>
                <w:rFonts w:eastAsia="Times New Roman"/>
                <w:sz w:val="20"/>
                <w:szCs w:val="20"/>
              </w:rPr>
              <w:t>23%</w:t>
            </w:r>
          </w:p>
        </w:tc>
        <w:tc>
          <w:tcPr>
            <w:tcW w:w="0" w:type="auto"/>
            <w:shd w:val="clear" w:color="auto" w:fill="CCEEFF"/>
            <w:tcMar>
              <w:top w:w="0" w:type="dxa"/>
              <w:left w:w="0" w:type="dxa"/>
              <w:bottom w:w="30" w:type="dxa"/>
              <w:right w:w="0" w:type="dxa"/>
            </w:tcMar>
            <w:vAlign w:val="bottom"/>
          </w:tcPr>
          <w:p w14:paraId="4EA2F141" w14:textId="218A81C4" w:rsidR="00AE7548" w:rsidRPr="000612B9" w:rsidRDefault="00AE7548" w:rsidP="00CF47C2">
            <w:pPr>
              <w:rPr>
                <w:rFonts w:eastAsia="Times New Roman"/>
                <w:sz w:val="20"/>
                <w:szCs w:val="20"/>
              </w:rPr>
            </w:pPr>
          </w:p>
        </w:tc>
        <w:tc>
          <w:tcPr>
            <w:tcW w:w="0" w:type="auto"/>
            <w:shd w:val="clear" w:color="auto" w:fill="CCEEFF"/>
            <w:tcMar>
              <w:top w:w="0" w:type="dxa"/>
              <w:left w:w="0" w:type="dxa"/>
              <w:bottom w:w="30" w:type="dxa"/>
              <w:right w:w="0" w:type="dxa"/>
            </w:tcMar>
            <w:vAlign w:val="bottom"/>
          </w:tcPr>
          <w:p w14:paraId="5C0E35D6" w14:textId="354E8D2B" w:rsidR="00AE7548" w:rsidRPr="000612B9" w:rsidRDefault="00AE7548" w:rsidP="00CF47C2">
            <w:pPr>
              <w:rPr>
                <w:rFonts w:eastAsia="Times New Roman"/>
                <w:sz w:val="20"/>
                <w:szCs w:val="20"/>
              </w:rPr>
            </w:pPr>
          </w:p>
        </w:tc>
        <w:tc>
          <w:tcPr>
            <w:tcW w:w="0" w:type="auto"/>
            <w:tcBorders>
              <w:bottom w:val="single" w:sz="12" w:space="0" w:color="000000"/>
            </w:tcBorders>
            <w:shd w:val="clear" w:color="auto" w:fill="CCEEFF"/>
            <w:vAlign w:val="bottom"/>
          </w:tcPr>
          <w:p w14:paraId="283429D0" w14:textId="3879D78A" w:rsidR="00AE7548" w:rsidRPr="000612B9" w:rsidRDefault="00AE7548" w:rsidP="00CF47C2">
            <w:pPr>
              <w:rPr>
                <w:rFonts w:eastAsia="Times New Roman"/>
                <w:sz w:val="20"/>
                <w:szCs w:val="20"/>
              </w:rPr>
            </w:pPr>
          </w:p>
        </w:tc>
        <w:tc>
          <w:tcPr>
            <w:tcW w:w="0" w:type="auto"/>
            <w:tcBorders>
              <w:bottom w:val="single" w:sz="12" w:space="0" w:color="000000"/>
            </w:tcBorders>
            <w:shd w:val="clear" w:color="auto" w:fill="CCEEFF"/>
            <w:vAlign w:val="bottom"/>
          </w:tcPr>
          <w:p w14:paraId="7434C695" w14:textId="73B1D5B0" w:rsidR="00AE7548" w:rsidRPr="000612B9" w:rsidRDefault="00E0599D" w:rsidP="00CF47C2">
            <w:pPr>
              <w:jc w:val="right"/>
              <w:rPr>
                <w:rFonts w:eastAsia="Times New Roman"/>
                <w:sz w:val="20"/>
                <w:szCs w:val="20"/>
              </w:rPr>
            </w:pPr>
            <w:r>
              <w:rPr>
                <w:rFonts w:eastAsia="Times New Roman"/>
                <w:sz w:val="20"/>
                <w:szCs w:val="20"/>
              </w:rPr>
              <w:t>23%</w:t>
            </w:r>
          </w:p>
        </w:tc>
        <w:tc>
          <w:tcPr>
            <w:tcW w:w="0" w:type="auto"/>
            <w:shd w:val="clear" w:color="auto" w:fill="CCEEFF"/>
            <w:tcMar>
              <w:top w:w="0" w:type="dxa"/>
              <w:left w:w="0" w:type="dxa"/>
              <w:bottom w:w="30" w:type="dxa"/>
              <w:right w:w="0" w:type="dxa"/>
            </w:tcMar>
            <w:vAlign w:val="bottom"/>
          </w:tcPr>
          <w:p w14:paraId="27B340E9" w14:textId="4755DB8A" w:rsidR="00AE7548" w:rsidRPr="000612B9" w:rsidRDefault="00AE7548" w:rsidP="00CF47C2">
            <w:pPr>
              <w:rPr>
                <w:rFonts w:eastAsia="Times New Roman"/>
                <w:sz w:val="20"/>
                <w:szCs w:val="20"/>
              </w:rPr>
            </w:pPr>
          </w:p>
        </w:tc>
      </w:tr>
    </w:tbl>
    <w:p w14:paraId="50BD86B0" w14:textId="77777777" w:rsidR="00AE7548" w:rsidRPr="000612B9" w:rsidRDefault="00AE7548" w:rsidP="00AE7548">
      <w:pPr>
        <w:ind w:firstLine="720"/>
        <w:divId w:val="1788502657"/>
        <w:rPr>
          <w:rFonts w:eastAsia="Times New Roman"/>
          <w:sz w:val="20"/>
          <w:szCs w:val="20"/>
        </w:rPr>
      </w:pPr>
      <w:r w:rsidRPr="000612B9">
        <w:rPr>
          <w:rFonts w:eastAsia="Times New Roman"/>
          <w:sz w:val="20"/>
          <w:szCs w:val="20"/>
        </w:rPr>
        <w:t> </w:t>
      </w:r>
    </w:p>
    <w:p w14:paraId="11E4FB69" w14:textId="73EC888B" w:rsidR="00AE7548" w:rsidRPr="000612B9" w:rsidRDefault="00AE7548" w:rsidP="00AE7548">
      <w:pPr>
        <w:ind w:firstLine="720"/>
        <w:jc w:val="both"/>
        <w:divId w:val="1788502657"/>
        <w:rPr>
          <w:rFonts w:eastAsia="Times New Roman"/>
          <w:sz w:val="20"/>
          <w:szCs w:val="20"/>
        </w:rPr>
      </w:pPr>
      <w:r w:rsidRPr="000612B9">
        <w:rPr>
          <w:rFonts w:eastAsia="Times New Roman"/>
          <w:sz w:val="20"/>
          <w:szCs w:val="20"/>
        </w:rPr>
        <w:t xml:space="preserve">The components of income tax expense (benefit) from continuing operations for the years ended </w:t>
      </w:r>
      <w:r w:rsidR="00E0599D">
        <w:rPr>
          <w:rFonts w:eastAsia="Times New Roman"/>
          <w:sz w:val="20"/>
          <w:szCs w:val="20"/>
        </w:rPr>
        <w:t>June 30, 2016</w:t>
      </w:r>
      <w:r w:rsidRPr="000612B9">
        <w:rPr>
          <w:rFonts w:eastAsia="Times New Roman"/>
          <w:sz w:val="20"/>
          <w:szCs w:val="20"/>
        </w:rPr>
        <w:t xml:space="preserve"> and 20</w:t>
      </w:r>
      <w:r w:rsidR="00E0599D">
        <w:rPr>
          <w:rFonts w:eastAsia="Times New Roman"/>
          <w:sz w:val="20"/>
          <w:szCs w:val="20"/>
        </w:rPr>
        <w:t>15</w:t>
      </w:r>
      <w:r w:rsidRPr="000612B9">
        <w:rPr>
          <w:rFonts w:eastAsia="Times New Roman"/>
          <w:sz w:val="20"/>
          <w:szCs w:val="20"/>
        </w:rPr>
        <w:t xml:space="preserve"> consisted of the following:</w:t>
      </w:r>
    </w:p>
    <w:p w14:paraId="188DAD16" w14:textId="77777777" w:rsidR="00AE7548" w:rsidRPr="000612B9" w:rsidRDefault="00AE7548" w:rsidP="00AE7548">
      <w:pPr>
        <w:ind w:firstLine="720"/>
        <w:divId w:val="1788502657"/>
        <w:rPr>
          <w:rFonts w:eastAsia="Times New Roman"/>
          <w:sz w:val="20"/>
          <w:szCs w:val="20"/>
        </w:rPr>
      </w:pPr>
      <w:r w:rsidRPr="000612B9">
        <w:rPr>
          <w:rFonts w:eastAsia="Times New Roman"/>
          <w:sz w:val="20"/>
          <w:szCs w:val="20"/>
        </w:rPr>
        <w:t> </w:t>
      </w:r>
    </w:p>
    <w:tbl>
      <w:tblPr>
        <w:tblW w:w="5000" w:type="pct"/>
        <w:tblCellMar>
          <w:left w:w="0" w:type="dxa"/>
          <w:right w:w="0" w:type="dxa"/>
        </w:tblCellMar>
        <w:tblLook w:val="04A0" w:firstRow="1" w:lastRow="0" w:firstColumn="1" w:lastColumn="0" w:noHBand="0" w:noVBand="1"/>
      </w:tblPr>
      <w:tblGrid>
        <w:gridCol w:w="9849"/>
        <w:gridCol w:w="129"/>
        <w:gridCol w:w="130"/>
        <w:gridCol w:w="1166"/>
        <w:gridCol w:w="130"/>
        <w:gridCol w:w="130"/>
        <w:gridCol w:w="130"/>
        <w:gridCol w:w="1166"/>
        <w:gridCol w:w="130"/>
      </w:tblGrid>
      <w:tr w:rsidR="00AE7548" w:rsidRPr="000612B9" w14:paraId="2141ED67" w14:textId="77777777" w:rsidTr="00AE7548">
        <w:trPr>
          <w:divId w:val="1788502657"/>
        </w:trPr>
        <w:tc>
          <w:tcPr>
            <w:tcW w:w="0" w:type="auto"/>
            <w:vAlign w:val="bottom"/>
            <w:hideMark/>
          </w:tcPr>
          <w:p w14:paraId="0E35D27A" w14:textId="77777777" w:rsidR="00AE7548" w:rsidRPr="000612B9" w:rsidRDefault="00AE7548" w:rsidP="00CF47C2">
            <w:pPr>
              <w:rPr>
                <w:rFonts w:eastAsia="Times New Roman"/>
                <w:b/>
                <w:bCs/>
                <w:sz w:val="20"/>
                <w:szCs w:val="20"/>
              </w:rPr>
            </w:pPr>
            <w:r w:rsidRPr="000612B9">
              <w:rPr>
                <w:rFonts w:eastAsia="Times New Roman"/>
                <w:b/>
                <w:bCs/>
                <w:sz w:val="20"/>
                <w:szCs w:val="20"/>
              </w:rPr>
              <w:t>Current Tax Expense</w:t>
            </w:r>
          </w:p>
        </w:tc>
        <w:tc>
          <w:tcPr>
            <w:tcW w:w="0" w:type="auto"/>
            <w:tcMar>
              <w:top w:w="0" w:type="dxa"/>
              <w:left w:w="0" w:type="dxa"/>
              <w:bottom w:w="30" w:type="dxa"/>
              <w:right w:w="0" w:type="dxa"/>
            </w:tcMar>
            <w:vAlign w:val="bottom"/>
            <w:hideMark/>
          </w:tcPr>
          <w:p w14:paraId="41D84F9D" w14:textId="77777777" w:rsidR="00AE7548" w:rsidRPr="000612B9" w:rsidRDefault="00AE7548" w:rsidP="00CF47C2">
            <w:pPr>
              <w:rPr>
                <w:rFonts w:eastAsia="Times New Roman"/>
                <w:b/>
                <w:bCs/>
                <w:sz w:val="20"/>
                <w:szCs w:val="20"/>
              </w:rPr>
            </w:pPr>
            <w:r w:rsidRPr="000612B9">
              <w:rPr>
                <w:rFonts w:eastAsia="Times New Roman"/>
                <w:b/>
                <w:bCs/>
                <w:sz w:val="20"/>
                <w:szCs w:val="20"/>
              </w:rPr>
              <w:t> </w:t>
            </w:r>
          </w:p>
        </w:tc>
        <w:tc>
          <w:tcPr>
            <w:tcW w:w="0" w:type="auto"/>
            <w:gridSpan w:val="2"/>
            <w:tcBorders>
              <w:bottom w:val="single" w:sz="12" w:space="0" w:color="000000"/>
            </w:tcBorders>
            <w:vAlign w:val="bottom"/>
            <w:hideMark/>
          </w:tcPr>
          <w:p w14:paraId="227303D7" w14:textId="68A861ED" w:rsidR="00AE7548" w:rsidRPr="000612B9" w:rsidRDefault="00AE7548" w:rsidP="00340DC2">
            <w:pPr>
              <w:jc w:val="center"/>
              <w:rPr>
                <w:rFonts w:eastAsia="Times New Roman"/>
                <w:b/>
                <w:bCs/>
                <w:sz w:val="20"/>
                <w:szCs w:val="20"/>
              </w:rPr>
            </w:pPr>
            <w:r w:rsidRPr="000612B9">
              <w:rPr>
                <w:rFonts w:eastAsia="Times New Roman"/>
                <w:b/>
                <w:bCs/>
                <w:sz w:val="20"/>
                <w:szCs w:val="20"/>
              </w:rPr>
              <w:t>201</w:t>
            </w:r>
            <w:r w:rsidR="00340DC2">
              <w:rPr>
                <w:rFonts w:eastAsia="Times New Roman"/>
                <w:b/>
                <w:bCs/>
                <w:sz w:val="20"/>
                <w:szCs w:val="20"/>
              </w:rPr>
              <w:t>6</w:t>
            </w:r>
          </w:p>
        </w:tc>
        <w:tc>
          <w:tcPr>
            <w:tcW w:w="0" w:type="auto"/>
            <w:tcMar>
              <w:top w:w="0" w:type="dxa"/>
              <w:left w:w="0" w:type="dxa"/>
              <w:bottom w:w="30" w:type="dxa"/>
              <w:right w:w="0" w:type="dxa"/>
            </w:tcMar>
            <w:vAlign w:val="bottom"/>
            <w:hideMark/>
          </w:tcPr>
          <w:p w14:paraId="316725B9" w14:textId="77777777" w:rsidR="00AE7548" w:rsidRPr="000612B9" w:rsidRDefault="00AE7548" w:rsidP="00CF47C2">
            <w:pPr>
              <w:rPr>
                <w:rFonts w:eastAsia="Times New Roman"/>
                <w:b/>
                <w:bCs/>
                <w:sz w:val="20"/>
                <w:szCs w:val="20"/>
              </w:rPr>
            </w:pPr>
            <w:r w:rsidRPr="000612B9">
              <w:rPr>
                <w:rFonts w:eastAsia="Times New Roman"/>
                <w:b/>
                <w:bCs/>
                <w:sz w:val="20"/>
                <w:szCs w:val="20"/>
              </w:rPr>
              <w:t> </w:t>
            </w:r>
          </w:p>
        </w:tc>
        <w:tc>
          <w:tcPr>
            <w:tcW w:w="0" w:type="auto"/>
            <w:tcMar>
              <w:top w:w="0" w:type="dxa"/>
              <w:left w:w="0" w:type="dxa"/>
              <w:bottom w:w="30" w:type="dxa"/>
              <w:right w:w="0" w:type="dxa"/>
            </w:tcMar>
            <w:vAlign w:val="bottom"/>
            <w:hideMark/>
          </w:tcPr>
          <w:p w14:paraId="5D1F0325" w14:textId="77777777" w:rsidR="00AE7548" w:rsidRPr="000612B9" w:rsidRDefault="00AE7548" w:rsidP="00CF47C2">
            <w:pPr>
              <w:rPr>
                <w:rFonts w:eastAsia="Times New Roman"/>
                <w:b/>
                <w:bCs/>
                <w:sz w:val="20"/>
                <w:szCs w:val="20"/>
              </w:rPr>
            </w:pPr>
            <w:r w:rsidRPr="000612B9">
              <w:rPr>
                <w:rFonts w:eastAsia="Times New Roman"/>
                <w:b/>
                <w:bCs/>
                <w:sz w:val="20"/>
                <w:szCs w:val="20"/>
              </w:rPr>
              <w:t> </w:t>
            </w:r>
          </w:p>
        </w:tc>
        <w:tc>
          <w:tcPr>
            <w:tcW w:w="0" w:type="auto"/>
            <w:gridSpan w:val="2"/>
            <w:tcBorders>
              <w:bottom w:val="single" w:sz="12" w:space="0" w:color="000000"/>
            </w:tcBorders>
            <w:vAlign w:val="bottom"/>
            <w:hideMark/>
          </w:tcPr>
          <w:p w14:paraId="09C89396" w14:textId="753DFC53" w:rsidR="00AE7548" w:rsidRPr="000612B9" w:rsidRDefault="00AE7548" w:rsidP="00E0599D">
            <w:pPr>
              <w:jc w:val="center"/>
              <w:rPr>
                <w:rFonts w:eastAsia="Times New Roman"/>
                <w:b/>
                <w:bCs/>
                <w:sz w:val="20"/>
                <w:szCs w:val="20"/>
              </w:rPr>
            </w:pPr>
            <w:r w:rsidRPr="000612B9">
              <w:rPr>
                <w:rFonts w:eastAsia="Times New Roman"/>
                <w:b/>
                <w:bCs/>
                <w:sz w:val="20"/>
                <w:szCs w:val="20"/>
              </w:rPr>
              <w:t>201</w:t>
            </w:r>
            <w:r w:rsidR="00E0599D">
              <w:rPr>
                <w:rFonts w:eastAsia="Times New Roman"/>
                <w:b/>
                <w:bCs/>
                <w:sz w:val="20"/>
                <w:szCs w:val="20"/>
              </w:rPr>
              <w:t>5</w:t>
            </w:r>
          </w:p>
        </w:tc>
        <w:tc>
          <w:tcPr>
            <w:tcW w:w="0" w:type="auto"/>
            <w:tcMar>
              <w:top w:w="0" w:type="dxa"/>
              <w:left w:w="0" w:type="dxa"/>
              <w:bottom w:w="30" w:type="dxa"/>
              <w:right w:w="0" w:type="dxa"/>
            </w:tcMar>
            <w:vAlign w:val="bottom"/>
            <w:hideMark/>
          </w:tcPr>
          <w:p w14:paraId="6ED29F9B" w14:textId="77777777" w:rsidR="00AE7548" w:rsidRPr="000612B9" w:rsidRDefault="00AE7548" w:rsidP="00CF47C2">
            <w:pPr>
              <w:rPr>
                <w:rFonts w:eastAsia="Times New Roman"/>
                <w:b/>
                <w:bCs/>
                <w:sz w:val="20"/>
                <w:szCs w:val="20"/>
              </w:rPr>
            </w:pPr>
            <w:r w:rsidRPr="000612B9">
              <w:rPr>
                <w:rFonts w:eastAsia="Times New Roman"/>
                <w:b/>
                <w:bCs/>
                <w:sz w:val="20"/>
                <w:szCs w:val="20"/>
              </w:rPr>
              <w:t> </w:t>
            </w:r>
          </w:p>
        </w:tc>
      </w:tr>
      <w:tr w:rsidR="00AE7548" w:rsidRPr="000612B9" w14:paraId="7FC00F75" w14:textId="77777777" w:rsidTr="00D813D3">
        <w:trPr>
          <w:divId w:val="1788502657"/>
        </w:trPr>
        <w:tc>
          <w:tcPr>
            <w:tcW w:w="3800" w:type="pct"/>
            <w:shd w:val="clear" w:color="auto" w:fill="CCEEFF"/>
            <w:tcMar>
              <w:top w:w="0" w:type="dxa"/>
              <w:left w:w="200" w:type="dxa"/>
              <w:bottom w:w="0" w:type="dxa"/>
              <w:right w:w="0" w:type="dxa"/>
            </w:tcMar>
            <w:vAlign w:val="bottom"/>
            <w:hideMark/>
          </w:tcPr>
          <w:p w14:paraId="793D5810" w14:textId="077BA220" w:rsidR="00AE7548" w:rsidRPr="000612B9" w:rsidRDefault="00AE7548" w:rsidP="00CF47C2">
            <w:pPr>
              <w:rPr>
                <w:rFonts w:eastAsia="Times New Roman"/>
                <w:sz w:val="20"/>
                <w:szCs w:val="20"/>
              </w:rPr>
            </w:pPr>
            <w:r w:rsidRPr="000612B9">
              <w:rPr>
                <w:rFonts w:eastAsia="Times New Roman"/>
                <w:sz w:val="20"/>
                <w:szCs w:val="20"/>
              </w:rPr>
              <w:t>Danish Income Tax</w:t>
            </w:r>
            <w:r w:rsidR="00867894">
              <w:rPr>
                <w:rFonts w:eastAsia="Times New Roman"/>
                <w:sz w:val="20"/>
                <w:szCs w:val="20"/>
              </w:rPr>
              <w:t xml:space="preserve"> Expense (Benefit)</w:t>
            </w:r>
          </w:p>
        </w:tc>
        <w:tc>
          <w:tcPr>
            <w:tcW w:w="50" w:type="pct"/>
            <w:shd w:val="clear" w:color="auto" w:fill="CCEEFF"/>
            <w:vAlign w:val="bottom"/>
            <w:hideMark/>
          </w:tcPr>
          <w:p w14:paraId="4168613D"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50" w:type="pct"/>
            <w:shd w:val="clear" w:color="auto" w:fill="CCEEFF"/>
            <w:vAlign w:val="bottom"/>
            <w:hideMark/>
          </w:tcPr>
          <w:p w14:paraId="5C672BB6" w14:textId="77777777" w:rsidR="00AE7548" w:rsidRPr="000612B9" w:rsidRDefault="00AE7548" w:rsidP="00CF47C2">
            <w:pPr>
              <w:rPr>
                <w:rFonts w:eastAsia="Times New Roman"/>
                <w:sz w:val="20"/>
                <w:szCs w:val="20"/>
              </w:rPr>
            </w:pPr>
            <w:r w:rsidRPr="000612B9">
              <w:rPr>
                <w:rFonts w:eastAsia="Times New Roman"/>
                <w:sz w:val="20"/>
                <w:szCs w:val="20"/>
              </w:rPr>
              <w:t>$</w:t>
            </w:r>
          </w:p>
        </w:tc>
        <w:tc>
          <w:tcPr>
            <w:tcW w:w="450" w:type="pct"/>
            <w:shd w:val="clear" w:color="auto" w:fill="CCEEFF"/>
            <w:vAlign w:val="bottom"/>
          </w:tcPr>
          <w:p w14:paraId="7D04DB0D" w14:textId="6B038C90" w:rsidR="00AE7548" w:rsidRPr="000612B9" w:rsidRDefault="00D813D3" w:rsidP="00E0599D">
            <w:pPr>
              <w:jc w:val="right"/>
              <w:rPr>
                <w:rFonts w:eastAsia="Times New Roman"/>
                <w:sz w:val="20"/>
                <w:szCs w:val="20"/>
              </w:rPr>
            </w:pPr>
            <w:r>
              <w:rPr>
                <w:rFonts w:eastAsia="Times New Roman"/>
                <w:sz w:val="20"/>
                <w:szCs w:val="20"/>
              </w:rPr>
              <w:t>4,591</w:t>
            </w:r>
          </w:p>
        </w:tc>
        <w:tc>
          <w:tcPr>
            <w:tcW w:w="50" w:type="pct"/>
            <w:shd w:val="clear" w:color="auto" w:fill="CCEEFF"/>
            <w:vAlign w:val="bottom"/>
          </w:tcPr>
          <w:p w14:paraId="3E547E2E" w14:textId="77BEC7A6" w:rsidR="00AE7548" w:rsidRPr="000612B9" w:rsidRDefault="00AE7548" w:rsidP="00CF47C2">
            <w:pPr>
              <w:rPr>
                <w:rFonts w:eastAsia="Times New Roman"/>
                <w:sz w:val="20"/>
                <w:szCs w:val="20"/>
              </w:rPr>
            </w:pPr>
          </w:p>
        </w:tc>
        <w:tc>
          <w:tcPr>
            <w:tcW w:w="50" w:type="pct"/>
            <w:shd w:val="clear" w:color="auto" w:fill="CCEEFF"/>
            <w:vAlign w:val="bottom"/>
            <w:hideMark/>
          </w:tcPr>
          <w:p w14:paraId="4A79794F"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50" w:type="pct"/>
            <w:shd w:val="clear" w:color="auto" w:fill="CCEEFF"/>
            <w:vAlign w:val="bottom"/>
            <w:hideMark/>
          </w:tcPr>
          <w:p w14:paraId="312FBA4B" w14:textId="77777777" w:rsidR="00AE7548" w:rsidRPr="000612B9" w:rsidRDefault="00AE7548" w:rsidP="00CF47C2">
            <w:pPr>
              <w:rPr>
                <w:rFonts w:eastAsia="Times New Roman"/>
                <w:sz w:val="20"/>
                <w:szCs w:val="20"/>
              </w:rPr>
            </w:pPr>
            <w:r w:rsidRPr="000612B9">
              <w:rPr>
                <w:rFonts w:eastAsia="Times New Roman"/>
                <w:sz w:val="20"/>
                <w:szCs w:val="20"/>
              </w:rPr>
              <w:t>$</w:t>
            </w:r>
          </w:p>
        </w:tc>
        <w:tc>
          <w:tcPr>
            <w:tcW w:w="450" w:type="pct"/>
            <w:shd w:val="clear" w:color="auto" w:fill="CCEEFF"/>
            <w:vAlign w:val="bottom"/>
            <w:hideMark/>
          </w:tcPr>
          <w:p w14:paraId="0F0AACFC" w14:textId="0825888E" w:rsidR="00AE7548" w:rsidRPr="000612B9" w:rsidRDefault="00867894" w:rsidP="00CF47C2">
            <w:pPr>
              <w:jc w:val="right"/>
              <w:rPr>
                <w:rFonts w:eastAsia="Times New Roman"/>
                <w:sz w:val="20"/>
                <w:szCs w:val="20"/>
              </w:rPr>
            </w:pPr>
            <w:r>
              <w:rPr>
                <w:rFonts w:eastAsia="Times New Roman"/>
                <w:sz w:val="20"/>
                <w:szCs w:val="20"/>
              </w:rPr>
              <w:t>(</w:t>
            </w:r>
            <w:r w:rsidR="00E0599D">
              <w:rPr>
                <w:rFonts w:eastAsia="Times New Roman"/>
                <w:sz w:val="20"/>
                <w:szCs w:val="20"/>
              </w:rPr>
              <w:t>5,169</w:t>
            </w:r>
          </w:p>
        </w:tc>
        <w:tc>
          <w:tcPr>
            <w:tcW w:w="50" w:type="pct"/>
            <w:shd w:val="clear" w:color="auto" w:fill="CCEEFF"/>
            <w:vAlign w:val="bottom"/>
            <w:hideMark/>
          </w:tcPr>
          <w:p w14:paraId="279AFBF1" w14:textId="22F45F2B" w:rsidR="00AE7548" w:rsidRPr="000612B9" w:rsidRDefault="00867894" w:rsidP="00CF47C2">
            <w:pPr>
              <w:rPr>
                <w:rFonts w:eastAsia="Times New Roman"/>
                <w:sz w:val="20"/>
                <w:szCs w:val="20"/>
              </w:rPr>
            </w:pPr>
            <w:r>
              <w:rPr>
                <w:rFonts w:eastAsia="Times New Roman"/>
                <w:sz w:val="20"/>
                <w:szCs w:val="20"/>
              </w:rPr>
              <w:t>)</w:t>
            </w:r>
            <w:r w:rsidR="00AE7548" w:rsidRPr="000612B9">
              <w:rPr>
                <w:rFonts w:eastAsia="Times New Roman"/>
                <w:sz w:val="20"/>
                <w:szCs w:val="20"/>
              </w:rPr>
              <w:t> </w:t>
            </w:r>
          </w:p>
        </w:tc>
      </w:tr>
      <w:tr w:rsidR="00AE7548" w:rsidRPr="000612B9" w14:paraId="12E391FA" w14:textId="77777777" w:rsidTr="00AE7548">
        <w:trPr>
          <w:divId w:val="1788502657"/>
        </w:trPr>
        <w:tc>
          <w:tcPr>
            <w:tcW w:w="0" w:type="auto"/>
            <w:shd w:val="clear" w:color="auto" w:fill="FFFFFF"/>
            <w:vAlign w:val="bottom"/>
            <w:hideMark/>
          </w:tcPr>
          <w:p w14:paraId="061E0394" w14:textId="547D34F4" w:rsidR="00AE7548" w:rsidRPr="000612B9" w:rsidRDefault="00D813D3" w:rsidP="00CF47C2">
            <w:pPr>
              <w:rPr>
                <w:rFonts w:eastAsia="Times New Roman"/>
                <w:b/>
                <w:bCs/>
                <w:sz w:val="20"/>
                <w:szCs w:val="20"/>
              </w:rPr>
            </w:pPr>
            <w:r>
              <w:rPr>
                <w:rFonts w:eastAsia="Times New Roman"/>
                <w:b/>
                <w:bCs/>
                <w:sz w:val="20"/>
                <w:szCs w:val="20"/>
              </w:rPr>
              <w:t>Federal US</w:t>
            </w:r>
            <w:r w:rsidR="00AE7548" w:rsidRPr="000612B9">
              <w:rPr>
                <w:rFonts w:eastAsia="Times New Roman"/>
                <w:b/>
                <w:bCs/>
                <w:sz w:val="20"/>
                <w:szCs w:val="20"/>
              </w:rPr>
              <w:t xml:space="preserve"> Income Tax Expense (Benefit)</w:t>
            </w:r>
          </w:p>
        </w:tc>
        <w:tc>
          <w:tcPr>
            <w:tcW w:w="0" w:type="auto"/>
            <w:shd w:val="clear" w:color="auto" w:fill="FFFFFF"/>
            <w:vAlign w:val="bottom"/>
            <w:hideMark/>
          </w:tcPr>
          <w:p w14:paraId="487BF2D9"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56203D81"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2DE4736D" w14:textId="77777777" w:rsidR="00AE7548" w:rsidRPr="000612B9" w:rsidRDefault="00AE7548" w:rsidP="00CF47C2">
            <w:pPr>
              <w:jc w:val="right"/>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302CF637"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47EE58BF"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1DCF7D24"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3C009B2E" w14:textId="77777777" w:rsidR="00AE7548" w:rsidRPr="000612B9" w:rsidRDefault="00AE7548" w:rsidP="00CF47C2">
            <w:pPr>
              <w:jc w:val="right"/>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7E4E0A06" w14:textId="77777777" w:rsidR="00AE7548" w:rsidRPr="000612B9" w:rsidRDefault="00AE7548" w:rsidP="00CF47C2">
            <w:pPr>
              <w:rPr>
                <w:rFonts w:eastAsia="Times New Roman"/>
                <w:sz w:val="20"/>
                <w:szCs w:val="20"/>
              </w:rPr>
            </w:pPr>
            <w:r w:rsidRPr="000612B9">
              <w:rPr>
                <w:rFonts w:eastAsia="Times New Roman"/>
                <w:sz w:val="20"/>
                <w:szCs w:val="20"/>
              </w:rPr>
              <w:t> </w:t>
            </w:r>
          </w:p>
        </w:tc>
      </w:tr>
      <w:tr w:rsidR="00AE7548" w:rsidRPr="000612B9" w14:paraId="57384E72" w14:textId="77777777" w:rsidTr="00D813D3">
        <w:trPr>
          <w:divId w:val="1788502657"/>
        </w:trPr>
        <w:tc>
          <w:tcPr>
            <w:tcW w:w="0" w:type="auto"/>
            <w:shd w:val="clear" w:color="auto" w:fill="CCEEFF"/>
            <w:tcMar>
              <w:top w:w="0" w:type="dxa"/>
              <w:left w:w="200" w:type="dxa"/>
              <w:bottom w:w="0" w:type="dxa"/>
              <w:right w:w="0" w:type="dxa"/>
            </w:tcMar>
            <w:vAlign w:val="bottom"/>
          </w:tcPr>
          <w:p w14:paraId="3F63D8CC" w14:textId="6380965B" w:rsidR="00AE7548" w:rsidRPr="000612B9" w:rsidRDefault="00D813D3" w:rsidP="00CF47C2">
            <w:pPr>
              <w:rPr>
                <w:rFonts w:eastAsia="Times New Roman"/>
                <w:sz w:val="20"/>
                <w:szCs w:val="20"/>
              </w:rPr>
            </w:pPr>
            <w:r>
              <w:rPr>
                <w:rFonts w:eastAsia="Times New Roman"/>
                <w:sz w:val="20"/>
                <w:szCs w:val="20"/>
              </w:rPr>
              <w:t>Current</w:t>
            </w:r>
          </w:p>
        </w:tc>
        <w:tc>
          <w:tcPr>
            <w:tcW w:w="0" w:type="auto"/>
            <w:shd w:val="clear" w:color="auto" w:fill="CCEEFF"/>
            <w:vAlign w:val="bottom"/>
          </w:tcPr>
          <w:p w14:paraId="7480CDB1" w14:textId="6E55DA7E" w:rsidR="00AE7548" w:rsidRPr="000612B9" w:rsidRDefault="00AE7548" w:rsidP="00CF47C2">
            <w:pPr>
              <w:rPr>
                <w:rFonts w:eastAsia="Times New Roman"/>
                <w:sz w:val="20"/>
                <w:szCs w:val="20"/>
              </w:rPr>
            </w:pPr>
          </w:p>
        </w:tc>
        <w:tc>
          <w:tcPr>
            <w:tcW w:w="0" w:type="auto"/>
            <w:shd w:val="clear" w:color="auto" w:fill="CCEEFF"/>
            <w:vAlign w:val="bottom"/>
          </w:tcPr>
          <w:p w14:paraId="0C5FF95D" w14:textId="327930E7" w:rsidR="00AE7548" w:rsidRPr="000612B9" w:rsidRDefault="00AE7548" w:rsidP="00CF47C2">
            <w:pPr>
              <w:rPr>
                <w:rFonts w:eastAsia="Times New Roman"/>
                <w:sz w:val="20"/>
                <w:szCs w:val="20"/>
              </w:rPr>
            </w:pPr>
          </w:p>
        </w:tc>
        <w:tc>
          <w:tcPr>
            <w:tcW w:w="0" w:type="auto"/>
            <w:shd w:val="clear" w:color="auto" w:fill="CCEEFF"/>
            <w:vAlign w:val="bottom"/>
          </w:tcPr>
          <w:p w14:paraId="58EE1437" w14:textId="5AD8DC00" w:rsidR="00AE7548" w:rsidRPr="000612B9" w:rsidRDefault="00D813D3" w:rsidP="00CF47C2">
            <w:pPr>
              <w:jc w:val="right"/>
              <w:rPr>
                <w:rFonts w:eastAsia="Times New Roman"/>
                <w:sz w:val="20"/>
                <w:szCs w:val="20"/>
              </w:rPr>
            </w:pPr>
            <w:r>
              <w:rPr>
                <w:rFonts w:eastAsia="Times New Roman"/>
                <w:sz w:val="20"/>
                <w:szCs w:val="20"/>
              </w:rPr>
              <w:t>-</w:t>
            </w:r>
          </w:p>
        </w:tc>
        <w:tc>
          <w:tcPr>
            <w:tcW w:w="0" w:type="auto"/>
            <w:shd w:val="clear" w:color="auto" w:fill="CCEEFF"/>
            <w:vAlign w:val="bottom"/>
          </w:tcPr>
          <w:p w14:paraId="408A5AFF" w14:textId="6F05E236" w:rsidR="00AE7548" w:rsidRPr="000612B9" w:rsidRDefault="00AE7548" w:rsidP="00CF47C2">
            <w:pPr>
              <w:rPr>
                <w:rFonts w:eastAsia="Times New Roman"/>
                <w:sz w:val="20"/>
                <w:szCs w:val="20"/>
              </w:rPr>
            </w:pPr>
          </w:p>
        </w:tc>
        <w:tc>
          <w:tcPr>
            <w:tcW w:w="0" w:type="auto"/>
            <w:shd w:val="clear" w:color="auto" w:fill="CCEEFF"/>
            <w:vAlign w:val="bottom"/>
          </w:tcPr>
          <w:p w14:paraId="16D1BA63" w14:textId="56073EED" w:rsidR="00AE7548" w:rsidRPr="000612B9" w:rsidRDefault="00AE7548" w:rsidP="00CF47C2">
            <w:pPr>
              <w:rPr>
                <w:rFonts w:eastAsia="Times New Roman"/>
                <w:sz w:val="20"/>
                <w:szCs w:val="20"/>
              </w:rPr>
            </w:pPr>
          </w:p>
        </w:tc>
        <w:tc>
          <w:tcPr>
            <w:tcW w:w="0" w:type="auto"/>
            <w:shd w:val="clear" w:color="auto" w:fill="CCEEFF"/>
            <w:vAlign w:val="bottom"/>
          </w:tcPr>
          <w:p w14:paraId="06E821F7" w14:textId="6553AC56" w:rsidR="00AE7548" w:rsidRPr="000612B9" w:rsidRDefault="00AE7548" w:rsidP="00CF47C2">
            <w:pPr>
              <w:rPr>
                <w:rFonts w:eastAsia="Times New Roman"/>
                <w:sz w:val="20"/>
                <w:szCs w:val="20"/>
              </w:rPr>
            </w:pPr>
          </w:p>
        </w:tc>
        <w:tc>
          <w:tcPr>
            <w:tcW w:w="0" w:type="auto"/>
            <w:shd w:val="clear" w:color="auto" w:fill="CCEEFF"/>
            <w:vAlign w:val="bottom"/>
          </w:tcPr>
          <w:p w14:paraId="126BA479" w14:textId="4C7CDE1E" w:rsidR="00AE7548" w:rsidRPr="000612B9" w:rsidRDefault="00D813D3" w:rsidP="00CF47C2">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46918216" w14:textId="77777777" w:rsidR="00AE7548" w:rsidRPr="000612B9" w:rsidRDefault="00AE7548" w:rsidP="00CF47C2">
            <w:pPr>
              <w:rPr>
                <w:rFonts w:eastAsia="Times New Roman"/>
                <w:sz w:val="20"/>
                <w:szCs w:val="20"/>
              </w:rPr>
            </w:pPr>
            <w:r w:rsidRPr="000612B9">
              <w:rPr>
                <w:rFonts w:eastAsia="Times New Roman"/>
                <w:sz w:val="20"/>
                <w:szCs w:val="20"/>
              </w:rPr>
              <w:t> </w:t>
            </w:r>
          </w:p>
        </w:tc>
      </w:tr>
      <w:tr w:rsidR="00AE7548" w:rsidRPr="000612B9" w14:paraId="1E659886" w14:textId="77777777" w:rsidTr="00D813D3">
        <w:trPr>
          <w:divId w:val="1788502657"/>
        </w:trPr>
        <w:tc>
          <w:tcPr>
            <w:tcW w:w="0" w:type="auto"/>
            <w:shd w:val="clear" w:color="auto" w:fill="FFFFFF"/>
            <w:tcMar>
              <w:top w:w="0" w:type="dxa"/>
              <w:left w:w="200" w:type="dxa"/>
              <w:bottom w:w="30" w:type="dxa"/>
              <w:right w:w="0" w:type="dxa"/>
            </w:tcMar>
            <w:vAlign w:val="bottom"/>
          </w:tcPr>
          <w:p w14:paraId="2A42236C" w14:textId="5714FA72" w:rsidR="00AE7548" w:rsidRPr="000612B9" w:rsidRDefault="00D813D3" w:rsidP="00CF47C2">
            <w:pPr>
              <w:rPr>
                <w:rFonts w:eastAsia="Times New Roman"/>
                <w:sz w:val="20"/>
                <w:szCs w:val="20"/>
              </w:rPr>
            </w:pPr>
            <w:r>
              <w:rPr>
                <w:rFonts w:eastAsia="Times New Roman"/>
                <w:sz w:val="20"/>
                <w:szCs w:val="20"/>
              </w:rPr>
              <w:lastRenderedPageBreak/>
              <w:t>Deferred</w:t>
            </w:r>
          </w:p>
        </w:tc>
        <w:tc>
          <w:tcPr>
            <w:tcW w:w="0" w:type="auto"/>
            <w:shd w:val="clear" w:color="auto" w:fill="FFFFFF"/>
            <w:tcMar>
              <w:top w:w="0" w:type="dxa"/>
              <w:left w:w="0" w:type="dxa"/>
              <w:bottom w:w="30" w:type="dxa"/>
              <w:right w:w="0" w:type="dxa"/>
            </w:tcMar>
            <w:vAlign w:val="bottom"/>
          </w:tcPr>
          <w:p w14:paraId="4655A39A" w14:textId="494F5647" w:rsidR="00AE7548" w:rsidRPr="000612B9" w:rsidRDefault="00AE7548" w:rsidP="00CF47C2">
            <w:pPr>
              <w:rPr>
                <w:rFonts w:eastAsia="Times New Roman"/>
                <w:sz w:val="20"/>
                <w:szCs w:val="20"/>
              </w:rPr>
            </w:pPr>
          </w:p>
        </w:tc>
        <w:tc>
          <w:tcPr>
            <w:tcW w:w="0" w:type="auto"/>
            <w:tcBorders>
              <w:bottom w:val="single" w:sz="12" w:space="0" w:color="000000"/>
            </w:tcBorders>
            <w:shd w:val="clear" w:color="auto" w:fill="FFFFFF"/>
            <w:vAlign w:val="bottom"/>
          </w:tcPr>
          <w:p w14:paraId="5E721BB7" w14:textId="45B19935" w:rsidR="00AE7548" w:rsidRPr="000612B9" w:rsidRDefault="00AE7548" w:rsidP="00CF47C2">
            <w:pPr>
              <w:rPr>
                <w:rFonts w:eastAsia="Times New Roman"/>
                <w:sz w:val="20"/>
                <w:szCs w:val="20"/>
              </w:rPr>
            </w:pPr>
          </w:p>
        </w:tc>
        <w:tc>
          <w:tcPr>
            <w:tcW w:w="0" w:type="auto"/>
            <w:tcBorders>
              <w:bottom w:val="single" w:sz="12" w:space="0" w:color="000000"/>
            </w:tcBorders>
            <w:shd w:val="clear" w:color="auto" w:fill="FFFFFF"/>
            <w:vAlign w:val="bottom"/>
          </w:tcPr>
          <w:p w14:paraId="5A9E3457" w14:textId="6D61F0E0" w:rsidR="00AE7548" w:rsidRPr="000612B9" w:rsidRDefault="00D813D3" w:rsidP="00CF47C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30" w:type="dxa"/>
              <w:right w:w="0" w:type="dxa"/>
            </w:tcMar>
            <w:vAlign w:val="bottom"/>
          </w:tcPr>
          <w:p w14:paraId="024AC6ED" w14:textId="43D07342" w:rsidR="00AE7548" w:rsidRPr="000612B9" w:rsidRDefault="00AE7548" w:rsidP="00CF47C2">
            <w:pPr>
              <w:rPr>
                <w:rFonts w:eastAsia="Times New Roman"/>
                <w:sz w:val="20"/>
                <w:szCs w:val="20"/>
              </w:rPr>
            </w:pPr>
          </w:p>
        </w:tc>
        <w:tc>
          <w:tcPr>
            <w:tcW w:w="0" w:type="auto"/>
            <w:shd w:val="clear" w:color="auto" w:fill="FFFFFF"/>
            <w:tcMar>
              <w:top w:w="0" w:type="dxa"/>
              <w:left w:w="0" w:type="dxa"/>
              <w:bottom w:w="30" w:type="dxa"/>
              <w:right w:w="0" w:type="dxa"/>
            </w:tcMar>
            <w:vAlign w:val="bottom"/>
          </w:tcPr>
          <w:p w14:paraId="09BE12FF" w14:textId="2709F388" w:rsidR="00AE7548" w:rsidRPr="000612B9" w:rsidRDefault="00AE7548" w:rsidP="00CF47C2">
            <w:pPr>
              <w:rPr>
                <w:rFonts w:eastAsia="Times New Roman"/>
                <w:sz w:val="20"/>
                <w:szCs w:val="20"/>
              </w:rPr>
            </w:pPr>
          </w:p>
        </w:tc>
        <w:tc>
          <w:tcPr>
            <w:tcW w:w="0" w:type="auto"/>
            <w:tcBorders>
              <w:bottom w:val="single" w:sz="12" w:space="0" w:color="000000"/>
            </w:tcBorders>
            <w:shd w:val="clear" w:color="auto" w:fill="FFFFFF"/>
            <w:vAlign w:val="bottom"/>
          </w:tcPr>
          <w:p w14:paraId="5BEB6A26" w14:textId="700FBE71" w:rsidR="00AE7548" w:rsidRPr="000612B9" w:rsidRDefault="00AE7548" w:rsidP="00CF47C2">
            <w:pPr>
              <w:rPr>
                <w:rFonts w:eastAsia="Times New Roman"/>
                <w:sz w:val="20"/>
                <w:szCs w:val="20"/>
              </w:rPr>
            </w:pPr>
          </w:p>
        </w:tc>
        <w:tc>
          <w:tcPr>
            <w:tcW w:w="0" w:type="auto"/>
            <w:tcBorders>
              <w:bottom w:val="single" w:sz="12" w:space="0" w:color="000000"/>
            </w:tcBorders>
            <w:shd w:val="clear" w:color="auto" w:fill="FFFFFF"/>
            <w:vAlign w:val="bottom"/>
          </w:tcPr>
          <w:p w14:paraId="71541666" w14:textId="6162A241" w:rsidR="00AE7548" w:rsidRPr="000612B9" w:rsidRDefault="00D813D3" w:rsidP="00CF47C2">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30" w:type="dxa"/>
              <w:right w:w="0" w:type="dxa"/>
            </w:tcMar>
            <w:vAlign w:val="bottom"/>
            <w:hideMark/>
          </w:tcPr>
          <w:p w14:paraId="41EC3978" w14:textId="77777777" w:rsidR="00AE7548" w:rsidRPr="000612B9" w:rsidRDefault="00AE7548" w:rsidP="00CF47C2">
            <w:pPr>
              <w:rPr>
                <w:rFonts w:eastAsia="Times New Roman"/>
                <w:sz w:val="20"/>
                <w:szCs w:val="20"/>
              </w:rPr>
            </w:pPr>
            <w:r w:rsidRPr="000612B9">
              <w:rPr>
                <w:rFonts w:eastAsia="Times New Roman"/>
                <w:sz w:val="20"/>
                <w:szCs w:val="20"/>
              </w:rPr>
              <w:t> </w:t>
            </w:r>
          </w:p>
        </w:tc>
      </w:tr>
      <w:tr w:rsidR="00AE7548" w:rsidRPr="000612B9" w14:paraId="53B40F6D" w14:textId="77777777" w:rsidTr="00AE7548">
        <w:trPr>
          <w:divId w:val="1788502657"/>
        </w:trPr>
        <w:tc>
          <w:tcPr>
            <w:tcW w:w="0" w:type="auto"/>
            <w:shd w:val="clear" w:color="auto" w:fill="CCEEFF"/>
            <w:tcMar>
              <w:top w:w="0" w:type="dxa"/>
              <w:left w:w="0" w:type="dxa"/>
              <w:bottom w:w="30" w:type="dxa"/>
              <w:right w:w="0" w:type="dxa"/>
            </w:tcMar>
            <w:vAlign w:val="bottom"/>
            <w:hideMark/>
          </w:tcPr>
          <w:p w14:paraId="3A98FDAF" w14:textId="02345372" w:rsidR="00AE7548" w:rsidRPr="000612B9" w:rsidRDefault="00AE7548" w:rsidP="00D813D3">
            <w:pPr>
              <w:rPr>
                <w:rFonts w:eastAsia="Times New Roman"/>
                <w:sz w:val="20"/>
                <w:szCs w:val="20"/>
              </w:rPr>
            </w:pPr>
            <w:r w:rsidRPr="000612B9">
              <w:rPr>
                <w:rFonts w:eastAsia="Times New Roman"/>
                <w:sz w:val="20"/>
                <w:szCs w:val="20"/>
              </w:rPr>
              <w:t xml:space="preserve">Total </w:t>
            </w:r>
            <w:r w:rsidR="00D813D3">
              <w:rPr>
                <w:rFonts w:eastAsia="Times New Roman"/>
                <w:sz w:val="20"/>
                <w:szCs w:val="20"/>
              </w:rPr>
              <w:t>Income Tax Expense</w:t>
            </w:r>
          </w:p>
        </w:tc>
        <w:tc>
          <w:tcPr>
            <w:tcW w:w="0" w:type="auto"/>
            <w:shd w:val="clear" w:color="auto" w:fill="CCEEFF"/>
            <w:tcMar>
              <w:top w:w="0" w:type="dxa"/>
              <w:left w:w="0" w:type="dxa"/>
              <w:bottom w:w="30" w:type="dxa"/>
              <w:right w:w="0" w:type="dxa"/>
            </w:tcMar>
            <w:vAlign w:val="bottom"/>
            <w:hideMark/>
          </w:tcPr>
          <w:p w14:paraId="1A48F479"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tcBorders>
              <w:bottom w:val="single" w:sz="12" w:space="0" w:color="000000"/>
            </w:tcBorders>
            <w:shd w:val="clear" w:color="auto" w:fill="CCEEFF"/>
            <w:vAlign w:val="bottom"/>
            <w:hideMark/>
          </w:tcPr>
          <w:p w14:paraId="7BD78DE3" w14:textId="77777777" w:rsidR="00AE7548" w:rsidRPr="000612B9" w:rsidRDefault="00AE7548" w:rsidP="00CF47C2">
            <w:pPr>
              <w:rPr>
                <w:rFonts w:eastAsia="Times New Roman"/>
                <w:sz w:val="20"/>
                <w:szCs w:val="20"/>
              </w:rPr>
            </w:pPr>
            <w:r w:rsidRPr="000612B9">
              <w:rPr>
                <w:rFonts w:eastAsia="Times New Roman"/>
                <w:sz w:val="20"/>
                <w:szCs w:val="20"/>
              </w:rPr>
              <w:t>$</w:t>
            </w:r>
          </w:p>
        </w:tc>
        <w:tc>
          <w:tcPr>
            <w:tcW w:w="0" w:type="auto"/>
            <w:tcBorders>
              <w:bottom w:val="single" w:sz="12" w:space="0" w:color="000000"/>
            </w:tcBorders>
            <w:shd w:val="clear" w:color="auto" w:fill="CCEEFF"/>
            <w:vAlign w:val="bottom"/>
            <w:hideMark/>
          </w:tcPr>
          <w:p w14:paraId="176B25B1" w14:textId="34838066" w:rsidR="00AE7548" w:rsidRPr="000612B9" w:rsidRDefault="00D813D3" w:rsidP="00CF47C2">
            <w:pPr>
              <w:jc w:val="right"/>
              <w:rPr>
                <w:rFonts w:eastAsia="Times New Roman"/>
                <w:sz w:val="20"/>
                <w:szCs w:val="20"/>
              </w:rPr>
            </w:pPr>
            <w:r>
              <w:rPr>
                <w:rFonts w:eastAsia="Times New Roman"/>
                <w:sz w:val="20"/>
                <w:szCs w:val="20"/>
              </w:rPr>
              <w:t>4,591</w:t>
            </w:r>
          </w:p>
        </w:tc>
        <w:tc>
          <w:tcPr>
            <w:tcW w:w="0" w:type="auto"/>
            <w:shd w:val="clear" w:color="auto" w:fill="CCEEFF"/>
            <w:tcMar>
              <w:top w:w="0" w:type="dxa"/>
              <w:left w:w="0" w:type="dxa"/>
              <w:bottom w:w="30" w:type="dxa"/>
              <w:right w:w="0" w:type="dxa"/>
            </w:tcMar>
            <w:vAlign w:val="bottom"/>
            <w:hideMark/>
          </w:tcPr>
          <w:p w14:paraId="0491C442"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shd w:val="clear" w:color="auto" w:fill="CCEEFF"/>
            <w:tcMar>
              <w:top w:w="0" w:type="dxa"/>
              <w:left w:w="0" w:type="dxa"/>
              <w:bottom w:w="30" w:type="dxa"/>
              <w:right w:w="0" w:type="dxa"/>
            </w:tcMar>
            <w:vAlign w:val="bottom"/>
            <w:hideMark/>
          </w:tcPr>
          <w:p w14:paraId="6722B9FE" w14:textId="77777777" w:rsidR="00AE7548" w:rsidRPr="000612B9" w:rsidRDefault="00AE7548" w:rsidP="00CF47C2">
            <w:pPr>
              <w:rPr>
                <w:rFonts w:eastAsia="Times New Roman"/>
                <w:sz w:val="20"/>
                <w:szCs w:val="20"/>
              </w:rPr>
            </w:pPr>
            <w:r w:rsidRPr="000612B9">
              <w:rPr>
                <w:rFonts w:eastAsia="Times New Roman"/>
                <w:sz w:val="20"/>
                <w:szCs w:val="20"/>
              </w:rPr>
              <w:t> </w:t>
            </w:r>
          </w:p>
        </w:tc>
        <w:tc>
          <w:tcPr>
            <w:tcW w:w="0" w:type="auto"/>
            <w:tcBorders>
              <w:bottom w:val="single" w:sz="12" w:space="0" w:color="000000"/>
            </w:tcBorders>
            <w:shd w:val="clear" w:color="auto" w:fill="CCEEFF"/>
            <w:vAlign w:val="bottom"/>
            <w:hideMark/>
          </w:tcPr>
          <w:p w14:paraId="3A4630F2" w14:textId="77777777" w:rsidR="00AE7548" w:rsidRPr="000612B9" w:rsidRDefault="00AE7548" w:rsidP="00CF47C2">
            <w:pPr>
              <w:rPr>
                <w:rFonts w:eastAsia="Times New Roman"/>
                <w:sz w:val="20"/>
                <w:szCs w:val="20"/>
              </w:rPr>
            </w:pPr>
            <w:r w:rsidRPr="000612B9">
              <w:rPr>
                <w:rFonts w:eastAsia="Times New Roman"/>
                <w:sz w:val="20"/>
                <w:szCs w:val="20"/>
              </w:rPr>
              <w:t>$</w:t>
            </w:r>
          </w:p>
        </w:tc>
        <w:tc>
          <w:tcPr>
            <w:tcW w:w="0" w:type="auto"/>
            <w:tcBorders>
              <w:bottom w:val="single" w:sz="12" w:space="0" w:color="000000"/>
            </w:tcBorders>
            <w:shd w:val="clear" w:color="auto" w:fill="CCEEFF"/>
            <w:vAlign w:val="bottom"/>
            <w:hideMark/>
          </w:tcPr>
          <w:p w14:paraId="31D08E6E" w14:textId="1EC1C007" w:rsidR="00AE7548" w:rsidRPr="000612B9" w:rsidRDefault="00340DC2" w:rsidP="00D813D3">
            <w:pPr>
              <w:jc w:val="right"/>
              <w:rPr>
                <w:rFonts w:eastAsia="Times New Roman"/>
                <w:sz w:val="20"/>
                <w:szCs w:val="20"/>
              </w:rPr>
            </w:pPr>
            <w:r>
              <w:rPr>
                <w:rFonts w:eastAsia="Times New Roman"/>
                <w:sz w:val="20"/>
                <w:szCs w:val="20"/>
              </w:rPr>
              <w:t>(</w:t>
            </w:r>
            <w:r w:rsidR="00D813D3">
              <w:rPr>
                <w:rFonts w:eastAsia="Times New Roman"/>
                <w:sz w:val="20"/>
                <w:szCs w:val="20"/>
              </w:rPr>
              <w:t>5,169</w:t>
            </w:r>
          </w:p>
        </w:tc>
        <w:tc>
          <w:tcPr>
            <w:tcW w:w="0" w:type="auto"/>
            <w:shd w:val="clear" w:color="auto" w:fill="CCEEFF"/>
            <w:tcMar>
              <w:top w:w="0" w:type="dxa"/>
              <w:left w:w="0" w:type="dxa"/>
              <w:bottom w:w="30" w:type="dxa"/>
              <w:right w:w="0" w:type="dxa"/>
            </w:tcMar>
            <w:vAlign w:val="bottom"/>
            <w:hideMark/>
          </w:tcPr>
          <w:p w14:paraId="28F4D59F" w14:textId="09F09AD9" w:rsidR="00AE7548" w:rsidRPr="000612B9" w:rsidRDefault="00340DC2" w:rsidP="00CF47C2">
            <w:pPr>
              <w:rPr>
                <w:rFonts w:eastAsia="Times New Roman"/>
                <w:sz w:val="20"/>
                <w:szCs w:val="20"/>
              </w:rPr>
            </w:pPr>
            <w:r>
              <w:rPr>
                <w:rFonts w:eastAsia="Times New Roman"/>
                <w:sz w:val="20"/>
                <w:szCs w:val="20"/>
              </w:rPr>
              <w:t>)</w:t>
            </w:r>
            <w:r w:rsidR="00AE7548" w:rsidRPr="000612B9">
              <w:rPr>
                <w:rFonts w:eastAsia="Times New Roman"/>
                <w:sz w:val="20"/>
                <w:szCs w:val="20"/>
              </w:rPr>
              <w:t> </w:t>
            </w:r>
          </w:p>
        </w:tc>
      </w:tr>
    </w:tbl>
    <w:p w14:paraId="3DC09A32" w14:textId="77777777" w:rsidR="00AE7548" w:rsidRPr="000612B9" w:rsidRDefault="00AE7548" w:rsidP="00AE7548">
      <w:pPr>
        <w:ind w:firstLine="720"/>
        <w:jc w:val="both"/>
        <w:divId w:val="1788502657"/>
        <w:rPr>
          <w:rFonts w:eastAsia="Times New Roman"/>
          <w:sz w:val="20"/>
          <w:szCs w:val="20"/>
        </w:rPr>
      </w:pPr>
      <w:r w:rsidRPr="000612B9">
        <w:rPr>
          <w:rFonts w:eastAsia="Times New Roman"/>
          <w:sz w:val="20"/>
          <w:szCs w:val="20"/>
        </w:rPr>
        <w:t> </w:t>
      </w:r>
    </w:p>
    <w:p w14:paraId="681E0F94" w14:textId="60F5C9D9" w:rsidR="00AE7548" w:rsidRPr="00EC58C6" w:rsidRDefault="00AE7548" w:rsidP="00EC58C6">
      <w:pPr>
        <w:ind w:firstLine="720"/>
        <w:jc w:val="both"/>
        <w:divId w:val="1788502657"/>
        <w:rPr>
          <w:rFonts w:eastAsia="Times New Roman"/>
          <w:sz w:val="20"/>
          <w:szCs w:val="20"/>
        </w:rPr>
      </w:pPr>
      <w:r w:rsidRPr="000612B9">
        <w:rPr>
          <w:rFonts w:eastAsia="Times New Roman"/>
          <w:sz w:val="20"/>
          <w:szCs w:val="20"/>
        </w:rPr>
        <w:t>Deferred income tax expense</w:t>
      </w:r>
      <w:proofErr w:type="gramStart"/>
      <w:r w:rsidRPr="000612B9">
        <w:rPr>
          <w:rFonts w:eastAsia="Times New Roman"/>
          <w:sz w:val="20"/>
          <w:szCs w:val="20"/>
        </w:rPr>
        <w:t>/(</w:t>
      </w:r>
      <w:proofErr w:type="gramEnd"/>
      <w:r w:rsidRPr="000612B9">
        <w:rPr>
          <w:rFonts w:eastAsia="Times New Roman"/>
          <w:sz w:val="20"/>
          <w:szCs w:val="20"/>
        </w:rPr>
        <w:t>benefit) results primarily from the reversal of temporary timing differences between tax and financial statement income.</w:t>
      </w:r>
    </w:p>
    <w:p w14:paraId="73DDEDAF" w14:textId="77777777" w:rsidR="00236301" w:rsidRDefault="00265296">
      <w:pPr>
        <w:pStyle w:val="auto-style2"/>
        <w:divId w:val="1788502657"/>
      </w:pPr>
      <w:r>
        <w:rPr>
          <w:sz w:val="20"/>
          <w:szCs w:val="20"/>
        </w:rPr>
        <w:br/>
      </w:r>
      <w:r>
        <w:rPr>
          <w:b/>
          <w:bCs/>
          <w:sz w:val="20"/>
          <w:szCs w:val="20"/>
        </w:rPr>
        <w:t>F-13</w:t>
      </w:r>
      <w:r>
        <w:rPr>
          <w:sz w:val="20"/>
          <w:szCs w:val="20"/>
        </w:rPr>
        <w:t xml:space="preserve"> </w:t>
      </w:r>
    </w:p>
    <w:p w14:paraId="23F436D5" w14:textId="77777777" w:rsidR="00236301" w:rsidRDefault="00084F74">
      <w:pPr>
        <w:jc w:val="center"/>
        <w:divId w:val="1788502657"/>
        <w:rPr>
          <w:rFonts w:eastAsia="Times New Roman"/>
          <w:sz w:val="20"/>
          <w:szCs w:val="20"/>
        </w:rPr>
      </w:pPr>
      <w:r>
        <w:rPr>
          <w:rFonts w:eastAsia="Times New Roman"/>
          <w:sz w:val="20"/>
          <w:szCs w:val="20"/>
        </w:rPr>
        <w:pict w14:anchorId="5840A9E4">
          <v:rect id="_x0000_i1073" style="width:.05pt;height:1pt" o:hralign="center" o:hrstd="t" o:hrnoshade="t" o:hr="t" fillcolor="blue" stroked="f"/>
        </w:pict>
      </w:r>
    </w:p>
    <w:p w14:paraId="6AE83E5A" w14:textId="619E1699" w:rsidR="00236301" w:rsidRDefault="00265296">
      <w:pPr>
        <w:pStyle w:val="NormalWeb"/>
        <w:divId w:val="1788502657"/>
      </w:pPr>
      <w:r>
        <w:t> </w:t>
      </w:r>
      <w:r>
        <w:rPr>
          <w:b/>
          <w:bCs/>
          <w:sz w:val="20"/>
          <w:szCs w:val="20"/>
        </w:rPr>
        <w:t xml:space="preserve">NOTE </w:t>
      </w:r>
      <w:r w:rsidR="00D27240">
        <w:rPr>
          <w:b/>
          <w:bCs/>
          <w:sz w:val="20"/>
          <w:szCs w:val="20"/>
        </w:rPr>
        <w:t xml:space="preserve">8 </w:t>
      </w:r>
      <w:r>
        <w:rPr>
          <w:b/>
          <w:bCs/>
          <w:sz w:val="20"/>
          <w:szCs w:val="20"/>
        </w:rPr>
        <w:t>- SHAREHOLDERS' EQUITY:</w:t>
      </w:r>
    </w:p>
    <w:p w14:paraId="6AACECA4" w14:textId="77777777" w:rsidR="00236301" w:rsidRDefault="00265296">
      <w:pPr>
        <w:pStyle w:val="NormalWeb"/>
        <w:divId w:val="1788502657"/>
      </w:pPr>
      <w:r>
        <w:rPr>
          <w:sz w:val="20"/>
          <w:szCs w:val="20"/>
        </w:rPr>
        <w:t>Common Stock:</w:t>
      </w:r>
    </w:p>
    <w:p w14:paraId="06FF49CA" w14:textId="77777777" w:rsidR="00236301" w:rsidRDefault="00265296">
      <w:pPr>
        <w:pStyle w:val="NormalWeb"/>
        <w:divId w:val="1262029451"/>
      </w:pPr>
      <w:r>
        <w:rPr>
          <w:sz w:val="20"/>
          <w:szCs w:val="20"/>
        </w:rPr>
        <w:t>Pursuant to a Certificate of Amendment to our Certificate of Incorporation filed with the State of Delaware and effective as of December 8, 2014, the Company (effected a reverse stock split of all the outstanding shares of our common stock at an exchange ratio of one for twenty (1:20) and changed the number our authorized shares of common stock, par value $0.01 per share, from 90,000,000 to 60,000,000 while maintaining the number of authorized shares of preferred stock, par value $0.01 per share, at 10,000,000. As a result, the 45,853,585 shares of common stock outstanding at December 7, 2014 had been reduced to 2,292,945 shares of common stock (taking into account the rounding up of fractional share interests).</w:t>
      </w:r>
    </w:p>
    <w:p w14:paraId="0ABE87AE" w14:textId="77777777" w:rsidR="00236301" w:rsidRDefault="00265296">
      <w:pPr>
        <w:pStyle w:val="NormalWeb"/>
        <w:divId w:val="1788502657"/>
      </w:pPr>
      <w:r>
        <w:rPr>
          <w:sz w:val="20"/>
          <w:szCs w:val="20"/>
        </w:rPr>
        <w:t>Preferred Stock:</w:t>
      </w:r>
    </w:p>
    <w:p w14:paraId="4A67C1A7" w14:textId="77777777" w:rsidR="00236301" w:rsidRDefault="00265296">
      <w:pPr>
        <w:pStyle w:val="NormalWeb"/>
        <w:divId w:val="1788502657"/>
      </w:pPr>
      <w:r>
        <w:rPr>
          <w:sz w:val="20"/>
          <w:szCs w:val="20"/>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14:paraId="097CFA4A" w14:textId="77777777" w:rsidR="00236301" w:rsidRDefault="00265296">
      <w:pPr>
        <w:pStyle w:val="NormalWeb"/>
        <w:divId w:val="1788502657"/>
      </w:pPr>
      <w:r>
        <w:rPr>
          <w:sz w:val="20"/>
          <w:szCs w:val="20"/>
        </w:rPr>
        <w:t>Series 2 Convertible Preferred Stock:</w:t>
      </w:r>
    </w:p>
    <w:p w14:paraId="1A9A9B76" w14:textId="77777777" w:rsidR="00236301" w:rsidRDefault="00265296">
      <w:pPr>
        <w:pStyle w:val="NormalWeb"/>
        <w:divId w:val="1788502657"/>
      </w:pPr>
      <w:r>
        <w:rPr>
          <w:sz w:val="20"/>
          <w:szCs w:val="20"/>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During November 1997, 172,000 shares of Series 2 preferred stock were converted into 344,000 shares of the Company's common stock.</w:t>
      </w:r>
    </w:p>
    <w:p w14:paraId="30CB4FDC" w14:textId="77777777" w:rsidR="00185C96" w:rsidRDefault="00185C96" w:rsidP="00185C96">
      <w:pPr>
        <w:pStyle w:val="NormalWeb"/>
        <w:divId w:val="1788502657"/>
        <w:rPr>
          <w:rFonts w:eastAsia="Times New Roman"/>
        </w:rPr>
      </w:pPr>
      <w:r>
        <w:rPr>
          <w:sz w:val="20"/>
          <w:szCs w:val="20"/>
        </w:rPr>
        <w:t>Series 3 Convertible Preferred Stock:</w:t>
      </w:r>
    </w:p>
    <w:p w14:paraId="02C379FA" w14:textId="77777777" w:rsidR="00185C96" w:rsidRDefault="00185C96" w:rsidP="00185C96">
      <w:pPr>
        <w:pStyle w:val="NormalWeb"/>
        <w:divId w:val="1788502657"/>
      </w:pPr>
      <w:r>
        <w:rPr>
          <w:sz w:val="20"/>
          <w:szCs w:val="20"/>
        </w:rPr>
        <w:t xml:space="preserve">Each share automatically converts on March 2, 2000 into either (a) one (1) share of the Company's common stock if the average closing price of the common stock during the ten trading days immediately prior to March 1, 2000 is equal to or greater than sixty-six cents ($0.66) per share, or (b) one and one-half (1 1/2) </w:t>
      </w:r>
      <w:r>
        <w:rPr>
          <w:sz w:val="20"/>
          <w:szCs w:val="20"/>
        </w:rPr>
        <w:lastRenderedPageBreak/>
        <w:t>shares of common stock if the average closing price of the common stock during the ten trading days immediately prior March 1, 2000 is less than sixty-six cents ($0.66) per share.</w:t>
      </w:r>
    </w:p>
    <w:p w14:paraId="384AC8A5" w14:textId="4C5BB099" w:rsidR="00236301" w:rsidRDefault="00207E8E">
      <w:pPr>
        <w:pStyle w:val="NormalWeb"/>
        <w:divId w:val="1788502657"/>
      </w:pPr>
      <w:r>
        <w:rPr>
          <w:sz w:val="20"/>
          <w:szCs w:val="20"/>
        </w:rPr>
        <w:t>Series 4</w:t>
      </w:r>
      <w:r w:rsidR="00265296">
        <w:rPr>
          <w:sz w:val="20"/>
          <w:szCs w:val="20"/>
        </w:rPr>
        <w:t xml:space="preserve"> Convertible Preferred Stock:</w:t>
      </w:r>
    </w:p>
    <w:p w14:paraId="2800466C" w14:textId="77777777" w:rsidR="00236301" w:rsidRDefault="00265296">
      <w:pPr>
        <w:pStyle w:val="NormalWeb"/>
        <w:divId w:val="1788502657"/>
        <w:rPr>
          <w:sz w:val="20"/>
          <w:szCs w:val="20"/>
        </w:rPr>
      </w:pPr>
      <w:r>
        <w:rPr>
          <w:sz w:val="20"/>
          <w:szCs w:val="20"/>
        </w:rPr>
        <w:t xml:space="preserve">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w:t>
      </w:r>
      <w:proofErr w:type="gramStart"/>
      <w:r>
        <w:rPr>
          <w:sz w:val="20"/>
          <w:szCs w:val="20"/>
        </w:rPr>
        <w:t>six</w:t>
      </w:r>
      <w:proofErr w:type="gramEnd"/>
      <w:r>
        <w:rPr>
          <w:sz w:val="20"/>
          <w:szCs w:val="20"/>
        </w:rPr>
        <w:t xml:space="preserve"> million shares.</w:t>
      </w:r>
    </w:p>
    <w:p w14:paraId="4365AFDE" w14:textId="00A69974" w:rsidR="00BF3006" w:rsidRPr="000612B9" w:rsidRDefault="00BF3006" w:rsidP="00BF3006">
      <w:pPr>
        <w:divId w:val="1788502657"/>
        <w:rPr>
          <w:rFonts w:eastAsia="Times New Roman"/>
          <w:sz w:val="20"/>
          <w:szCs w:val="20"/>
        </w:rPr>
      </w:pPr>
      <w:r w:rsidRPr="000612B9">
        <w:rPr>
          <w:rFonts w:eastAsia="Times New Roman"/>
          <w:b/>
          <w:bCs/>
          <w:sz w:val="20"/>
          <w:szCs w:val="20"/>
        </w:rPr>
        <w:t>NOTE 9 — </w:t>
      </w:r>
      <w:r w:rsidR="006E1E71">
        <w:rPr>
          <w:rFonts w:eastAsia="Times New Roman"/>
          <w:b/>
          <w:bCs/>
          <w:sz w:val="20"/>
          <w:szCs w:val="20"/>
        </w:rPr>
        <w:t>INCOME</w:t>
      </w:r>
      <w:r w:rsidRPr="000612B9">
        <w:rPr>
          <w:rFonts w:eastAsia="Times New Roman"/>
          <w:b/>
          <w:bCs/>
          <w:sz w:val="20"/>
          <w:szCs w:val="20"/>
        </w:rPr>
        <w:t xml:space="preserve"> PER SHARE</w:t>
      </w:r>
    </w:p>
    <w:p w14:paraId="2F18A460" w14:textId="77777777" w:rsidR="00BF3006" w:rsidRPr="000612B9" w:rsidRDefault="00BF3006" w:rsidP="00BF3006">
      <w:pPr>
        <w:ind w:firstLine="720"/>
        <w:divId w:val="1788502657"/>
        <w:rPr>
          <w:rFonts w:eastAsia="Times New Roman"/>
          <w:sz w:val="20"/>
          <w:szCs w:val="20"/>
        </w:rPr>
      </w:pPr>
      <w:r w:rsidRPr="000612B9">
        <w:rPr>
          <w:rFonts w:eastAsia="Times New Roman"/>
          <w:sz w:val="20"/>
          <w:szCs w:val="20"/>
        </w:rPr>
        <w:t> </w:t>
      </w:r>
    </w:p>
    <w:p w14:paraId="5F66D0B6" w14:textId="2113472D" w:rsidR="00BF3006" w:rsidRDefault="00BF3006" w:rsidP="00BF3006">
      <w:pPr>
        <w:ind w:firstLine="720"/>
        <w:jc w:val="both"/>
        <w:divId w:val="1788502657"/>
        <w:rPr>
          <w:rFonts w:eastAsia="Times New Roman"/>
          <w:sz w:val="20"/>
          <w:szCs w:val="20"/>
        </w:rPr>
      </w:pPr>
      <w:r w:rsidRPr="000612B9">
        <w:rPr>
          <w:rFonts w:eastAsia="Times New Roman"/>
          <w:sz w:val="20"/>
          <w:szCs w:val="20"/>
        </w:rPr>
        <w:t xml:space="preserve">The following data shows the amounts used in computing loss per share and the effect on income and the weighted average number of shares of potential dilutive common stock for the years ended </w:t>
      </w:r>
      <w:r>
        <w:rPr>
          <w:rFonts w:eastAsia="Times New Roman"/>
          <w:sz w:val="20"/>
          <w:szCs w:val="20"/>
        </w:rPr>
        <w:t>June 30, 2016 and 2015</w:t>
      </w:r>
      <w:r w:rsidRPr="000612B9">
        <w:rPr>
          <w:rFonts w:eastAsia="Times New Roman"/>
          <w:sz w:val="20"/>
          <w:szCs w:val="20"/>
        </w:rPr>
        <w:t>:</w:t>
      </w:r>
    </w:p>
    <w:p w14:paraId="551E42A0" w14:textId="77777777" w:rsidR="0084124D" w:rsidRPr="000612B9" w:rsidRDefault="0084124D" w:rsidP="00BF3006">
      <w:pPr>
        <w:ind w:firstLine="720"/>
        <w:jc w:val="both"/>
        <w:divId w:val="1788502657"/>
        <w:rPr>
          <w:rFonts w:eastAsia="Times New Roman"/>
          <w:sz w:val="20"/>
          <w:szCs w:val="20"/>
        </w:rPr>
      </w:pPr>
    </w:p>
    <w:tbl>
      <w:tblPr>
        <w:tblW w:w="5000" w:type="pct"/>
        <w:tblCellMar>
          <w:left w:w="0" w:type="dxa"/>
          <w:right w:w="0" w:type="dxa"/>
        </w:tblCellMar>
        <w:tblLook w:val="04A0" w:firstRow="1" w:lastRow="0" w:firstColumn="1" w:lastColumn="0" w:noHBand="0" w:noVBand="1"/>
      </w:tblPr>
      <w:tblGrid>
        <w:gridCol w:w="10108"/>
        <w:gridCol w:w="129"/>
        <w:gridCol w:w="129"/>
        <w:gridCol w:w="1037"/>
        <w:gridCol w:w="130"/>
        <w:gridCol w:w="130"/>
        <w:gridCol w:w="130"/>
        <w:gridCol w:w="1037"/>
        <w:gridCol w:w="130"/>
      </w:tblGrid>
      <w:tr w:rsidR="0084124D" w:rsidRPr="000612B9" w14:paraId="328CCE5C" w14:textId="77777777" w:rsidTr="0084124D">
        <w:trPr>
          <w:divId w:val="1788502657"/>
        </w:trPr>
        <w:tc>
          <w:tcPr>
            <w:tcW w:w="0" w:type="auto"/>
            <w:vAlign w:val="bottom"/>
            <w:hideMark/>
          </w:tcPr>
          <w:p w14:paraId="2A6E84BC"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0" w:type="auto"/>
            <w:vAlign w:val="bottom"/>
            <w:hideMark/>
          </w:tcPr>
          <w:p w14:paraId="6CE6EB73"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0" w:type="auto"/>
            <w:gridSpan w:val="6"/>
            <w:tcBorders>
              <w:bottom w:val="single" w:sz="12" w:space="0" w:color="000000"/>
            </w:tcBorders>
            <w:vAlign w:val="bottom"/>
            <w:hideMark/>
          </w:tcPr>
          <w:p w14:paraId="71E37BBB" w14:textId="57DC145A" w:rsidR="0084124D" w:rsidRPr="000612B9" w:rsidRDefault="0084124D" w:rsidP="00CF47C2">
            <w:pPr>
              <w:spacing w:line="276" w:lineRule="auto"/>
              <w:jc w:val="center"/>
              <w:rPr>
                <w:rFonts w:eastAsia="Times New Roman"/>
                <w:sz w:val="20"/>
                <w:szCs w:val="20"/>
              </w:rPr>
            </w:pPr>
            <w:r>
              <w:rPr>
                <w:rFonts w:eastAsia="Times New Roman"/>
                <w:b/>
                <w:bCs/>
                <w:sz w:val="20"/>
                <w:szCs w:val="20"/>
              </w:rPr>
              <w:t>June 30</w:t>
            </w:r>
            <w:r w:rsidRPr="000612B9">
              <w:rPr>
                <w:rFonts w:eastAsia="Times New Roman"/>
                <w:b/>
                <w:bCs/>
                <w:sz w:val="20"/>
                <w:szCs w:val="20"/>
              </w:rPr>
              <w:t>,</w:t>
            </w:r>
          </w:p>
        </w:tc>
        <w:tc>
          <w:tcPr>
            <w:tcW w:w="0" w:type="auto"/>
            <w:vAlign w:val="bottom"/>
            <w:hideMark/>
          </w:tcPr>
          <w:p w14:paraId="3F0EB6EF"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r>
      <w:tr w:rsidR="0084124D" w:rsidRPr="000612B9" w14:paraId="16929FFA" w14:textId="77777777" w:rsidTr="0084124D">
        <w:trPr>
          <w:divId w:val="1788502657"/>
        </w:trPr>
        <w:tc>
          <w:tcPr>
            <w:tcW w:w="0" w:type="auto"/>
            <w:vAlign w:val="bottom"/>
            <w:hideMark/>
          </w:tcPr>
          <w:p w14:paraId="5ED56999"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0" w:type="auto"/>
            <w:vAlign w:val="bottom"/>
            <w:hideMark/>
          </w:tcPr>
          <w:p w14:paraId="3C410C0B"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0" w:type="auto"/>
            <w:gridSpan w:val="2"/>
            <w:tcBorders>
              <w:bottom w:val="single" w:sz="12" w:space="0" w:color="000000"/>
            </w:tcBorders>
            <w:vAlign w:val="bottom"/>
            <w:hideMark/>
          </w:tcPr>
          <w:p w14:paraId="2677C655" w14:textId="3E9ED019" w:rsidR="0084124D" w:rsidRPr="000612B9" w:rsidRDefault="0084124D" w:rsidP="0084124D">
            <w:pPr>
              <w:spacing w:line="276" w:lineRule="auto"/>
              <w:jc w:val="center"/>
              <w:rPr>
                <w:rFonts w:eastAsia="Times New Roman"/>
                <w:sz w:val="20"/>
                <w:szCs w:val="20"/>
              </w:rPr>
            </w:pPr>
            <w:r w:rsidRPr="000612B9">
              <w:rPr>
                <w:rFonts w:eastAsia="Times New Roman"/>
                <w:b/>
                <w:bCs/>
                <w:sz w:val="20"/>
                <w:szCs w:val="20"/>
              </w:rPr>
              <w:t>201</w:t>
            </w:r>
            <w:r>
              <w:rPr>
                <w:rFonts w:eastAsia="Times New Roman"/>
                <w:b/>
                <w:bCs/>
                <w:sz w:val="20"/>
                <w:szCs w:val="20"/>
              </w:rPr>
              <w:t>6</w:t>
            </w:r>
          </w:p>
        </w:tc>
        <w:tc>
          <w:tcPr>
            <w:tcW w:w="0" w:type="auto"/>
            <w:vAlign w:val="bottom"/>
            <w:hideMark/>
          </w:tcPr>
          <w:p w14:paraId="5C007787"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0" w:type="auto"/>
            <w:vAlign w:val="bottom"/>
            <w:hideMark/>
          </w:tcPr>
          <w:p w14:paraId="18F66F48"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0" w:type="auto"/>
            <w:gridSpan w:val="2"/>
            <w:tcBorders>
              <w:bottom w:val="single" w:sz="12" w:space="0" w:color="000000"/>
            </w:tcBorders>
            <w:vAlign w:val="bottom"/>
            <w:hideMark/>
          </w:tcPr>
          <w:p w14:paraId="4117CC96" w14:textId="003400FB" w:rsidR="0084124D" w:rsidRPr="000612B9" w:rsidRDefault="0084124D" w:rsidP="0084124D">
            <w:pPr>
              <w:spacing w:line="276" w:lineRule="auto"/>
              <w:jc w:val="center"/>
              <w:rPr>
                <w:rFonts w:eastAsia="Times New Roman"/>
                <w:sz w:val="20"/>
                <w:szCs w:val="20"/>
              </w:rPr>
            </w:pPr>
            <w:r w:rsidRPr="000612B9">
              <w:rPr>
                <w:rFonts w:eastAsia="Times New Roman"/>
                <w:b/>
                <w:bCs/>
                <w:sz w:val="20"/>
                <w:szCs w:val="20"/>
              </w:rPr>
              <w:t>201</w:t>
            </w:r>
            <w:r>
              <w:rPr>
                <w:rFonts w:eastAsia="Times New Roman"/>
                <w:b/>
                <w:bCs/>
                <w:sz w:val="20"/>
                <w:szCs w:val="20"/>
              </w:rPr>
              <w:t>5</w:t>
            </w:r>
          </w:p>
        </w:tc>
        <w:tc>
          <w:tcPr>
            <w:tcW w:w="0" w:type="auto"/>
            <w:vAlign w:val="bottom"/>
            <w:hideMark/>
          </w:tcPr>
          <w:p w14:paraId="49106F82"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r>
      <w:tr w:rsidR="0084124D" w:rsidRPr="000612B9" w14:paraId="2D538A3E" w14:textId="77777777" w:rsidTr="0073252B">
        <w:trPr>
          <w:divId w:val="1788502657"/>
        </w:trPr>
        <w:tc>
          <w:tcPr>
            <w:tcW w:w="3900" w:type="pct"/>
            <w:shd w:val="clear" w:color="auto" w:fill="CCEEFF"/>
            <w:vAlign w:val="bottom"/>
            <w:hideMark/>
          </w:tcPr>
          <w:p w14:paraId="120FF3D1" w14:textId="00C53936" w:rsidR="0084124D" w:rsidRPr="000612B9" w:rsidRDefault="0084124D" w:rsidP="00CF47C2">
            <w:pPr>
              <w:spacing w:line="276" w:lineRule="auto"/>
              <w:rPr>
                <w:rFonts w:eastAsia="Times New Roman"/>
                <w:sz w:val="20"/>
                <w:szCs w:val="20"/>
              </w:rPr>
            </w:pPr>
            <w:r w:rsidRPr="000612B9">
              <w:rPr>
                <w:rFonts w:eastAsia="Times New Roman"/>
                <w:sz w:val="20"/>
                <w:szCs w:val="20"/>
              </w:rPr>
              <w:t xml:space="preserve">Net </w:t>
            </w:r>
            <w:r>
              <w:rPr>
                <w:rFonts w:eastAsia="Times New Roman"/>
                <w:sz w:val="20"/>
                <w:szCs w:val="20"/>
              </w:rPr>
              <w:t xml:space="preserve">Income </w:t>
            </w:r>
            <w:r w:rsidRPr="000612B9">
              <w:rPr>
                <w:rFonts w:eastAsia="Times New Roman"/>
                <w:sz w:val="20"/>
                <w:szCs w:val="20"/>
              </w:rPr>
              <w:t>(Loss)</w:t>
            </w:r>
            <w:r>
              <w:rPr>
                <w:rFonts w:eastAsia="Times New Roman"/>
                <w:sz w:val="20"/>
                <w:szCs w:val="20"/>
              </w:rPr>
              <w:t xml:space="preserve"> Per Share;</w:t>
            </w:r>
          </w:p>
        </w:tc>
        <w:tc>
          <w:tcPr>
            <w:tcW w:w="50" w:type="pct"/>
            <w:shd w:val="clear" w:color="auto" w:fill="CCEEFF"/>
            <w:vAlign w:val="bottom"/>
            <w:hideMark/>
          </w:tcPr>
          <w:p w14:paraId="09096309"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50" w:type="pct"/>
            <w:shd w:val="clear" w:color="auto" w:fill="CCEEFF"/>
            <w:vAlign w:val="bottom"/>
            <w:hideMark/>
          </w:tcPr>
          <w:p w14:paraId="4828F609"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400" w:type="pct"/>
            <w:shd w:val="clear" w:color="auto" w:fill="CCEEFF"/>
            <w:vAlign w:val="bottom"/>
          </w:tcPr>
          <w:p w14:paraId="66737FB9" w14:textId="1DA97517" w:rsidR="0084124D" w:rsidRPr="000612B9" w:rsidRDefault="0084124D" w:rsidP="00CF47C2">
            <w:pPr>
              <w:spacing w:line="276" w:lineRule="auto"/>
              <w:jc w:val="right"/>
              <w:rPr>
                <w:rFonts w:eastAsia="Times New Roman"/>
                <w:sz w:val="20"/>
                <w:szCs w:val="20"/>
              </w:rPr>
            </w:pPr>
          </w:p>
        </w:tc>
        <w:tc>
          <w:tcPr>
            <w:tcW w:w="50" w:type="pct"/>
            <w:shd w:val="clear" w:color="auto" w:fill="CCEEFF"/>
            <w:vAlign w:val="bottom"/>
          </w:tcPr>
          <w:p w14:paraId="77F7CED8" w14:textId="612D3079" w:rsidR="0084124D" w:rsidRPr="000612B9" w:rsidRDefault="0084124D" w:rsidP="00CF47C2">
            <w:pPr>
              <w:spacing w:line="276" w:lineRule="auto"/>
              <w:rPr>
                <w:rFonts w:eastAsia="Times New Roman"/>
                <w:sz w:val="20"/>
                <w:szCs w:val="20"/>
              </w:rPr>
            </w:pPr>
          </w:p>
        </w:tc>
        <w:tc>
          <w:tcPr>
            <w:tcW w:w="50" w:type="pct"/>
            <w:shd w:val="clear" w:color="auto" w:fill="CCEEFF"/>
            <w:vAlign w:val="bottom"/>
          </w:tcPr>
          <w:p w14:paraId="78C73139" w14:textId="6CF72AAD" w:rsidR="0084124D" w:rsidRPr="000612B9" w:rsidRDefault="0084124D" w:rsidP="00CF47C2">
            <w:pPr>
              <w:spacing w:line="276" w:lineRule="auto"/>
              <w:rPr>
                <w:rFonts w:eastAsia="Times New Roman"/>
                <w:sz w:val="20"/>
                <w:szCs w:val="20"/>
              </w:rPr>
            </w:pPr>
          </w:p>
        </w:tc>
        <w:tc>
          <w:tcPr>
            <w:tcW w:w="50" w:type="pct"/>
            <w:shd w:val="clear" w:color="auto" w:fill="CCEEFF"/>
            <w:vAlign w:val="bottom"/>
          </w:tcPr>
          <w:p w14:paraId="0CB8422F" w14:textId="03F87041" w:rsidR="0084124D" w:rsidRPr="000612B9" w:rsidRDefault="0084124D" w:rsidP="00CF47C2">
            <w:pPr>
              <w:spacing w:line="276" w:lineRule="auto"/>
              <w:rPr>
                <w:rFonts w:eastAsia="Times New Roman"/>
                <w:sz w:val="20"/>
                <w:szCs w:val="20"/>
              </w:rPr>
            </w:pPr>
          </w:p>
        </w:tc>
        <w:tc>
          <w:tcPr>
            <w:tcW w:w="400" w:type="pct"/>
            <w:shd w:val="clear" w:color="auto" w:fill="CCEEFF"/>
            <w:vAlign w:val="bottom"/>
          </w:tcPr>
          <w:p w14:paraId="13CFBCE6" w14:textId="7242B3CB" w:rsidR="0084124D" w:rsidRPr="000612B9" w:rsidRDefault="0084124D" w:rsidP="00CF47C2">
            <w:pPr>
              <w:spacing w:line="276" w:lineRule="auto"/>
              <w:jc w:val="right"/>
              <w:rPr>
                <w:rFonts w:eastAsia="Times New Roman"/>
                <w:sz w:val="20"/>
                <w:szCs w:val="20"/>
              </w:rPr>
            </w:pPr>
          </w:p>
        </w:tc>
        <w:tc>
          <w:tcPr>
            <w:tcW w:w="50" w:type="pct"/>
            <w:shd w:val="clear" w:color="auto" w:fill="CCEEFF"/>
            <w:vAlign w:val="bottom"/>
          </w:tcPr>
          <w:p w14:paraId="238E8365" w14:textId="79FCCC9E" w:rsidR="0084124D" w:rsidRPr="000612B9" w:rsidRDefault="0084124D" w:rsidP="00CF47C2">
            <w:pPr>
              <w:spacing w:line="276" w:lineRule="auto"/>
              <w:rPr>
                <w:rFonts w:eastAsia="Times New Roman"/>
                <w:sz w:val="20"/>
                <w:szCs w:val="20"/>
              </w:rPr>
            </w:pPr>
          </w:p>
        </w:tc>
      </w:tr>
      <w:tr w:rsidR="0084124D" w:rsidRPr="000612B9" w14:paraId="5B9624F5" w14:textId="77777777" w:rsidTr="0084124D">
        <w:trPr>
          <w:divId w:val="1788502657"/>
        </w:trPr>
        <w:tc>
          <w:tcPr>
            <w:tcW w:w="0" w:type="auto"/>
            <w:shd w:val="clear" w:color="auto" w:fill="FFFFFF"/>
            <w:vAlign w:val="bottom"/>
            <w:hideMark/>
          </w:tcPr>
          <w:p w14:paraId="78EB2A1D" w14:textId="2F4D0E77" w:rsidR="0084124D" w:rsidRPr="000612B9" w:rsidRDefault="00633E63" w:rsidP="00CF47C2">
            <w:pPr>
              <w:spacing w:line="276" w:lineRule="auto"/>
              <w:rPr>
                <w:rFonts w:eastAsia="Times New Roman"/>
                <w:sz w:val="20"/>
                <w:szCs w:val="20"/>
              </w:rPr>
            </w:pPr>
            <w:r>
              <w:rPr>
                <w:rFonts w:eastAsia="Times New Roman"/>
                <w:sz w:val="20"/>
                <w:szCs w:val="20"/>
              </w:rPr>
              <w:t xml:space="preserve">   </w:t>
            </w:r>
            <w:r w:rsidR="0084124D">
              <w:rPr>
                <w:rFonts w:eastAsia="Times New Roman"/>
                <w:sz w:val="20"/>
                <w:szCs w:val="20"/>
              </w:rPr>
              <w:t>Basic</w:t>
            </w:r>
          </w:p>
        </w:tc>
        <w:tc>
          <w:tcPr>
            <w:tcW w:w="0" w:type="auto"/>
            <w:shd w:val="clear" w:color="auto" w:fill="FFFFFF"/>
            <w:vAlign w:val="bottom"/>
            <w:hideMark/>
          </w:tcPr>
          <w:p w14:paraId="70BB8036"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64328430"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010606EC" w14:textId="07BF167E" w:rsidR="0084124D" w:rsidRPr="000612B9" w:rsidRDefault="00633E63" w:rsidP="00CF47C2">
            <w:pPr>
              <w:spacing w:line="276" w:lineRule="auto"/>
              <w:jc w:val="right"/>
              <w:rPr>
                <w:rFonts w:eastAsia="Times New Roman"/>
                <w:sz w:val="20"/>
                <w:szCs w:val="20"/>
              </w:rPr>
            </w:pPr>
            <w:r>
              <w:rPr>
                <w:rFonts w:eastAsia="Times New Roman"/>
                <w:sz w:val="20"/>
                <w:szCs w:val="20"/>
              </w:rPr>
              <w:t>$   0.0048</w:t>
            </w:r>
          </w:p>
        </w:tc>
        <w:tc>
          <w:tcPr>
            <w:tcW w:w="0" w:type="auto"/>
            <w:shd w:val="clear" w:color="auto" w:fill="FFFFFF"/>
            <w:vAlign w:val="bottom"/>
            <w:hideMark/>
          </w:tcPr>
          <w:p w14:paraId="5F444B46"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5A089778"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16A7B023"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3A1CE484" w14:textId="7EB1BB9A" w:rsidR="0084124D" w:rsidRPr="000612B9" w:rsidRDefault="00633E63" w:rsidP="00633E63">
            <w:pPr>
              <w:spacing w:line="276" w:lineRule="auto"/>
              <w:jc w:val="right"/>
              <w:rPr>
                <w:rFonts w:eastAsia="Times New Roman"/>
                <w:sz w:val="20"/>
                <w:szCs w:val="20"/>
              </w:rPr>
            </w:pPr>
            <w:r>
              <w:rPr>
                <w:rFonts w:eastAsia="Times New Roman"/>
                <w:sz w:val="20"/>
                <w:szCs w:val="20"/>
              </w:rPr>
              <w:t>$   0.0079</w:t>
            </w:r>
          </w:p>
        </w:tc>
        <w:tc>
          <w:tcPr>
            <w:tcW w:w="0" w:type="auto"/>
            <w:shd w:val="clear" w:color="auto" w:fill="FFFFFF"/>
            <w:vAlign w:val="bottom"/>
            <w:hideMark/>
          </w:tcPr>
          <w:p w14:paraId="01775F78"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r>
      <w:tr w:rsidR="00633E63" w:rsidRPr="000612B9" w14:paraId="5109E985" w14:textId="77777777" w:rsidTr="0084124D">
        <w:trPr>
          <w:divId w:val="1788502657"/>
        </w:trPr>
        <w:tc>
          <w:tcPr>
            <w:tcW w:w="0" w:type="auto"/>
            <w:shd w:val="clear" w:color="auto" w:fill="CCEEFF"/>
            <w:vAlign w:val="bottom"/>
            <w:hideMark/>
          </w:tcPr>
          <w:p w14:paraId="2A14A4D9" w14:textId="0BB4B9EA" w:rsidR="00633E63" w:rsidRPr="000612B9" w:rsidRDefault="00633E63" w:rsidP="00633E63">
            <w:pPr>
              <w:spacing w:line="276" w:lineRule="auto"/>
              <w:rPr>
                <w:rFonts w:eastAsia="Times New Roman"/>
                <w:sz w:val="20"/>
                <w:szCs w:val="20"/>
              </w:rPr>
            </w:pPr>
            <w:r>
              <w:rPr>
                <w:rFonts w:eastAsia="Times New Roman"/>
                <w:sz w:val="20"/>
                <w:szCs w:val="20"/>
              </w:rPr>
              <w:t xml:space="preserve">   Diluted</w:t>
            </w:r>
          </w:p>
        </w:tc>
        <w:tc>
          <w:tcPr>
            <w:tcW w:w="0" w:type="auto"/>
            <w:shd w:val="clear" w:color="auto" w:fill="CCEEFF"/>
            <w:vAlign w:val="bottom"/>
            <w:hideMark/>
          </w:tcPr>
          <w:p w14:paraId="7504CF9A" w14:textId="77777777" w:rsidR="00633E63" w:rsidRPr="000612B9" w:rsidRDefault="00633E63" w:rsidP="00633E63">
            <w:pPr>
              <w:spacing w:line="276" w:lineRule="auto"/>
              <w:rPr>
                <w:rFonts w:eastAsia="Times New Roman"/>
                <w:sz w:val="20"/>
                <w:szCs w:val="20"/>
              </w:rPr>
            </w:pPr>
            <w:r w:rsidRPr="000612B9">
              <w:rPr>
                <w:rFonts w:eastAsia="Times New Roman"/>
                <w:sz w:val="20"/>
                <w:szCs w:val="20"/>
              </w:rPr>
              <w:t> </w:t>
            </w:r>
          </w:p>
        </w:tc>
        <w:tc>
          <w:tcPr>
            <w:tcW w:w="0" w:type="auto"/>
            <w:tcBorders>
              <w:bottom w:val="single" w:sz="12" w:space="0" w:color="000000"/>
            </w:tcBorders>
            <w:shd w:val="clear" w:color="auto" w:fill="CCEEFF"/>
            <w:vAlign w:val="bottom"/>
            <w:hideMark/>
          </w:tcPr>
          <w:p w14:paraId="549D3EAE" w14:textId="77777777" w:rsidR="00633E63" w:rsidRPr="000612B9" w:rsidRDefault="00633E63" w:rsidP="00633E63">
            <w:pPr>
              <w:spacing w:line="276" w:lineRule="auto"/>
              <w:rPr>
                <w:rFonts w:eastAsia="Times New Roman"/>
                <w:sz w:val="20"/>
                <w:szCs w:val="20"/>
              </w:rPr>
            </w:pPr>
            <w:r w:rsidRPr="000612B9">
              <w:rPr>
                <w:rFonts w:eastAsia="Times New Roman"/>
                <w:sz w:val="20"/>
                <w:szCs w:val="20"/>
              </w:rPr>
              <w:t> </w:t>
            </w:r>
          </w:p>
        </w:tc>
        <w:tc>
          <w:tcPr>
            <w:tcW w:w="0" w:type="auto"/>
            <w:tcBorders>
              <w:bottom w:val="single" w:sz="12" w:space="0" w:color="000000"/>
            </w:tcBorders>
            <w:shd w:val="clear" w:color="auto" w:fill="CCEEFF"/>
            <w:vAlign w:val="bottom"/>
            <w:hideMark/>
          </w:tcPr>
          <w:p w14:paraId="2F7A7D3E" w14:textId="161AC63D" w:rsidR="00633E63" w:rsidRPr="000612B9" w:rsidRDefault="00633E63" w:rsidP="00633E63">
            <w:pPr>
              <w:spacing w:line="276" w:lineRule="auto"/>
              <w:jc w:val="right"/>
              <w:rPr>
                <w:rFonts w:eastAsia="Times New Roman"/>
                <w:sz w:val="20"/>
                <w:szCs w:val="20"/>
              </w:rPr>
            </w:pPr>
            <w:r>
              <w:rPr>
                <w:rFonts w:eastAsia="Times New Roman"/>
                <w:sz w:val="20"/>
                <w:szCs w:val="20"/>
              </w:rPr>
              <w:t>$   0.0048</w:t>
            </w:r>
          </w:p>
        </w:tc>
        <w:tc>
          <w:tcPr>
            <w:tcW w:w="0" w:type="auto"/>
            <w:shd w:val="clear" w:color="auto" w:fill="CCEEFF"/>
            <w:vAlign w:val="bottom"/>
            <w:hideMark/>
          </w:tcPr>
          <w:p w14:paraId="092379CF" w14:textId="0AE3DC5D" w:rsidR="00633E63" w:rsidRPr="000612B9" w:rsidRDefault="00633E63" w:rsidP="00633E63">
            <w:pPr>
              <w:spacing w:line="276" w:lineRule="auto"/>
              <w:rPr>
                <w:rFonts w:eastAsia="Times New Roman"/>
                <w:sz w:val="20"/>
                <w:szCs w:val="20"/>
              </w:rPr>
            </w:pPr>
            <w:r w:rsidRPr="000612B9">
              <w:rPr>
                <w:rFonts w:eastAsia="Times New Roman"/>
                <w:sz w:val="20"/>
                <w:szCs w:val="20"/>
              </w:rPr>
              <w:t> </w:t>
            </w:r>
          </w:p>
        </w:tc>
        <w:tc>
          <w:tcPr>
            <w:tcW w:w="0" w:type="auto"/>
            <w:shd w:val="clear" w:color="auto" w:fill="CCEEFF"/>
            <w:vAlign w:val="bottom"/>
            <w:hideMark/>
          </w:tcPr>
          <w:p w14:paraId="3104BC36" w14:textId="50F3BE67" w:rsidR="00633E63" w:rsidRPr="000612B9" w:rsidRDefault="00633E63" w:rsidP="00633E63">
            <w:pPr>
              <w:spacing w:line="276" w:lineRule="auto"/>
              <w:rPr>
                <w:rFonts w:eastAsia="Times New Roman"/>
                <w:sz w:val="20"/>
                <w:szCs w:val="20"/>
              </w:rPr>
            </w:pPr>
            <w:r w:rsidRPr="000612B9">
              <w:rPr>
                <w:rFonts w:eastAsia="Times New Roman"/>
                <w:sz w:val="20"/>
                <w:szCs w:val="20"/>
              </w:rPr>
              <w:t> </w:t>
            </w:r>
          </w:p>
        </w:tc>
        <w:tc>
          <w:tcPr>
            <w:tcW w:w="0" w:type="auto"/>
            <w:tcBorders>
              <w:bottom w:val="single" w:sz="12" w:space="0" w:color="000000"/>
            </w:tcBorders>
            <w:shd w:val="clear" w:color="auto" w:fill="CCEEFF"/>
            <w:vAlign w:val="bottom"/>
            <w:hideMark/>
          </w:tcPr>
          <w:p w14:paraId="1DB53E6F" w14:textId="6A8917C7" w:rsidR="00633E63" w:rsidRPr="000612B9" w:rsidRDefault="00633E63" w:rsidP="00633E63">
            <w:pPr>
              <w:spacing w:line="276" w:lineRule="auto"/>
              <w:rPr>
                <w:rFonts w:eastAsia="Times New Roman"/>
                <w:sz w:val="20"/>
                <w:szCs w:val="20"/>
              </w:rPr>
            </w:pPr>
            <w:r w:rsidRPr="000612B9">
              <w:rPr>
                <w:rFonts w:eastAsia="Times New Roman"/>
                <w:sz w:val="20"/>
                <w:szCs w:val="20"/>
              </w:rPr>
              <w:t> </w:t>
            </w:r>
          </w:p>
        </w:tc>
        <w:tc>
          <w:tcPr>
            <w:tcW w:w="0" w:type="auto"/>
            <w:tcBorders>
              <w:bottom w:val="single" w:sz="12" w:space="0" w:color="000000"/>
            </w:tcBorders>
            <w:shd w:val="clear" w:color="auto" w:fill="CCEEFF"/>
            <w:vAlign w:val="bottom"/>
            <w:hideMark/>
          </w:tcPr>
          <w:p w14:paraId="4D28E17E" w14:textId="56EBB02A" w:rsidR="00633E63" w:rsidRPr="000612B9" w:rsidRDefault="00633E63" w:rsidP="00633E63">
            <w:pPr>
              <w:spacing w:line="276" w:lineRule="auto"/>
              <w:jc w:val="right"/>
              <w:rPr>
                <w:rFonts w:eastAsia="Times New Roman"/>
                <w:sz w:val="20"/>
                <w:szCs w:val="20"/>
              </w:rPr>
            </w:pPr>
            <w:r>
              <w:rPr>
                <w:rFonts w:eastAsia="Times New Roman"/>
                <w:sz w:val="20"/>
                <w:szCs w:val="20"/>
              </w:rPr>
              <w:t>$   0.0079</w:t>
            </w:r>
          </w:p>
        </w:tc>
        <w:tc>
          <w:tcPr>
            <w:tcW w:w="0" w:type="auto"/>
            <w:shd w:val="clear" w:color="auto" w:fill="CCEEFF"/>
            <w:vAlign w:val="bottom"/>
            <w:hideMark/>
          </w:tcPr>
          <w:p w14:paraId="345F8F51" w14:textId="77777777" w:rsidR="00633E63" w:rsidRPr="000612B9" w:rsidRDefault="00633E63" w:rsidP="00633E63">
            <w:pPr>
              <w:spacing w:line="276" w:lineRule="auto"/>
              <w:rPr>
                <w:rFonts w:eastAsia="Times New Roman"/>
                <w:sz w:val="20"/>
                <w:szCs w:val="20"/>
              </w:rPr>
            </w:pPr>
            <w:r w:rsidRPr="000612B9">
              <w:rPr>
                <w:rFonts w:eastAsia="Times New Roman"/>
                <w:sz w:val="20"/>
                <w:szCs w:val="20"/>
              </w:rPr>
              <w:t> </w:t>
            </w:r>
          </w:p>
        </w:tc>
      </w:tr>
      <w:tr w:rsidR="00633E63" w:rsidRPr="000612B9" w14:paraId="4AB6E1BC" w14:textId="77777777" w:rsidTr="0084124D">
        <w:trPr>
          <w:divId w:val="1788502657"/>
        </w:trPr>
        <w:tc>
          <w:tcPr>
            <w:tcW w:w="0" w:type="auto"/>
            <w:shd w:val="clear" w:color="auto" w:fill="FFFFFF"/>
            <w:tcMar>
              <w:top w:w="0" w:type="dxa"/>
              <w:left w:w="200" w:type="dxa"/>
              <w:bottom w:w="0" w:type="dxa"/>
              <w:right w:w="0" w:type="dxa"/>
            </w:tcMar>
            <w:vAlign w:val="bottom"/>
          </w:tcPr>
          <w:p w14:paraId="3D05B8EF" w14:textId="4CBB4C30" w:rsidR="00633E63" w:rsidRPr="000612B9" w:rsidRDefault="00633E63" w:rsidP="00633E63">
            <w:pPr>
              <w:spacing w:line="276" w:lineRule="auto"/>
              <w:ind w:hanging="200"/>
              <w:rPr>
                <w:rFonts w:eastAsia="Times New Roman"/>
                <w:sz w:val="20"/>
                <w:szCs w:val="20"/>
              </w:rPr>
            </w:pPr>
            <w:r w:rsidRPr="000612B9">
              <w:rPr>
                <w:rFonts w:eastAsia="Times New Roman"/>
                <w:sz w:val="20"/>
                <w:szCs w:val="20"/>
              </w:rPr>
              <w:t xml:space="preserve">Weighted average number of common </w:t>
            </w:r>
            <w:r>
              <w:rPr>
                <w:rFonts w:eastAsia="Times New Roman"/>
                <w:sz w:val="20"/>
                <w:szCs w:val="20"/>
              </w:rPr>
              <w:t>Share Outstanding</w:t>
            </w:r>
          </w:p>
        </w:tc>
        <w:tc>
          <w:tcPr>
            <w:tcW w:w="0" w:type="auto"/>
            <w:shd w:val="clear" w:color="auto" w:fill="FFFFFF"/>
            <w:vAlign w:val="bottom"/>
          </w:tcPr>
          <w:p w14:paraId="1F94764D" w14:textId="77777777" w:rsidR="00633E63" w:rsidRPr="000612B9" w:rsidRDefault="00633E63" w:rsidP="00CF47C2">
            <w:pPr>
              <w:spacing w:line="276" w:lineRule="auto"/>
              <w:rPr>
                <w:rFonts w:eastAsia="Times New Roman"/>
                <w:sz w:val="20"/>
                <w:szCs w:val="20"/>
              </w:rPr>
            </w:pPr>
          </w:p>
        </w:tc>
        <w:tc>
          <w:tcPr>
            <w:tcW w:w="0" w:type="auto"/>
            <w:tcBorders>
              <w:bottom w:val="single" w:sz="12" w:space="0" w:color="000000"/>
            </w:tcBorders>
            <w:shd w:val="clear" w:color="auto" w:fill="FFFFFF"/>
            <w:vAlign w:val="bottom"/>
          </w:tcPr>
          <w:p w14:paraId="1D8B3AC5" w14:textId="77777777" w:rsidR="00633E63" w:rsidRPr="000612B9" w:rsidRDefault="00633E63" w:rsidP="00CF47C2">
            <w:pPr>
              <w:spacing w:line="276" w:lineRule="auto"/>
              <w:rPr>
                <w:rFonts w:eastAsia="Times New Roman"/>
                <w:sz w:val="20"/>
                <w:szCs w:val="20"/>
              </w:rPr>
            </w:pPr>
          </w:p>
        </w:tc>
        <w:tc>
          <w:tcPr>
            <w:tcW w:w="0" w:type="auto"/>
            <w:tcBorders>
              <w:bottom w:val="single" w:sz="12" w:space="0" w:color="000000"/>
            </w:tcBorders>
            <w:shd w:val="clear" w:color="auto" w:fill="FFFFFF"/>
            <w:vAlign w:val="bottom"/>
          </w:tcPr>
          <w:p w14:paraId="015A6665" w14:textId="77777777" w:rsidR="00633E63" w:rsidRPr="000612B9" w:rsidRDefault="00633E63" w:rsidP="00CF47C2">
            <w:pPr>
              <w:spacing w:line="276" w:lineRule="auto"/>
              <w:jc w:val="right"/>
              <w:rPr>
                <w:rFonts w:eastAsia="Times New Roman"/>
                <w:sz w:val="20"/>
                <w:szCs w:val="20"/>
              </w:rPr>
            </w:pPr>
          </w:p>
        </w:tc>
        <w:tc>
          <w:tcPr>
            <w:tcW w:w="0" w:type="auto"/>
            <w:shd w:val="clear" w:color="auto" w:fill="FFFFFF"/>
            <w:vAlign w:val="bottom"/>
          </w:tcPr>
          <w:p w14:paraId="0416E778" w14:textId="77777777" w:rsidR="00633E63" w:rsidRPr="000612B9" w:rsidRDefault="00633E63" w:rsidP="00CF47C2">
            <w:pPr>
              <w:spacing w:line="276" w:lineRule="auto"/>
              <w:rPr>
                <w:rFonts w:eastAsia="Times New Roman"/>
                <w:sz w:val="20"/>
                <w:szCs w:val="20"/>
              </w:rPr>
            </w:pPr>
          </w:p>
        </w:tc>
        <w:tc>
          <w:tcPr>
            <w:tcW w:w="0" w:type="auto"/>
            <w:shd w:val="clear" w:color="auto" w:fill="FFFFFF"/>
            <w:vAlign w:val="bottom"/>
          </w:tcPr>
          <w:p w14:paraId="7DBA919A" w14:textId="77777777" w:rsidR="00633E63" w:rsidRPr="000612B9" w:rsidRDefault="00633E63" w:rsidP="00CF47C2">
            <w:pPr>
              <w:spacing w:line="276" w:lineRule="auto"/>
              <w:rPr>
                <w:rFonts w:eastAsia="Times New Roman"/>
                <w:sz w:val="20"/>
                <w:szCs w:val="20"/>
              </w:rPr>
            </w:pPr>
          </w:p>
        </w:tc>
        <w:tc>
          <w:tcPr>
            <w:tcW w:w="0" w:type="auto"/>
            <w:tcBorders>
              <w:bottom w:val="single" w:sz="12" w:space="0" w:color="000000"/>
            </w:tcBorders>
            <w:shd w:val="clear" w:color="auto" w:fill="FFFFFF"/>
            <w:vAlign w:val="bottom"/>
          </w:tcPr>
          <w:p w14:paraId="7970B052" w14:textId="77777777" w:rsidR="00633E63" w:rsidRPr="000612B9" w:rsidRDefault="00633E63" w:rsidP="00CF47C2">
            <w:pPr>
              <w:spacing w:line="276" w:lineRule="auto"/>
              <w:rPr>
                <w:rFonts w:eastAsia="Times New Roman"/>
                <w:sz w:val="20"/>
                <w:szCs w:val="20"/>
              </w:rPr>
            </w:pPr>
          </w:p>
        </w:tc>
        <w:tc>
          <w:tcPr>
            <w:tcW w:w="0" w:type="auto"/>
            <w:tcBorders>
              <w:bottom w:val="single" w:sz="12" w:space="0" w:color="000000"/>
            </w:tcBorders>
            <w:shd w:val="clear" w:color="auto" w:fill="FFFFFF"/>
            <w:vAlign w:val="bottom"/>
          </w:tcPr>
          <w:p w14:paraId="73291F9D" w14:textId="77777777" w:rsidR="00633E63" w:rsidRPr="000612B9" w:rsidRDefault="00633E63" w:rsidP="00CF47C2">
            <w:pPr>
              <w:spacing w:line="276" w:lineRule="auto"/>
              <w:jc w:val="right"/>
              <w:rPr>
                <w:rFonts w:eastAsia="Times New Roman"/>
                <w:sz w:val="20"/>
                <w:szCs w:val="20"/>
              </w:rPr>
            </w:pPr>
          </w:p>
        </w:tc>
        <w:tc>
          <w:tcPr>
            <w:tcW w:w="0" w:type="auto"/>
            <w:shd w:val="clear" w:color="auto" w:fill="FFFFFF"/>
            <w:vAlign w:val="bottom"/>
          </w:tcPr>
          <w:p w14:paraId="0BAEC48C" w14:textId="77777777" w:rsidR="00633E63" w:rsidRPr="000612B9" w:rsidRDefault="00633E63" w:rsidP="00CF47C2">
            <w:pPr>
              <w:spacing w:line="276" w:lineRule="auto"/>
              <w:rPr>
                <w:rFonts w:eastAsia="Times New Roman"/>
                <w:sz w:val="20"/>
                <w:szCs w:val="20"/>
              </w:rPr>
            </w:pPr>
          </w:p>
        </w:tc>
      </w:tr>
      <w:tr w:rsidR="0073252B" w:rsidRPr="000612B9" w14:paraId="31A17A57" w14:textId="77777777" w:rsidTr="0073252B">
        <w:trPr>
          <w:divId w:val="1788502657"/>
        </w:trPr>
        <w:tc>
          <w:tcPr>
            <w:tcW w:w="0" w:type="auto"/>
            <w:shd w:val="clear" w:color="auto" w:fill="CCEEFF"/>
            <w:vAlign w:val="bottom"/>
            <w:hideMark/>
          </w:tcPr>
          <w:p w14:paraId="181D7BDA" w14:textId="2C0980A8" w:rsidR="0073252B" w:rsidRPr="000612B9" w:rsidRDefault="0073252B" w:rsidP="0073252B">
            <w:pPr>
              <w:spacing w:line="276" w:lineRule="auto"/>
              <w:rPr>
                <w:rFonts w:eastAsia="Times New Roman"/>
                <w:sz w:val="20"/>
                <w:szCs w:val="20"/>
              </w:rPr>
            </w:pPr>
            <w:r>
              <w:rPr>
                <w:rFonts w:eastAsia="Times New Roman"/>
                <w:sz w:val="20"/>
                <w:szCs w:val="20"/>
              </w:rPr>
              <w:t xml:space="preserve">    Basic</w:t>
            </w:r>
          </w:p>
        </w:tc>
        <w:tc>
          <w:tcPr>
            <w:tcW w:w="0" w:type="auto"/>
            <w:shd w:val="clear" w:color="auto" w:fill="CCEEFF"/>
            <w:vAlign w:val="bottom"/>
            <w:hideMark/>
          </w:tcPr>
          <w:p w14:paraId="3E252460" w14:textId="77777777" w:rsidR="0073252B" w:rsidRPr="000612B9" w:rsidRDefault="0073252B" w:rsidP="0073252B">
            <w:pPr>
              <w:spacing w:line="276" w:lineRule="auto"/>
              <w:rPr>
                <w:rFonts w:eastAsia="Times New Roman"/>
                <w:sz w:val="20"/>
                <w:szCs w:val="20"/>
              </w:rPr>
            </w:pPr>
            <w:r w:rsidRPr="000612B9">
              <w:rPr>
                <w:rFonts w:eastAsia="Times New Roman"/>
                <w:sz w:val="20"/>
                <w:szCs w:val="20"/>
              </w:rPr>
              <w:t> </w:t>
            </w:r>
          </w:p>
        </w:tc>
        <w:tc>
          <w:tcPr>
            <w:tcW w:w="0" w:type="auto"/>
            <w:tcBorders>
              <w:bottom w:val="single" w:sz="12" w:space="0" w:color="000000"/>
            </w:tcBorders>
            <w:shd w:val="clear" w:color="auto" w:fill="CCEEFF"/>
            <w:vAlign w:val="bottom"/>
            <w:hideMark/>
          </w:tcPr>
          <w:p w14:paraId="31F149F9" w14:textId="77777777" w:rsidR="0073252B" w:rsidRPr="000612B9" w:rsidRDefault="0073252B" w:rsidP="0073252B">
            <w:pPr>
              <w:spacing w:line="276" w:lineRule="auto"/>
              <w:rPr>
                <w:rFonts w:eastAsia="Times New Roman"/>
                <w:sz w:val="20"/>
                <w:szCs w:val="20"/>
              </w:rPr>
            </w:pPr>
            <w:r w:rsidRPr="000612B9">
              <w:rPr>
                <w:rFonts w:eastAsia="Times New Roman"/>
                <w:sz w:val="20"/>
                <w:szCs w:val="20"/>
              </w:rPr>
              <w:t> </w:t>
            </w:r>
          </w:p>
        </w:tc>
        <w:tc>
          <w:tcPr>
            <w:tcW w:w="0" w:type="auto"/>
            <w:tcBorders>
              <w:bottom w:val="single" w:sz="12" w:space="0" w:color="000000"/>
            </w:tcBorders>
            <w:shd w:val="clear" w:color="auto" w:fill="CCEEFF"/>
            <w:vAlign w:val="bottom"/>
            <w:hideMark/>
          </w:tcPr>
          <w:p w14:paraId="10AF99CB" w14:textId="6F5757F5" w:rsidR="0073252B" w:rsidRPr="000612B9" w:rsidRDefault="0073252B" w:rsidP="0073252B">
            <w:pPr>
              <w:spacing w:line="276" w:lineRule="auto"/>
              <w:jc w:val="right"/>
              <w:rPr>
                <w:rFonts w:eastAsia="Times New Roman"/>
                <w:sz w:val="20"/>
                <w:szCs w:val="20"/>
              </w:rPr>
            </w:pPr>
            <w:r>
              <w:rPr>
                <w:rFonts w:eastAsia="Times New Roman"/>
                <w:sz w:val="20"/>
                <w:szCs w:val="20"/>
              </w:rPr>
              <w:t>2,292945</w:t>
            </w:r>
          </w:p>
        </w:tc>
        <w:tc>
          <w:tcPr>
            <w:tcW w:w="0" w:type="auto"/>
            <w:shd w:val="clear" w:color="auto" w:fill="CCEEFF"/>
            <w:vAlign w:val="bottom"/>
            <w:hideMark/>
          </w:tcPr>
          <w:p w14:paraId="3BABCD66" w14:textId="2C3F3709" w:rsidR="0073252B" w:rsidRPr="000612B9" w:rsidRDefault="0073252B" w:rsidP="0073252B">
            <w:pPr>
              <w:spacing w:line="276" w:lineRule="auto"/>
              <w:rPr>
                <w:rFonts w:eastAsia="Times New Roman"/>
                <w:sz w:val="20"/>
                <w:szCs w:val="20"/>
              </w:rPr>
            </w:pPr>
            <w:r w:rsidRPr="000612B9">
              <w:rPr>
                <w:rFonts w:eastAsia="Times New Roman"/>
                <w:sz w:val="20"/>
                <w:szCs w:val="20"/>
              </w:rPr>
              <w:t> </w:t>
            </w:r>
          </w:p>
        </w:tc>
        <w:tc>
          <w:tcPr>
            <w:tcW w:w="0" w:type="auto"/>
            <w:shd w:val="clear" w:color="auto" w:fill="CCEEFF"/>
            <w:vAlign w:val="bottom"/>
            <w:hideMark/>
          </w:tcPr>
          <w:p w14:paraId="48F394ED" w14:textId="7ADDF2CD" w:rsidR="0073252B" w:rsidRPr="000612B9" w:rsidRDefault="0073252B" w:rsidP="0073252B">
            <w:pPr>
              <w:spacing w:line="276" w:lineRule="auto"/>
              <w:rPr>
                <w:rFonts w:eastAsia="Times New Roman"/>
                <w:sz w:val="20"/>
                <w:szCs w:val="20"/>
              </w:rPr>
            </w:pPr>
            <w:r w:rsidRPr="000612B9">
              <w:rPr>
                <w:rFonts w:eastAsia="Times New Roman"/>
                <w:sz w:val="20"/>
                <w:szCs w:val="20"/>
              </w:rPr>
              <w:t> </w:t>
            </w:r>
          </w:p>
        </w:tc>
        <w:tc>
          <w:tcPr>
            <w:tcW w:w="0" w:type="auto"/>
            <w:tcBorders>
              <w:bottom w:val="single" w:sz="12" w:space="0" w:color="000000"/>
            </w:tcBorders>
            <w:shd w:val="clear" w:color="auto" w:fill="CCEEFF"/>
            <w:vAlign w:val="bottom"/>
            <w:hideMark/>
          </w:tcPr>
          <w:p w14:paraId="43A51DE4" w14:textId="57AA8B03" w:rsidR="0073252B" w:rsidRPr="000612B9" w:rsidRDefault="0073252B" w:rsidP="0073252B">
            <w:pPr>
              <w:spacing w:line="276" w:lineRule="auto"/>
              <w:rPr>
                <w:rFonts w:eastAsia="Times New Roman"/>
                <w:sz w:val="20"/>
                <w:szCs w:val="20"/>
              </w:rPr>
            </w:pPr>
            <w:r w:rsidRPr="000612B9">
              <w:rPr>
                <w:rFonts w:eastAsia="Times New Roman"/>
                <w:sz w:val="20"/>
                <w:szCs w:val="20"/>
              </w:rPr>
              <w:t> </w:t>
            </w:r>
          </w:p>
        </w:tc>
        <w:tc>
          <w:tcPr>
            <w:tcW w:w="0" w:type="auto"/>
            <w:tcBorders>
              <w:bottom w:val="single" w:sz="12" w:space="0" w:color="000000"/>
            </w:tcBorders>
            <w:shd w:val="clear" w:color="auto" w:fill="CCEEFF"/>
            <w:vAlign w:val="bottom"/>
            <w:hideMark/>
          </w:tcPr>
          <w:p w14:paraId="30788CD8" w14:textId="0FCC6B2C" w:rsidR="0073252B" w:rsidRPr="000612B9" w:rsidRDefault="0073252B" w:rsidP="0073252B">
            <w:pPr>
              <w:spacing w:line="276" w:lineRule="auto"/>
              <w:jc w:val="right"/>
              <w:rPr>
                <w:rFonts w:eastAsia="Times New Roman"/>
                <w:sz w:val="20"/>
                <w:szCs w:val="20"/>
              </w:rPr>
            </w:pPr>
            <w:r>
              <w:rPr>
                <w:rFonts w:eastAsia="Times New Roman"/>
                <w:sz w:val="20"/>
                <w:szCs w:val="20"/>
              </w:rPr>
              <w:t>2,292,945</w:t>
            </w:r>
          </w:p>
        </w:tc>
        <w:tc>
          <w:tcPr>
            <w:tcW w:w="0" w:type="auto"/>
            <w:shd w:val="clear" w:color="auto" w:fill="CCEEFF"/>
            <w:vAlign w:val="bottom"/>
            <w:hideMark/>
          </w:tcPr>
          <w:p w14:paraId="1BC00C38" w14:textId="77777777" w:rsidR="0073252B" w:rsidRPr="000612B9" w:rsidRDefault="0073252B" w:rsidP="0073252B">
            <w:pPr>
              <w:spacing w:line="276" w:lineRule="auto"/>
              <w:rPr>
                <w:rFonts w:eastAsia="Times New Roman"/>
                <w:sz w:val="20"/>
                <w:szCs w:val="20"/>
              </w:rPr>
            </w:pPr>
            <w:r w:rsidRPr="000612B9">
              <w:rPr>
                <w:rFonts w:eastAsia="Times New Roman"/>
                <w:sz w:val="20"/>
                <w:szCs w:val="20"/>
              </w:rPr>
              <w:t> </w:t>
            </w:r>
          </w:p>
        </w:tc>
      </w:tr>
      <w:tr w:rsidR="0084124D" w:rsidRPr="000612B9" w14:paraId="051A182E" w14:textId="77777777" w:rsidTr="0084124D">
        <w:trPr>
          <w:divId w:val="1788502657"/>
        </w:trPr>
        <w:tc>
          <w:tcPr>
            <w:tcW w:w="0" w:type="auto"/>
            <w:shd w:val="clear" w:color="auto" w:fill="FFFFFF"/>
            <w:tcMar>
              <w:top w:w="0" w:type="dxa"/>
              <w:left w:w="200" w:type="dxa"/>
              <w:bottom w:w="0" w:type="dxa"/>
              <w:right w:w="0" w:type="dxa"/>
            </w:tcMar>
            <w:vAlign w:val="bottom"/>
            <w:hideMark/>
          </w:tcPr>
          <w:p w14:paraId="04507E05" w14:textId="7E278788" w:rsidR="0084124D" w:rsidRPr="000612B9" w:rsidRDefault="00633E63" w:rsidP="00633E63">
            <w:pPr>
              <w:spacing w:line="276" w:lineRule="auto"/>
              <w:ind w:hanging="200"/>
              <w:rPr>
                <w:rFonts w:eastAsia="Times New Roman"/>
                <w:sz w:val="20"/>
                <w:szCs w:val="20"/>
              </w:rPr>
            </w:pPr>
            <w:r>
              <w:rPr>
                <w:rFonts w:eastAsia="Times New Roman"/>
                <w:sz w:val="20"/>
                <w:szCs w:val="20"/>
              </w:rPr>
              <w:t xml:space="preserve">    Diluted</w:t>
            </w:r>
          </w:p>
        </w:tc>
        <w:tc>
          <w:tcPr>
            <w:tcW w:w="0" w:type="auto"/>
            <w:shd w:val="clear" w:color="auto" w:fill="FFFFFF"/>
            <w:vAlign w:val="bottom"/>
            <w:hideMark/>
          </w:tcPr>
          <w:p w14:paraId="1EFF2C1B"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0" w:type="auto"/>
            <w:tcBorders>
              <w:bottom w:val="single" w:sz="12" w:space="0" w:color="000000"/>
            </w:tcBorders>
            <w:shd w:val="clear" w:color="auto" w:fill="FFFFFF"/>
            <w:vAlign w:val="bottom"/>
            <w:hideMark/>
          </w:tcPr>
          <w:p w14:paraId="3E4BDAAE"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0" w:type="auto"/>
            <w:tcBorders>
              <w:bottom w:val="single" w:sz="12" w:space="0" w:color="000000"/>
            </w:tcBorders>
            <w:shd w:val="clear" w:color="auto" w:fill="FFFFFF"/>
            <w:vAlign w:val="bottom"/>
            <w:hideMark/>
          </w:tcPr>
          <w:p w14:paraId="7F111B00" w14:textId="0F8A939F" w:rsidR="0084124D" w:rsidRPr="000612B9" w:rsidRDefault="00633E63" w:rsidP="00CF47C2">
            <w:pPr>
              <w:spacing w:line="276" w:lineRule="auto"/>
              <w:jc w:val="right"/>
              <w:rPr>
                <w:rFonts w:eastAsia="Times New Roman"/>
                <w:sz w:val="20"/>
                <w:szCs w:val="20"/>
              </w:rPr>
            </w:pPr>
            <w:r>
              <w:rPr>
                <w:rFonts w:eastAsia="Times New Roman"/>
                <w:sz w:val="20"/>
                <w:szCs w:val="20"/>
              </w:rPr>
              <w:t>2,302,945</w:t>
            </w:r>
          </w:p>
        </w:tc>
        <w:tc>
          <w:tcPr>
            <w:tcW w:w="0" w:type="auto"/>
            <w:shd w:val="clear" w:color="auto" w:fill="FFFFFF"/>
            <w:vAlign w:val="bottom"/>
            <w:hideMark/>
          </w:tcPr>
          <w:p w14:paraId="4E45CE61"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0" w:type="auto"/>
            <w:shd w:val="clear" w:color="auto" w:fill="FFFFFF"/>
            <w:vAlign w:val="bottom"/>
            <w:hideMark/>
          </w:tcPr>
          <w:p w14:paraId="670B30FC"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0" w:type="auto"/>
            <w:tcBorders>
              <w:bottom w:val="single" w:sz="12" w:space="0" w:color="000000"/>
            </w:tcBorders>
            <w:shd w:val="clear" w:color="auto" w:fill="FFFFFF"/>
            <w:vAlign w:val="bottom"/>
            <w:hideMark/>
          </w:tcPr>
          <w:p w14:paraId="336313E8"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c>
          <w:tcPr>
            <w:tcW w:w="0" w:type="auto"/>
            <w:tcBorders>
              <w:bottom w:val="single" w:sz="12" w:space="0" w:color="000000"/>
            </w:tcBorders>
            <w:shd w:val="clear" w:color="auto" w:fill="FFFFFF"/>
            <w:vAlign w:val="bottom"/>
            <w:hideMark/>
          </w:tcPr>
          <w:p w14:paraId="7AFF7562" w14:textId="7DA1C447" w:rsidR="0084124D" w:rsidRPr="000612B9" w:rsidRDefault="00633E63" w:rsidP="00CF47C2">
            <w:pPr>
              <w:spacing w:line="276" w:lineRule="auto"/>
              <w:jc w:val="right"/>
              <w:rPr>
                <w:rFonts w:eastAsia="Times New Roman"/>
                <w:sz w:val="20"/>
                <w:szCs w:val="20"/>
              </w:rPr>
            </w:pPr>
            <w:r>
              <w:rPr>
                <w:rFonts w:eastAsia="Times New Roman"/>
                <w:sz w:val="20"/>
                <w:szCs w:val="20"/>
              </w:rPr>
              <w:t>2,302,945</w:t>
            </w:r>
          </w:p>
        </w:tc>
        <w:tc>
          <w:tcPr>
            <w:tcW w:w="0" w:type="auto"/>
            <w:shd w:val="clear" w:color="auto" w:fill="FFFFFF"/>
            <w:vAlign w:val="bottom"/>
            <w:hideMark/>
          </w:tcPr>
          <w:p w14:paraId="35472318" w14:textId="77777777" w:rsidR="0084124D" w:rsidRPr="000612B9" w:rsidRDefault="0084124D" w:rsidP="00CF47C2">
            <w:pPr>
              <w:spacing w:line="276" w:lineRule="auto"/>
              <w:rPr>
                <w:rFonts w:eastAsia="Times New Roman"/>
                <w:sz w:val="20"/>
                <w:szCs w:val="20"/>
              </w:rPr>
            </w:pPr>
            <w:r w:rsidRPr="000612B9">
              <w:rPr>
                <w:rFonts w:eastAsia="Times New Roman"/>
                <w:sz w:val="20"/>
                <w:szCs w:val="20"/>
              </w:rPr>
              <w:t> </w:t>
            </w:r>
          </w:p>
        </w:tc>
      </w:tr>
    </w:tbl>
    <w:p w14:paraId="2DE0A4D1" w14:textId="77777777" w:rsidR="00BF3006" w:rsidRDefault="00BF3006">
      <w:pPr>
        <w:pStyle w:val="NormalWeb"/>
        <w:divId w:val="1788502657"/>
        <w:rPr>
          <w:sz w:val="20"/>
          <w:szCs w:val="20"/>
        </w:rPr>
      </w:pPr>
    </w:p>
    <w:p w14:paraId="1E1FC217" w14:textId="77777777" w:rsidR="00BF3006" w:rsidRDefault="00BF3006">
      <w:pPr>
        <w:pStyle w:val="NormalWeb"/>
        <w:divId w:val="1788502657"/>
      </w:pPr>
    </w:p>
    <w:p w14:paraId="2D9A66F7" w14:textId="77777777" w:rsidR="00236301" w:rsidRDefault="00265296">
      <w:pPr>
        <w:pStyle w:val="auto-style2"/>
        <w:divId w:val="1788502657"/>
      </w:pPr>
      <w:r>
        <w:rPr>
          <w:sz w:val="20"/>
          <w:szCs w:val="20"/>
        </w:rPr>
        <w:br/>
      </w:r>
      <w:r>
        <w:rPr>
          <w:b/>
          <w:bCs/>
          <w:sz w:val="20"/>
          <w:szCs w:val="20"/>
        </w:rPr>
        <w:t>F-14</w:t>
      </w:r>
      <w:r>
        <w:rPr>
          <w:sz w:val="20"/>
          <w:szCs w:val="20"/>
        </w:rPr>
        <w:t xml:space="preserve"> </w:t>
      </w:r>
    </w:p>
    <w:p w14:paraId="176CE162" w14:textId="77777777" w:rsidR="00265296" w:rsidRDefault="00084F74">
      <w:pPr>
        <w:jc w:val="center"/>
        <w:divId w:val="1788502657"/>
        <w:rPr>
          <w:rFonts w:eastAsia="Times New Roman"/>
          <w:sz w:val="20"/>
          <w:szCs w:val="20"/>
        </w:rPr>
      </w:pPr>
      <w:r>
        <w:rPr>
          <w:rFonts w:eastAsia="Times New Roman"/>
          <w:sz w:val="20"/>
          <w:szCs w:val="20"/>
        </w:rPr>
        <w:pict w14:anchorId="43C267A5">
          <v:rect id="_x0000_i1074" style="width:.05pt;height:1pt" o:hralign="center" o:hrstd="t" o:hrnoshade="t" o:hr="t" fillcolor="blue" stroked="f"/>
        </w:pict>
      </w:r>
    </w:p>
    <w:sectPr w:rsidR="00265296" w:rsidSect="007C1515">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D7A73"/>
    <w:multiLevelType w:val="multilevel"/>
    <w:tmpl w:val="D1CC10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E476E43"/>
    <w:multiLevelType w:val="multilevel"/>
    <w:tmpl w:val="B03A0E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B6"/>
    <w:rsid w:val="0002383B"/>
    <w:rsid w:val="000441FD"/>
    <w:rsid w:val="000450C9"/>
    <w:rsid w:val="000475B4"/>
    <w:rsid w:val="00063BB6"/>
    <w:rsid w:val="0008179A"/>
    <w:rsid w:val="00081865"/>
    <w:rsid w:val="00084610"/>
    <w:rsid w:val="00084F74"/>
    <w:rsid w:val="000C15DF"/>
    <w:rsid w:val="000C2F98"/>
    <w:rsid w:val="000D18BD"/>
    <w:rsid w:val="000F0C9D"/>
    <w:rsid w:val="000F10EF"/>
    <w:rsid w:val="000F232D"/>
    <w:rsid w:val="0010454A"/>
    <w:rsid w:val="0011057E"/>
    <w:rsid w:val="00127C8D"/>
    <w:rsid w:val="00132A20"/>
    <w:rsid w:val="00155BFC"/>
    <w:rsid w:val="0016577F"/>
    <w:rsid w:val="00185C96"/>
    <w:rsid w:val="0019031F"/>
    <w:rsid w:val="001A4FD0"/>
    <w:rsid w:val="001C1236"/>
    <w:rsid w:val="001C3936"/>
    <w:rsid w:val="001D2446"/>
    <w:rsid w:val="001E78C8"/>
    <w:rsid w:val="00200097"/>
    <w:rsid w:val="002062DA"/>
    <w:rsid w:val="00207E8E"/>
    <w:rsid w:val="002127AE"/>
    <w:rsid w:val="002149B3"/>
    <w:rsid w:val="00222F73"/>
    <w:rsid w:val="00227821"/>
    <w:rsid w:val="00236301"/>
    <w:rsid w:val="00265296"/>
    <w:rsid w:val="002B06C6"/>
    <w:rsid w:val="002E02AF"/>
    <w:rsid w:val="002F7AD5"/>
    <w:rsid w:val="00326929"/>
    <w:rsid w:val="00334DAE"/>
    <w:rsid w:val="00340DC2"/>
    <w:rsid w:val="003628C8"/>
    <w:rsid w:val="00365799"/>
    <w:rsid w:val="003A2846"/>
    <w:rsid w:val="003D433B"/>
    <w:rsid w:val="003E4F05"/>
    <w:rsid w:val="003F2872"/>
    <w:rsid w:val="0046413E"/>
    <w:rsid w:val="00477235"/>
    <w:rsid w:val="00491274"/>
    <w:rsid w:val="004B1B8F"/>
    <w:rsid w:val="004B4D2A"/>
    <w:rsid w:val="004E0E30"/>
    <w:rsid w:val="004E4A2B"/>
    <w:rsid w:val="004E77FB"/>
    <w:rsid w:val="004F5819"/>
    <w:rsid w:val="005020B0"/>
    <w:rsid w:val="005112C1"/>
    <w:rsid w:val="005158F7"/>
    <w:rsid w:val="00533C27"/>
    <w:rsid w:val="00556C06"/>
    <w:rsid w:val="00561237"/>
    <w:rsid w:val="0056411B"/>
    <w:rsid w:val="00572AB3"/>
    <w:rsid w:val="005848B3"/>
    <w:rsid w:val="00584E76"/>
    <w:rsid w:val="005B114D"/>
    <w:rsid w:val="005B4758"/>
    <w:rsid w:val="005C5EA1"/>
    <w:rsid w:val="005E60D5"/>
    <w:rsid w:val="005E76B8"/>
    <w:rsid w:val="005F322E"/>
    <w:rsid w:val="006030F2"/>
    <w:rsid w:val="006227AD"/>
    <w:rsid w:val="00633E63"/>
    <w:rsid w:val="00656271"/>
    <w:rsid w:val="00656D45"/>
    <w:rsid w:val="00662B72"/>
    <w:rsid w:val="006666CD"/>
    <w:rsid w:val="00680F75"/>
    <w:rsid w:val="00687A30"/>
    <w:rsid w:val="006A6D70"/>
    <w:rsid w:val="006A7DC9"/>
    <w:rsid w:val="006B40ED"/>
    <w:rsid w:val="006C3E8D"/>
    <w:rsid w:val="006E1E71"/>
    <w:rsid w:val="006E6018"/>
    <w:rsid w:val="00713B82"/>
    <w:rsid w:val="0073252B"/>
    <w:rsid w:val="007350CD"/>
    <w:rsid w:val="00737C14"/>
    <w:rsid w:val="00750F06"/>
    <w:rsid w:val="00755D45"/>
    <w:rsid w:val="00770B9E"/>
    <w:rsid w:val="00776AA9"/>
    <w:rsid w:val="00776B72"/>
    <w:rsid w:val="007A2B7F"/>
    <w:rsid w:val="007A440A"/>
    <w:rsid w:val="007B6EA1"/>
    <w:rsid w:val="007C1515"/>
    <w:rsid w:val="007E3C51"/>
    <w:rsid w:val="007E57A4"/>
    <w:rsid w:val="007F757B"/>
    <w:rsid w:val="00814383"/>
    <w:rsid w:val="00823D1F"/>
    <w:rsid w:val="0083408A"/>
    <w:rsid w:val="0084124D"/>
    <w:rsid w:val="008537EA"/>
    <w:rsid w:val="00867894"/>
    <w:rsid w:val="0087131A"/>
    <w:rsid w:val="00885AAD"/>
    <w:rsid w:val="008A75C1"/>
    <w:rsid w:val="008B2CA6"/>
    <w:rsid w:val="008C730C"/>
    <w:rsid w:val="008E0AE3"/>
    <w:rsid w:val="008E53A3"/>
    <w:rsid w:val="00910A58"/>
    <w:rsid w:val="00924A12"/>
    <w:rsid w:val="009307A4"/>
    <w:rsid w:val="00935664"/>
    <w:rsid w:val="00941DD5"/>
    <w:rsid w:val="00974F24"/>
    <w:rsid w:val="00982238"/>
    <w:rsid w:val="009E1595"/>
    <w:rsid w:val="009F1148"/>
    <w:rsid w:val="00A04120"/>
    <w:rsid w:val="00A11340"/>
    <w:rsid w:val="00A11D9A"/>
    <w:rsid w:val="00A1340E"/>
    <w:rsid w:val="00A26BB7"/>
    <w:rsid w:val="00A36F86"/>
    <w:rsid w:val="00A416E0"/>
    <w:rsid w:val="00A55BF5"/>
    <w:rsid w:val="00A61C54"/>
    <w:rsid w:val="00A70D71"/>
    <w:rsid w:val="00A77C8E"/>
    <w:rsid w:val="00A8051B"/>
    <w:rsid w:val="00A8052B"/>
    <w:rsid w:val="00AB42D8"/>
    <w:rsid w:val="00AE7548"/>
    <w:rsid w:val="00AF5F2E"/>
    <w:rsid w:val="00B01AB8"/>
    <w:rsid w:val="00B1526B"/>
    <w:rsid w:val="00B23BBD"/>
    <w:rsid w:val="00B24E0C"/>
    <w:rsid w:val="00B419A7"/>
    <w:rsid w:val="00B41FE6"/>
    <w:rsid w:val="00B478AF"/>
    <w:rsid w:val="00B6649A"/>
    <w:rsid w:val="00B975CF"/>
    <w:rsid w:val="00BA413E"/>
    <w:rsid w:val="00BD4630"/>
    <w:rsid w:val="00BF0143"/>
    <w:rsid w:val="00BF3006"/>
    <w:rsid w:val="00C2414C"/>
    <w:rsid w:val="00C333F1"/>
    <w:rsid w:val="00C4725C"/>
    <w:rsid w:val="00C54B41"/>
    <w:rsid w:val="00C56499"/>
    <w:rsid w:val="00C56973"/>
    <w:rsid w:val="00C57FF9"/>
    <w:rsid w:val="00C65692"/>
    <w:rsid w:val="00C74D6E"/>
    <w:rsid w:val="00C96594"/>
    <w:rsid w:val="00CA3F34"/>
    <w:rsid w:val="00CB0C1E"/>
    <w:rsid w:val="00CB6355"/>
    <w:rsid w:val="00CC48C6"/>
    <w:rsid w:val="00CE7EDD"/>
    <w:rsid w:val="00CF47C2"/>
    <w:rsid w:val="00D0157F"/>
    <w:rsid w:val="00D04894"/>
    <w:rsid w:val="00D16443"/>
    <w:rsid w:val="00D1789F"/>
    <w:rsid w:val="00D27240"/>
    <w:rsid w:val="00D34E28"/>
    <w:rsid w:val="00D56C13"/>
    <w:rsid w:val="00D813D3"/>
    <w:rsid w:val="00D8383A"/>
    <w:rsid w:val="00DA25C9"/>
    <w:rsid w:val="00DE0585"/>
    <w:rsid w:val="00DE79F3"/>
    <w:rsid w:val="00E0570E"/>
    <w:rsid w:val="00E0599D"/>
    <w:rsid w:val="00E47ACF"/>
    <w:rsid w:val="00E85934"/>
    <w:rsid w:val="00E933F5"/>
    <w:rsid w:val="00EA621F"/>
    <w:rsid w:val="00EC58C6"/>
    <w:rsid w:val="00ED45AB"/>
    <w:rsid w:val="00EE717F"/>
    <w:rsid w:val="00EF4082"/>
    <w:rsid w:val="00F02AE0"/>
    <w:rsid w:val="00F24B43"/>
    <w:rsid w:val="00F264BD"/>
    <w:rsid w:val="00F43AFF"/>
    <w:rsid w:val="00F90AC6"/>
    <w:rsid w:val="00FA069D"/>
    <w:rsid w:val="00FB2983"/>
    <w:rsid w:val="00FD4B7A"/>
    <w:rsid w:val="00FE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397FD"/>
  <w15:chartTrackingRefBased/>
  <w15:docId w15:val="{E54B6914-B335-44B6-870F-DB6874E8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auto-style1">
    <w:name w:val="auto-style1"/>
    <w:basedOn w:val="Normal"/>
    <w:pPr>
      <w:spacing w:before="100" w:beforeAutospacing="1" w:after="100" w:afterAutospacing="1"/>
    </w:pPr>
  </w:style>
  <w:style w:type="paragraph" w:customStyle="1" w:styleId="auto-style2">
    <w:name w:val="auto-style2"/>
    <w:basedOn w:val="Normal"/>
    <w:pPr>
      <w:spacing w:before="100" w:beforeAutospacing="1" w:after="100" w:afterAutospacing="1"/>
      <w:jc w:val="center"/>
    </w:pPr>
  </w:style>
  <w:style w:type="paragraph" w:customStyle="1" w:styleId="auto-style3">
    <w:name w:val="auto-style3"/>
    <w:basedOn w:val="Normal"/>
    <w:pPr>
      <w:spacing w:before="100" w:beforeAutospacing="1" w:after="100" w:afterAutospacing="1"/>
      <w:jc w:val="right"/>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E05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70E"/>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E0E30"/>
    <w:rPr>
      <w:sz w:val="16"/>
      <w:szCs w:val="16"/>
    </w:rPr>
  </w:style>
  <w:style w:type="paragraph" w:styleId="CommentText">
    <w:name w:val="annotation text"/>
    <w:basedOn w:val="Normal"/>
    <w:link w:val="CommentTextChar"/>
    <w:uiPriority w:val="99"/>
    <w:semiHidden/>
    <w:unhideWhenUsed/>
    <w:rsid w:val="004E0E30"/>
    <w:rPr>
      <w:sz w:val="20"/>
      <w:szCs w:val="20"/>
    </w:rPr>
  </w:style>
  <w:style w:type="character" w:customStyle="1" w:styleId="CommentTextChar">
    <w:name w:val="Comment Text Char"/>
    <w:basedOn w:val="DefaultParagraphFont"/>
    <w:link w:val="CommentText"/>
    <w:uiPriority w:val="99"/>
    <w:semiHidden/>
    <w:rsid w:val="004E0E30"/>
    <w:rPr>
      <w:rFonts w:eastAsiaTheme="minorEastAsia"/>
    </w:rPr>
  </w:style>
  <w:style w:type="paragraph" w:styleId="CommentSubject">
    <w:name w:val="annotation subject"/>
    <w:basedOn w:val="CommentText"/>
    <w:next w:val="CommentText"/>
    <w:link w:val="CommentSubjectChar"/>
    <w:uiPriority w:val="99"/>
    <w:semiHidden/>
    <w:unhideWhenUsed/>
    <w:rsid w:val="004E0E30"/>
    <w:rPr>
      <w:b/>
      <w:bCs/>
    </w:rPr>
  </w:style>
  <w:style w:type="character" w:customStyle="1" w:styleId="CommentSubjectChar">
    <w:name w:val="Comment Subject Char"/>
    <w:basedOn w:val="CommentTextChar"/>
    <w:link w:val="CommentSubject"/>
    <w:uiPriority w:val="99"/>
    <w:semiHidden/>
    <w:rsid w:val="004E0E30"/>
    <w:rPr>
      <w:rFonts w:eastAsiaTheme="minorEastAsia"/>
      <w:b/>
      <w:bCs/>
    </w:rPr>
  </w:style>
  <w:style w:type="paragraph" w:styleId="Revision">
    <w:name w:val="Revision"/>
    <w:hidden/>
    <w:uiPriority w:val="99"/>
    <w:semiHidden/>
    <w:rsid w:val="007E57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42079">
      <w:marLeft w:val="0"/>
      <w:marRight w:val="0"/>
      <w:marTop w:val="0"/>
      <w:marBottom w:val="0"/>
      <w:divBdr>
        <w:top w:val="none" w:sz="0" w:space="0" w:color="auto"/>
        <w:left w:val="none" w:sz="0" w:space="0" w:color="auto"/>
        <w:bottom w:val="none" w:sz="0" w:space="0" w:color="auto"/>
        <w:right w:val="none" w:sz="0" w:space="0" w:color="auto"/>
      </w:divBdr>
      <w:divsChild>
        <w:div w:id="1968006681">
          <w:marLeft w:val="0"/>
          <w:marRight w:val="0"/>
          <w:marTop w:val="0"/>
          <w:marBottom w:val="0"/>
          <w:divBdr>
            <w:top w:val="none" w:sz="0" w:space="0" w:color="auto"/>
            <w:left w:val="none" w:sz="0" w:space="0" w:color="auto"/>
            <w:bottom w:val="none" w:sz="0" w:space="0" w:color="auto"/>
            <w:right w:val="none" w:sz="0" w:space="0" w:color="auto"/>
          </w:divBdr>
        </w:div>
        <w:div w:id="1544367571">
          <w:marLeft w:val="0"/>
          <w:marRight w:val="0"/>
          <w:marTop w:val="0"/>
          <w:marBottom w:val="0"/>
          <w:divBdr>
            <w:top w:val="none" w:sz="0" w:space="0" w:color="auto"/>
            <w:left w:val="none" w:sz="0" w:space="0" w:color="auto"/>
            <w:bottom w:val="none" w:sz="0" w:space="0" w:color="auto"/>
            <w:right w:val="none" w:sz="0" w:space="0" w:color="auto"/>
          </w:divBdr>
        </w:div>
        <w:div w:id="334235237">
          <w:marLeft w:val="0"/>
          <w:marRight w:val="0"/>
          <w:marTop w:val="0"/>
          <w:marBottom w:val="0"/>
          <w:divBdr>
            <w:top w:val="none" w:sz="0" w:space="0" w:color="auto"/>
            <w:left w:val="none" w:sz="0" w:space="0" w:color="auto"/>
            <w:bottom w:val="none" w:sz="0" w:space="0" w:color="auto"/>
            <w:right w:val="none" w:sz="0" w:space="0" w:color="auto"/>
          </w:divBdr>
          <w:divsChild>
            <w:div w:id="511728990">
              <w:marLeft w:val="0"/>
              <w:marRight w:val="0"/>
              <w:marTop w:val="0"/>
              <w:marBottom w:val="0"/>
              <w:divBdr>
                <w:top w:val="none" w:sz="0" w:space="0" w:color="auto"/>
                <w:left w:val="none" w:sz="0" w:space="0" w:color="auto"/>
                <w:bottom w:val="none" w:sz="0" w:space="0" w:color="auto"/>
                <w:right w:val="none" w:sz="0" w:space="0" w:color="auto"/>
              </w:divBdr>
            </w:div>
          </w:divsChild>
        </w:div>
        <w:div w:id="1733656443">
          <w:marLeft w:val="0"/>
          <w:marRight w:val="0"/>
          <w:marTop w:val="0"/>
          <w:marBottom w:val="0"/>
          <w:divBdr>
            <w:top w:val="none" w:sz="0" w:space="0" w:color="auto"/>
            <w:left w:val="none" w:sz="0" w:space="0" w:color="auto"/>
            <w:bottom w:val="none" w:sz="0" w:space="0" w:color="auto"/>
            <w:right w:val="none" w:sz="0" w:space="0" w:color="auto"/>
          </w:divBdr>
        </w:div>
        <w:div w:id="1244484769">
          <w:marLeft w:val="0"/>
          <w:marRight w:val="0"/>
          <w:marTop w:val="0"/>
          <w:marBottom w:val="0"/>
          <w:divBdr>
            <w:top w:val="none" w:sz="0" w:space="0" w:color="auto"/>
            <w:left w:val="none" w:sz="0" w:space="0" w:color="auto"/>
            <w:bottom w:val="none" w:sz="0" w:space="0" w:color="auto"/>
            <w:right w:val="none" w:sz="0" w:space="0" w:color="auto"/>
          </w:divBdr>
          <w:divsChild>
            <w:div w:id="2137093822">
              <w:marLeft w:val="0"/>
              <w:marRight w:val="0"/>
              <w:marTop w:val="0"/>
              <w:marBottom w:val="0"/>
              <w:divBdr>
                <w:top w:val="none" w:sz="0" w:space="0" w:color="auto"/>
                <w:left w:val="none" w:sz="0" w:space="0" w:color="auto"/>
                <w:bottom w:val="none" w:sz="0" w:space="0" w:color="auto"/>
                <w:right w:val="none" w:sz="0" w:space="0" w:color="auto"/>
              </w:divBdr>
            </w:div>
            <w:div w:id="1954942145">
              <w:marLeft w:val="0"/>
              <w:marRight w:val="0"/>
              <w:marTop w:val="0"/>
              <w:marBottom w:val="0"/>
              <w:divBdr>
                <w:top w:val="none" w:sz="0" w:space="0" w:color="auto"/>
                <w:left w:val="none" w:sz="0" w:space="0" w:color="auto"/>
                <w:bottom w:val="none" w:sz="0" w:space="0" w:color="auto"/>
                <w:right w:val="none" w:sz="0" w:space="0" w:color="auto"/>
              </w:divBdr>
            </w:div>
          </w:divsChild>
        </w:div>
        <w:div w:id="1788502657">
          <w:marLeft w:val="0"/>
          <w:marRight w:val="0"/>
          <w:marTop w:val="0"/>
          <w:marBottom w:val="0"/>
          <w:divBdr>
            <w:top w:val="none" w:sz="0" w:space="0" w:color="auto"/>
            <w:left w:val="none" w:sz="0" w:space="0" w:color="auto"/>
            <w:bottom w:val="none" w:sz="0" w:space="0" w:color="auto"/>
            <w:right w:val="none" w:sz="0" w:space="0" w:color="auto"/>
          </w:divBdr>
          <w:divsChild>
            <w:div w:id="1782456845">
              <w:marLeft w:val="0"/>
              <w:marRight w:val="0"/>
              <w:marTop w:val="0"/>
              <w:marBottom w:val="0"/>
              <w:divBdr>
                <w:top w:val="none" w:sz="0" w:space="0" w:color="auto"/>
                <w:left w:val="none" w:sz="0" w:space="0" w:color="auto"/>
                <w:bottom w:val="none" w:sz="0" w:space="0" w:color="auto"/>
                <w:right w:val="none" w:sz="0" w:space="0" w:color="auto"/>
              </w:divBdr>
              <w:divsChild>
                <w:div w:id="31619113">
                  <w:marLeft w:val="0"/>
                  <w:marRight w:val="0"/>
                  <w:marTop w:val="0"/>
                  <w:marBottom w:val="0"/>
                  <w:divBdr>
                    <w:top w:val="none" w:sz="0" w:space="0" w:color="auto"/>
                    <w:left w:val="none" w:sz="0" w:space="0" w:color="auto"/>
                    <w:bottom w:val="none" w:sz="0" w:space="0" w:color="auto"/>
                    <w:right w:val="none" w:sz="0" w:space="0" w:color="auto"/>
                  </w:divBdr>
                  <w:divsChild>
                    <w:div w:id="1516337991">
                      <w:marLeft w:val="0"/>
                      <w:marRight w:val="0"/>
                      <w:marTop w:val="0"/>
                      <w:marBottom w:val="0"/>
                      <w:divBdr>
                        <w:top w:val="none" w:sz="0" w:space="0" w:color="auto"/>
                        <w:left w:val="none" w:sz="0" w:space="0" w:color="auto"/>
                        <w:bottom w:val="none" w:sz="0" w:space="0" w:color="auto"/>
                        <w:right w:val="none" w:sz="0" w:space="0" w:color="auto"/>
                      </w:divBdr>
                      <w:divsChild>
                        <w:div w:id="11751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94915">
              <w:marLeft w:val="0"/>
              <w:marRight w:val="0"/>
              <w:marTop w:val="0"/>
              <w:marBottom w:val="0"/>
              <w:divBdr>
                <w:top w:val="none" w:sz="0" w:space="0" w:color="auto"/>
                <w:left w:val="none" w:sz="0" w:space="0" w:color="auto"/>
                <w:bottom w:val="none" w:sz="0" w:space="0" w:color="auto"/>
                <w:right w:val="none" w:sz="0" w:space="0" w:color="auto"/>
              </w:divBdr>
              <w:divsChild>
                <w:div w:id="1384713872">
                  <w:marLeft w:val="0"/>
                  <w:marRight w:val="0"/>
                  <w:marTop w:val="0"/>
                  <w:marBottom w:val="0"/>
                  <w:divBdr>
                    <w:top w:val="none" w:sz="0" w:space="0" w:color="auto"/>
                    <w:left w:val="none" w:sz="0" w:space="0" w:color="auto"/>
                    <w:bottom w:val="none" w:sz="0" w:space="0" w:color="auto"/>
                    <w:right w:val="none" w:sz="0" w:space="0" w:color="auto"/>
                  </w:divBdr>
                </w:div>
              </w:divsChild>
            </w:div>
            <w:div w:id="309747261">
              <w:marLeft w:val="0"/>
              <w:marRight w:val="0"/>
              <w:marTop w:val="0"/>
              <w:marBottom w:val="0"/>
              <w:divBdr>
                <w:top w:val="none" w:sz="0" w:space="0" w:color="auto"/>
                <w:left w:val="none" w:sz="0" w:space="0" w:color="auto"/>
                <w:bottom w:val="none" w:sz="0" w:space="0" w:color="auto"/>
                <w:right w:val="none" w:sz="0" w:space="0" w:color="auto"/>
              </w:divBdr>
              <w:divsChild>
                <w:div w:id="12620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40797">
      <w:marLeft w:val="0"/>
      <w:marRight w:val="0"/>
      <w:marTop w:val="0"/>
      <w:marBottom w:val="0"/>
      <w:divBdr>
        <w:top w:val="none" w:sz="0" w:space="0" w:color="auto"/>
        <w:left w:val="none" w:sz="0" w:space="0" w:color="auto"/>
        <w:bottom w:val="none" w:sz="0" w:space="0" w:color="auto"/>
        <w:right w:val="none" w:sz="0" w:space="0" w:color="auto"/>
      </w:divBdr>
      <w:divsChild>
        <w:div w:id="1408452268">
          <w:marLeft w:val="0"/>
          <w:marRight w:val="0"/>
          <w:marTop w:val="0"/>
          <w:marBottom w:val="0"/>
          <w:divBdr>
            <w:top w:val="none" w:sz="0" w:space="0" w:color="auto"/>
            <w:left w:val="none" w:sz="0" w:space="0" w:color="auto"/>
            <w:bottom w:val="none" w:sz="0" w:space="0" w:color="auto"/>
            <w:right w:val="none" w:sz="0" w:space="0" w:color="auto"/>
          </w:divBdr>
        </w:div>
        <w:div w:id="1523084250">
          <w:marLeft w:val="0"/>
          <w:marRight w:val="0"/>
          <w:marTop w:val="0"/>
          <w:marBottom w:val="0"/>
          <w:divBdr>
            <w:top w:val="none" w:sz="0" w:space="0" w:color="auto"/>
            <w:left w:val="none" w:sz="0" w:space="0" w:color="auto"/>
            <w:bottom w:val="none" w:sz="0" w:space="0" w:color="auto"/>
            <w:right w:val="none" w:sz="0" w:space="0" w:color="auto"/>
          </w:divBdr>
        </w:div>
        <w:div w:id="870151306">
          <w:marLeft w:val="0"/>
          <w:marRight w:val="0"/>
          <w:marTop w:val="0"/>
          <w:marBottom w:val="0"/>
          <w:divBdr>
            <w:top w:val="none" w:sz="0" w:space="0" w:color="auto"/>
            <w:left w:val="none" w:sz="0" w:space="0" w:color="auto"/>
            <w:bottom w:val="none" w:sz="0" w:space="0" w:color="auto"/>
            <w:right w:val="none" w:sz="0" w:space="0" w:color="auto"/>
          </w:divBdr>
        </w:div>
        <w:div w:id="1683817590">
          <w:marLeft w:val="0"/>
          <w:marRight w:val="0"/>
          <w:marTop w:val="0"/>
          <w:marBottom w:val="0"/>
          <w:divBdr>
            <w:top w:val="none" w:sz="0" w:space="0" w:color="auto"/>
            <w:left w:val="none" w:sz="0" w:space="0" w:color="auto"/>
            <w:bottom w:val="none" w:sz="0" w:space="0" w:color="auto"/>
            <w:right w:val="none" w:sz="0" w:space="0" w:color="auto"/>
          </w:divBdr>
        </w:div>
        <w:div w:id="1364592238">
          <w:marLeft w:val="0"/>
          <w:marRight w:val="0"/>
          <w:marTop w:val="0"/>
          <w:marBottom w:val="0"/>
          <w:divBdr>
            <w:top w:val="none" w:sz="0" w:space="0" w:color="auto"/>
            <w:left w:val="none" w:sz="0" w:space="0" w:color="auto"/>
            <w:bottom w:val="none" w:sz="0" w:space="0" w:color="auto"/>
            <w:right w:val="none" w:sz="0" w:space="0" w:color="auto"/>
          </w:divBdr>
          <w:divsChild>
            <w:div w:id="156924008">
              <w:marLeft w:val="0"/>
              <w:marRight w:val="0"/>
              <w:marTop w:val="0"/>
              <w:marBottom w:val="0"/>
              <w:divBdr>
                <w:top w:val="none" w:sz="0" w:space="0" w:color="auto"/>
                <w:left w:val="none" w:sz="0" w:space="0" w:color="auto"/>
                <w:bottom w:val="none" w:sz="0" w:space="0" w:color="auto"/>
                <w:right w:val="none" w:sz="0" w:space="0" w:color="auto"/>
              </w:divBdr>
            </w:div>
          </w:divsChild>
        </w:div>
        <w:div w:id="221449055">
          <w:marLeft w:val="0"/>
          <w:marRight w:val="0"/>
          <w:marTop w:val="0"/>
          <w:marBottom w:val="0"/>
          <w:divBdr>
            <w:top w:val="none" w:sz="0" w:space="0" w:color="auto"/>
            <w:left w:val="none" w:sz="0" w:space="0" w:color="auto"/>
            <w:bottom w:val="none" w:sz="0" w:space="0" w:color="auto"/>
            <w:right w:val="none" w:sz="0" w:space="0" w:color="auto"/>
          </w:divBdr>
        </w:div>
        <w:div w:id="922224844">
          <w:marLeft w:val="0"/>
          <w:marRight w:val="0"/>
          <w:marTop w:val="0"/>
          <w:marBottom w:val="0"/>
          <w:divBdr>
            <w:top w:val="none" w:sz="0" w:space="0" w:color="auto"/>
            <w:left w:val="none" w:sz="0" w:space="0" w:color="auto"/>
            <w:bottom w:val="none" w:sz="0" w:space="0" w:color="auto"/>
            <w:right w:val="none" w:sz="0" w:space="0" w:color="auto"/>
          </w:divBdr>
          <w:divsChild>
            <w:div w:id="918949353">
              <w:marLeft w:val="0"/>
              <w:marRight w:val="0"/>
              <w:marTop w:val="0"/>
              <w:marBottom w:val="0"/>
              <w:divBdr>
                <w:top w:val="none" w:sz="0" w:space="0" w:color="auto"/>
                <w:left w:val="none" w:sz="0" w:space="0" w:color="auto"/>
                <w:bottom w:val="none" w:sz="0" w:space="0" w:color="auto"/>
                <w:right w:val="none" w:sz="0" w:space="0" w:color="auto"/>
              </w:divBdr>
              <w:divsChild>
                <w:div w:id="942999771">
                  <w:marLeft w:val="0"/>
                  <w:marRight w:val="0"/>
                  <w:marTop w:val="0"/>
                  <w:marBottom w:val="0"/>
                  <w:divBdr>
                    <w:top w:val="none" w:sz="0" w:space="0" w:color="auto"/>
                    <w:left w:val="none" w:sz="0" w:space="0" w:color="auto"/>
                    <w:bottom w:val="none" w:sz="0" w:space="0" w:color="auto"/>
                    <w:right w:val="none" w:sz="0" w:space="0" w:color="auto"/>
                  </w:divBdr>
                  <w:divsChild>
                    <w:div w:id="940801788">
                      <w:marLeft w:val="0"/>
                      <w:marRight w:val="0"/>
                      <w:marTop w:val="0"/>
                      <w:marBottom w:val="0"/>
                      <w:divBdr>
                        <w:top w:val="none" w:sz="0" w:space="0" w:color="auto"/>
                        <w:left w:val="none" w:sz="0" w:space="0" w:color="auto"/>
                        <w:bottom w:val="none" w:sz="0" w:space="0" w:color="auto"/>
                        <w:right w:val="none" w:sz="0" w:space="0" w:color="auto"/>
                      </w:divBdr>
                      <w:divsChild>
                        <w:div w:id="2075857732">
                          <w:marLeft w:val="0"/>
                          <w:marRight w:val="0"/>
                          <w:marTop w:val="0"/>
                          <w:marBottom w:val="0"/>
                          <w:divBdr>
                            <w:top w:val="none" w:sz="0" w:space="0" w:color="auto"/>
                            <w:left w:val="none" w:sz="0" w:space="0" w:color="auto"/>
                            <w:bottom w:val="none" w:sz="0" w:space="0" w:color="auto"/>
                            <w:right w:val="none" w:sz="0" w:space="0" w:color="auto"/>
                          </w:divBdr>
                          <w:divsChild>
                            <w:div w:id="1102149577">
                              <w:marLeft w:val="0"/>
                              <w:marRight w:val="0"/>
                              <w:marTop w:val="0"/>
                              <w:marBottom w:val="0"/>
                              <w:divBdr>
                                <w:top w:val="none" w:sz="0" w:space="0" w:color="auto"/>
                                <w:left w:val="none" w:sz="0" w:space="0" w:color="auto"/>
                                <w:bottom w:val="none" w:sz="0" w:space="0" w:color="auto"/>
                                <w:right w:val="none" w:sz="0" w:space="0" w:color="auto"/>
                              </w:divBdr>
                              <w:divsChild>
                                <w:div w:id="1616331956">
                                  <w:marLeft w:val="0"/>
                                  <w:marRight w:val="0"/>
                                  <w:marTop w:val="0"/>
                                  <w:marBottom w:val="0"/>
                                  <w:divBdr>
                                    <w:top w:val="none" w:sz="0" w:space="0" w:color="auto"/>
                                    <w:left w:val="none" w:sz="0" w:space="0" w:color="auto"/>
                                    <w:bottom w:val="none" w:sz="0" w:space="0" w:color="auto"/>
                                    <w:right w:val="none" w:sz="0" w:space="0" w:color="auto"/>
                                  </w:divBdr>
                                  <w:divsChild>
                                    <w:div w:id="12906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49875">
          <w:marLeft w:val="0"/>
          <w:marRight w:val="0"/>
          <w:marTop w:val="0"/>
          <w:marBottom w:val="0"/>
          <w:divBdr>
            <w:top w:val="none" w:sz="0" w:space="0" w:color="auto"/>
            <w:left w:val="none" w:sz="0" w:space="0" w:color="auto"/>
            <w:bottom w:val="none" w:sz="0" w:space="0" w:color="auto"/>
            <w:right w:val="none" w:sz="0" w:space="0" w:color="auto"/>
          </w:divBdr>
        </w:div>
        <w:div w:id="1549952999">
          <w:marLeft w:val="180"/>
          <w:marRight w:val="0"/>
          <w:marTop w:val="0"/>
          <w:marBottom w:val="0"/>
          <w:divBdr>
            <w:top w:val="none" w:sz="0" w:space="0" w:color="auto"/>
            <w:left w:val="none" w:sz="0" w:space="0" w:color="auto"/>
            <w:bottom w:val="none" w:sz="0" w:space="0" w:color="auto"/>
            <w:right w:val="none" w:sz="0" w:space="0" w:color="auto"/>
          </w:divBdr>
        </w:div>
        <w:div w:id="747968099">
          <w:marLeft w:val="0"/>
          <w:marRight w:val="0"/>
          <w:marTop w:val="0"/>
          <w:marBottom w:val="0"/>
          <w:divBdr>
            <w:top w:val="none" w:sz="0" w:space="0" w:color="auto"/>
            <w:left w:val="none" w:sz="0" w:space="0" w:color="auto"/>
            <w:bottom w:val="none" w:sz="0" w:space="0" w:color="auto"/>
            <w:right w:val="none" w:sz="0" w:space="0" w:color="auto"/>
          </w:divBdr>
        </w:div>
        <w:div w:id="1685084293">
          <w:marLeft w:val="180"/>
          <w:marRight w:val="0"/>
          <w:marTop w:val="0"/>
          <w:marBottom w:val="0"/>
          <w:divBdr>
            <w:top w:val="none" w:sz="0" w:space="0" w:color="auto"/>
            <w:left w:val="none" w:sz="0" w:space="0" w:color="auto"/>
            <w:bottom w:val="none" w:sz="0" w:space="0" w:color="auto"/>
            <w:right w:val="none" w:sz="0" w:space="0" w:color="auto"/>
          </w:divBdr>
        </w:div>
        <w:div w:id="2014870233">
          <w:marLeft w:val="0"/>
          <w:marRight w:val="0"/>
          <w:marTop w:val="0"/>
          <w:marBottom w:val="0"/>
          <w:divBdr>
            <w:top w:val="none" w:sz="0" w:space="0" w:color="auto"/>
            <w:left w:val="none" w:sz="0" w:space="0" w:color="auto"/>
            <w:bottom w:val="none" w:sz="0" w:space="0" w:color="auto"/>
            <w:right w:val="none" w:sz="0" w:space="0" w:color="auto"/>
          </w:divBdr>
        </w:div>
        <w:div w:id="9381389">
          <w:marLeft w:val="180"/>
          <w:marRight w:val="0"/>
          <w:marTop w:val="0"/>
          <w:marBottom w:val="0"/>
          <w:divBdr>
            <w:top w:val="none" w:sz="0" w:space="0" w:color="auto"/>
            <w:left w:val="none" w:sz="0" w:space="0" w:color="auto"/>
            <w:bottom w:val="none" w:sz="0" w:space="0" w:color="auto"/>
            <w:right w:val="none" w:sz="0" w:space="0" w:color="auto"/>
          </w:divBdr>
        </w:div>
        <w:div w:id="1373460841">
          <w:marLeft w:val="0"/>
          <w:marRight w:val="0"/>
          <w:marTop w:val="0"/>
          <w:marBottom w:val="0"/>
          <w:divBdr>
            <w:top w:val="none" w:sz="0" w:space="0" w:color="auto"/>
            <w:left w:val="none" w:sz="0" w:space="0" w:color="auto"/>
            <w:bottom w:val="none" w:sz="0" w:space="0" w:color="auto"/>
            <w:right w:val="none" w:sz="0" w:space="0" w:color="auto"/>
          </w:divBdr>
        </w:div>
        <w:div w:id="957031529">
          <w:marLeft w:val="0"/>
          <w:marRight w:val="0"/>
          <w:marTop w:val="0"/>
          <w:marBottom w:val="0"/>
          <w:divBdr>
            <w:top w:val="none" w:sz="0" w:space="0" w:color="auto"/>
            <w:left w:val="none" w:sz="0" w:space="0" w:color="auto"/>
            <w:bottom w:val="none" w:sz="0" w:space="0" w:color="auto"/>
            <w:right w:val="none" w:sz="0" w:space="0" w:color="auto"/>
          </w:divBdr>
        </w:div>
        <w:div w:id="1945306812">
          <w:marLeft w:val="0"/>
          <w:marRight w:val="0"/>
          <w:marTop w:val="0"/>
          <w:marBottom w:val="0"/>
          <w:divBdr>
            <w:top w:val="none" w:sz="0" w:space="0" w:color="auto"/>
            <w:left w:val="none" w:sz="0" w:space="0" w:color="auto"/>
            <w:bottom w:val="none" w:sz="0" w:space="0" w:color="auto"/>
            <w:right w:val="none" w:sz="0" w:space="0" w:color="auto"/>
          </w:divBdr>
        </w:div>
        <w:div w:id="14069944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F1B3-A7E7-4DD2-921A-BD4AFD11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15873</Words>
  <Characters>90479</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Annual Report on Form 10-K for June 30, 2016</vt:lpstr>
    </vt:vector>
  </TitlesOfParts>
  <Company/>
  <LinksUpToDate>false</LinksUpToDate>
  <CharactersWithSpaces>106140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on Form 10-K for June 30, 2016</dc:title>
  <dc:subject/>
  <dc:creator>Robert Wolfe</dc:creator>
  <cp:keywords/>
  <dc:description/>
  <cp:lastModifiedBy>Robert Wolfe</cp:lastModifiedBy>
  <cp:revision>2</cp:revision>
  <cp:lastPrinted>2016-10-12T20:48:00Z</cp:lastPrinted>
  <dcterms:created xsi:type="dcterms:W3CDTF">2016-10-14T14:21:00Z</dcterms:created>
  <dcterms:modified xsi:type="dcterms:W3CDTF">2016-10-14T14:21:00Z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Financial Statements</vt:lpwstr>
  </property>
  <property fmtid="{D5CDD505-2E9C-101B-9397-08002B2CF9AE}" pid="4" name="tabIndex">
    <vt:lpwstr>1000</vt:lpwstr>
  </property>
  <property fmtid="{D5CDD505-2E9C-101B-9397-08002B2CF9AE}" pid="5" name="workpaperIndex">
    <vt:lpwstr>1025</vt:lpwstr>
  </property>
</Properties>
</file>