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FE" w:rsidRDefault="008D2BFE" w:rsidP="008D2BFE">
      <w:pPr>
        <w:rPr>
          <w:rFonts w:eastAsia="Times New Roman"/>
        </w:rPr>
      </w:pPr>
      <w:r>
        <w:rPr>
          <w:rFonts w:eastAsia="Times New Roman"/>
        </w:rPr>
        <w:pict>
          <v:rect id="_x0000_i1037" style="width:0;height:2pt" o:hralign="center" o:hrstd="t" o:hrnoshade="t" o:hr="t" fillcolor="black" stroked="f"/>
        </w:pict>
      </w:r>
    </w:p>
    <w:p w:rsidR="008D2BFE" w:rsidRDefault="008D2BFE" w:rsidP="008D2BFE">
      <w:pPr>
        <w:rPr>
          <w:rFonts w:eastAsia="Times New Roman"/>
        </w:rPr>
      </w:pPr>
      <w:r>
        <w:rPr>
          <w:rFonts w:eastAsia="Times New Roman"/>
        </w:rPr>
        <w:pict>
          <v:rect id="_x0000_i1038" style="width:0;height:.5pt" o:hralign="center" o:hrstd="t" o:hrnoshade="t" o:hr="t" fillcolor="black" stroked="f"/>
        </w:pict>
      </w:r>
    </w:p>
    <w:p w:rsidR="008D2BFE" w:rsidRDefault="008D2BFE" w:rsidP="008D2BFE">
      <w:pPr>
        <w:jc w:val="center"/>
        <w:rPr>
          <w:sz w:val="28"/>
          <w:szCs w:val="28"/>
        </w:rPr>
      </w:pPr>
      <w:r>
        <w:rPr>
          <w:b/>
          <w:bCs/>
          <w:sz w:val="28"/>
          <w:szCs w:val="28"/>
        </w:rPr>
        <w:t>UNITED STATES</w:t>
      </w:r>
    </w:p>
    <w:p w:rsidR="008D2BFE" w:rsidRDefault="008D2BFE" w:rsidP="008D2BFE">
      <w:pPr>
        <w:pStyle w:val="NormalWeb"/>
        <w:spacing w:before="0" w:beforeAutospacing="0" w:after="0" w:afterAutospacing="0" w:line="320" w:lineRule="atLeast"/>
        <w:jc w:val="center"/>
        <w:rPr>
          <w:sz w:val="28"/>
          <w:szCs w:val="28"/>
        </w:rPr>
      </w:pPr>
      <w:r>
        <w:rPr>
          <w:b/>
          <w:bCs/>
          <w:sz w:val="28"/>
          <w:szCs w:val="28"/>
        </w:rPr>
        <w:t>SECURITIES AND EXCHANGE COMMISSION</w:t>
      </w:r>
    </w:p>
    <w:p w:rsidR="008D2BFE" w:rsidRDefault="008D2BFE" w:rsidP="008D2BFE">
      <w:pPr>
        <w:pStyle w:val="NormalWeb"/>
        <w:spacing w:before="0" w:beforeAutospacing="0" w:after="0" w:afterAutospacing="0"/>
        <w:jc w:val="center"/>
      </w:pPr>
      <w:r>
        <w:rPr>
          <w:b/>
          <w:bCs/>
        </w:rPr>
        <w:t>Washington, D.C. 20549</w:t>
      </w:r>
    </w:p>
    <w:p w:rsidR="008D2BFE" w:rsidRDefault="008D2BFE" w:rsidP="008D2BFE">
      <w:pPr>
        <w:pStyle w:val="NormalWeb"/>
        <w:spacing w:before="0" w:beforeAutospacing="0" w:after="0" w:afterAutospacing="0"/>
        <w:jc w:val="center"/>
      </w:pPr>
      <w:r>
        <w:t>———————</w:t>
      </w:r>
    </w:p>
    <w:p w:rsidR="008D2BFE" w:rsidRDefault="008D2BFE" w:rsidP="008D2BFE">
      <w:pPr>
        <w:pStyle w:val="NormalWeb"/>
        <w:spacing w:before="0" w:beforeAutospacing="0" w:after="0" w:afterAutospacing="0" w:line="320" w:lineRule="atLeast"/>
        <w:jc w:val="center"/>
        <w:rPr>
          <w:sz w:val="28"/>
          <w:szCs w:val="28"/>
        </w:rPr>
      </w:pPr>
      <w:r>
        <w:rPr>
          <w:b/>
          <w:bCs/>
          <w:sz w:val="28"/>
          <w:szCs w:val="28"/>
        </w:rPr>
        <w:t>FORM 10-Q</w:t>
      </w:r>
    </w:p>
    <w:p w:rsidR="008D2BFE" w:rsidRDefault="008D2BFE" w:rsidP="008D2BFE">
      <w:pPr>
        <w:pStyle w:val="NormalWeb"/>
        <w:spacing w:before="0" w:beforeAutospacing="0" w:after="0" w:afterAutospacing="0"/>
        <w:jc w:val="center"/>
      </w:pPr>
      <w:r>
        <w:t>———————</w:t>
      </w:r>
    </w:p>
    <w:p w:rsidR="008D2BFE" w:rsidRDefault="008D2BFE" w:rsidP="008D2BFE">
      <w:pPr>
        <w:pStyle w:val="NormalWeb"/>
        <w:spacing w:before="0" w:beforeAutospacing="0" w:after="0" w:afterAutospacing="0"/>
        <w:jc w:val="center"/>
      </w:pPr>
      <w:r>
        <w:t>(Mark One)</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39"/>
        <w:gridCol w:w="7010"/>
      </w:tblGrid>
      <w:tr w:rsidR="008D2BFE" w:rsidTr="00356742">
        <w:trPr>
          <w:tblCellSpacing w:w="0" w:type="dxa"/>
          <w:jc w:val="center"/>
        </w:trPr>
        <w:tc>
          <w:tcPr>
            <w:tcW w:w="239" w:type="dxa"/>
            <w:tcBorders>
              <w:top w:val="single" w:sz="6" w:space="0" w:color="000000"/>
              <w:left w:val="single" w:sz="6" w:space="0" w:color="000000"/>
              <w:bottom w:val="single" w:sz="6" w:space="0" w:color="000000"/>
              <w:right w:val="single" w:sz="6" w:space="0" w:color="000000"/>
            </w:tcBorders>
            <w:hideMark/>
          </w:tcPr>
          <w:p w:rsidR="008D2BFE" w:rsidRDefault="008D2BFE" w:rsidP="00356742">
            <w:pPr>
              <w:pStyle w:val="NormalWeb"/>
              <w:spacing w:before="0" w:beforeAutospacing="0" w:after="0" w:afterAutospacing="0"/>
              <w:jc w:val="center"/>
              <w:rPr>
                <w:sz w:val="20"/>
                <w:szCs w:val="20"/>
              </w:rPr>
            </w:pPr>
            <w:r>
              <w:rPr>
                <w:rFonts w:ascii="Wingdings" w:hAnsi="Wingdings"/>
                <w:b/>
                <w:bCs/>
                <w:sz w:val="20"/>
                <w:szCs w:val="20"/>
              </w:rPr>
              <w:t></w:t>
            </w:r>
          </w:p>
        </w:tc>
        <w:tc>
          <w:tcPr>
            <w:tcW w:w="7010" w:type="dxa"/>
            <w:hideMark/>
          </w:tcPr>
          <w:p w:rsidR="008D2BFE" w:rsidRDefault="008D2BFE" w:rsidP="00356742">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8D2BFE" w:rsidTr="00356742">
        <w:trPr>
          <w:tblCellSpacing w:w="0" w:type="dxa"/>
          <w:jc w:val="center"/>
        </w:trPr>
        <w:tc>
          <w:tcPr>
            <w:tcW w:w="7249" w:type="dxa"/>
            <w:gridSpan w:val="2"/>
            <w:hideMark/>
          </w:tcPr>
          <w:p w:rsidR="008D2BFE" w:rsidRDefault="008D2BFE" w:rsidP="00356742">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December 31, 2016</w:t>
            </w:r>
          </w:p>
        </w:tc>
      </w:tr>
      <w:tr w:rsidR="008D2BFE" w:rsidTr="00356742">
        <w:trPr>
          <w:tblCellSpacing w:w="0" w:type="dxa"/>
          <w:jc w:val="center"/>
        </w:trPr>
        <w:tc>
          <w:tcPr>
            <w:tcW w:w="7249" w:type="dxa"/>
            <w:gridSpan w:val="2"/>
            <w:hideMark/>
          </w:tcPr>
          <w:p w:rsidR="008D2BFE" w:rsidRDefault="008D2BFE" w:rsidP="00356742">
            <w:pPr>
              <w:pStyle w:val="NormalWeb"/>
              <w:spacing w:before="0" w:beforeAutospacing="0" w:after="0" w:afterAutospacing="0"/>
              <w:jc w:val="center"/>
              <w:rPr>
                <w:sz w:val="20"/>
                <w:szCs w:val="20"/>
              </w:rPr>
            </w:pPr>
            <w:r>
              <w:rPr>
                <w:sz w:val="20"/>
                <w:szCs w:val="20"/>
              </w:rPr>
              <w:t>Or</w:t>
            </w:r>
          </w:p>
        </w:tc>
      </w:tr>
      <w:tr w:rsidR="008D2BFE" w:rsidTr="00356742">
        <w:trPr>
          <w:tblCellSpacing w:w="0" w:type="dxa"/>
          <w:jc w:val="center"/>
        </w:trPr>
        <w:tc>
          <w:tcPr>
            <w:tcW w:w="239" w:type="dxa"/>
            <w:tcBorders>
              <w:top w:val="single" w:sz="6" w:space="0" w:color="000000"/>
              <w:left w:val="single" w:sz="6" w:space="0" w:color="000000"/>
              <w:bottom w:val="single" w:sz="6" w:space="0" w:color="000000"/>
              <w:right w:val="single" w:sz="6" w:space="0" w:color="000000"/>
            </w:tcBorders>
            <w:hideMark/>
          </w:tcPr>
          <w:p w:rsidR="008D2BFE" w:rsidRDefault="008D2BFE" w:rsidP="00356742">
            <w:pPr>
              <w:pStyle w:val="NormalWeb"/>
              <w:spacing w:before="0" w:beforeAutospacing="0" w:after="0" w:afterAutospacing="0"/>
              <w:jc w:val="center"/>
              <w:rPr>
                <w:sz w:val="20"/>
                <w:szCs w:val="20"/>
              </w:rPr>
            </w:pPr>
            <w:r>
              <w:rPr>
                <w:rFonts w:ascii="Wingdings" w:hAnsi="Wingdings"/>
                <w:b/>
                <w:bCs/>
                <w:sz w:val="20"/>
                <w:szCs w:val="20"/>
              </w:rPr>
              <w:t></w:t>
            </w:r>
          </w:p>
        </w:tc>
        <w:tc>
          <w:tcPr>
            <w:tcW w:w="7010" w:type="dxa"/>
            <w:hideMark/>
          </w:tcPr>
          <w:p w:rsidR="008D2BFE" w:rsidRDefault="008D2BFE" w:rsidP="00356742">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8D2BFE" w:rsidTr="00356742">
        <w:trPr>
          <w:tblCellSpacing w:w="0" w:type="dxa"/>
          <w:jc w:val="center"/>
        </w:trPr>
        <w:tc>
          <w:tcPr>
            <w:tcW w:w="7249" w:type="dxa"/>
            <w:gridSpan w:val="2"/>
            <w:hideMark/>
          </w:tcPr>
          <w:p w:rsidR="008D2BFE" w:rsidRDefault="008D2BFE" w:rsidP="00356742">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8D2BFE" w:rsidRDefault="008D2BFE" w:rsidP="008D2BFE">
      <w:pPr>
        <w:pStyle w:val="NormalWeb"/>
        <w:spacing w:before="0" w:beforeAutospacing="0" w:after="0" w:afterAutospacing="0"/>
        <w:jc w:val="center"/>
      </w:pPr>
    </w:p>
    <w:p w:rsidR="008D2BFE" w:rsidRDefault="008D2BFE" w:rsidP="008D2BFE">
      <w:pPr>
        <w:pStyle w:val="NormalWeb"/>
        <w:spacing w:before="0" w:beforeAutospacing="0" w:after="0" w:afterAutospacing="0"/>
        <w:jc w:val="center"/>
      </w:pPr>
      <w:r>
        <w:t>———————</w:t>
      </w:r>
    </w:p>
    <w:p w:rsidR="008D2BFE" w:rsidRDefault="008D2BFE" w:rsidP="008D2BFE">
      <w:pPr>
        <w:jc w:val="center"/>
        <w:rPr>
          <w:rFonts w:eastAsia="Times New Roman"/>
        </w:rPr>
      </w:pPr>
      <w:r>
        <w:rPr>
          <w:rStyle w:val="Strong"/>
          <w:rFonts w:eastAsia="Times New Roman"/>
          <w:sz w:val="32"/>
          <w:szCs w:val="32"/>
        </w:rPr>
        <w:t>ADVANCED OXYGEN TECHNOLOGIES, INC.</w:t>
      </w:r>
    </w:p>
    <w:p w:rsidR="008D2BFE" w:rsidRDefault="008D2BFE" w:rsidP="008D2BFE">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8D2BFE" w:rsidRDefault="008D2BFE" w:rsidP="008D2BFE">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400"/>
        <w:gridCol w:w="2400"/>
        <w:gridCol w:w="2390"/>
      </w:tblGrid>
      <w:tr w:rsidR="008D2BFE" w:rsidTr="00356742">
        <w:trPr>
          <w:tblCellSpacing w:w="0" w:type="dxa"/>
          <w:jc w:val="center"/>
        </w:trPr>
        <w:tc>
          <w:tcPr>
            <w:tcW w:w="2400" w:type="dxa"/>
            <w:hideMark/>
          </w:tcPr>
          <w:p w:rsidR="008D2BFE" w:rsidRDefault="008D2BFE" w:rsidP="00356742">
            <w:pPr>
              <w:pStyle w:val="NormalWeb"/>
              <w:spacing w:before="0" w:beforeAutospacing="0" w:after="0" w:afterAutospacing="0"/>
              <w:jc w:val="center"/>
              <w:rPr>
                <w:sz w:val="20"/>
                <w:szCs w:val="20"/>
              </w:rPr>
            </w:pPr>
            <w:r>
              <w:rPr>
                <w:b/>
                <w:bCs/>
                <w:sz w:val="20"/>
                <w:szCs w:val="20"/>
              </w:rPr>
              <w:t>Delaware</w:t>
            </w:r>
          </w:p>
        </w:tc>
        <w:tc>
          <w:tcPr>
            <w:tcW w:w="2400" w:type="dxa"/>
            <w:hideMark/>
          </w:tcPr>
          <w:p w:rsidR="008D2BFE" w:rsidRDefault="008D2BFE" w:rsidP="00356742">
            <w:pPr>
              <w:pStyle w:val="NormalWeb"/>
              <w:spacing w:before="0" w:beforeAutospacing="0" w:after="0" w:afterAutospacing="0"/>
              <w:jc w:val="center"/>
              <w:rPr>
                <w:sz w:val="20"/>
                <w:szCs w:val="20"/>
              </w:rPr>
            </w:pPr>
            <w:r>
              <w:rPr>
                <w:rStyle w:val="Strong"/>
                <w:sz w:val="20"/>
                <w:szCs w:val="20"/>
              </w:rPr>
              <w:t>0-9951</w:t>
            </w:r>
          </w:p>
        </w:tc>
        <w:tc>
          <w:tcPr>
            <w:tcW w:w="2390" w:type="dxa"/>
            <w:hideMark/>
          </w:tcPr>
          <w:p w:rsidR="008D2BFE" w:rsidRDefault="008D2BFE" w:rsidP="00356742">
            <w:pPr>
              <w:pStyle w:val="NormalWeb"/>
              <w:spacing w:before="0" w:beforeAutospacing="0" w:after="0" w:afterAutospacing="0"/>
              <w:jc w:val="center"/>
              <w:rPr>
                <w:sz w:val="20"/>
                <w:szCs w:val="20"/>
              </w:rPr>
            </w:pPr>
            <w:r>
              <w:rPr>
                <w:rStyle w:val="Strong"/>
                <w:sz w:val="20"/>
                <w:szCs w:val="20"/>
              </w:rPr>
              <w:t>91-1143622</w:t>
            </w:r>
          </w:p>
        </w:tc>
      </w:tr>
      <w:tr w:rsidR="008D2BFE" w:rsidTr="00356742">
        <w:trPr>
          <w:tblCellSpacing w:w="0" w:type="dxa"/>
          <w:jc w:val="center"/>
        </w:trPr>
        <w:tc>
          <w:tcPr>
            <w:tcW w:w="2400" w:type="dxa"/>
            <w:hideMark/>
          </w:tcPr>
          <w:p w:rsidR="008D2BFE" w:rsidRDefault="008D2BFE" w:rsidP="00356742">
            <w:pPr>
              <w:pStyle w:val="NormalWeb"/>
              <w:spacing w:before="0" w:beforeAutospacing="0" w:after="0" w:afterAutospacing="0" w:line="200" w:lineRule="atLeast"/>
              <w:jc w:val="center"/>
              <w:rPr>
                <w:sz w:val="16"/>
                <w:szCs w:val="16"/>
              </w:rPr>
            </w:pPr>
            <w:r>
              <w:rPr>
                <w:sz w:val="16"/>
                <w:szCs w:val="16"/>
              </w:rPr>
              <w:t>(State or Other Jurisdiction</w:t>
            </w:r>
          </w:p>
        </w:tc>
        <w:tc>
          <w:tcPr>
            <w:tcW w:w="2400" w:type="dxa"/>
            <w:hideMark/>
          </w:tcPr>
          <w:p w:rsidR="008D2BFE" w:rsidRDefault="008D2BFE" w:rsidP="00356742">
            <w:pPr>
              <w:pStyle w:val="NormalWeb"/>
              <w:spacing w:before="0" w:beforeAutospacing="0" w:after="0" w:afterAutospacing="0" w:line="200" w:lineRule="atLeast"/>
              <w:jc w:val="center"/>
              <w:rPr>
                <w:sz w:val="16"/>
                <w:szCs w:val="16"/>
              </w:rPr>
            </w:pPr>
            <w:r>
              <w:rPr>
                <w:sz w:val="16"/>
                <w:szCs w:val="16"/>
              </w:rPr>
              <w:t>(Commission</w:t>
            </w:r>
          </w:p>
        </w:tc>
        <w:tc>
          <w:tcPr>
            <w:tcW w:w="2390" w:type="dxa"/>
            <w:hideMark/>
          </w:tcPr>
          <w:p w:rsidR="008D2BFE" w:rsidRDefault="008D2BFE" w:rsidP="00356742">
            <w:pPr>
              <w:pStyle w:val="NormalWeb"/>
              <w:spacing w:before="0" w:beforeAutospacing="0" w:after="0" w:afterAutospacing="0" w:line="200" w:lineRule="atLeast"/>
              <w:jc w:val="center"/>
              <w:rPr>
                <w:sz w:val="16"/>
                <w:szCs w:val="16"/>
              </w:rPr>
            </w:pPr>
            <w:r>
              <w:rPr>
                <w:sz w:val="16"/>
                <w:szCs w:val="16"/>
              </w:rPr>
              <w:t>(I.R.S. Employer</w:t>
            </w:r>
          </w:p>
        </w:tc>
      </w:tr>
      <w:tr w:rsidR="008D2BFE" w:rsidTr="00356742">
        <w:trPr>
          <w:tblCellSpacing w:w="0" w:type="dxa"/>
          <w:jc w:val="center"/>
        </w:trPr>
        <w:tc>
          <w:tcPr>
            <w:tcW w:w="2400" w:type="dxa"/>
            <w:hideMark/>
          </w:tcPr>
          <w:p w:rsidR="008D2BFE" w:rsidRDefault="008D2BFE" w:rsidP="00356742">
            <w:pPr>
              <w:pStyle w:val="NormalWeb"/>
              <w:spacing w:before="0" w:beforeAutospacing="0" w:after="0" w:afterAutospacing="0" w:line="200" w:lineRule="atLeast"/>
              <w:jc w:val="center"/>
              <w:rPr>
                <w:sz w:val="16"/>
                <w:szCs w:val="16"/>
              </w:rPr>
            </w:pPr>
            <w:r>
              <w:rPr>
                <w:sz w:val="16"/>
                <w:szCs w:val="16"/>
              </w:rPr>
              <w:t>of Incorporation)</w:t>
            </w:r>
          </w:p>
        </w:tc>
        <w:tc>
          <w:tcPr>
            <w:tcW w:w="2400" w:type="dxa"/>
            <w:hideMark/>
          </w:tcPr>
          <w:p w:rsidR="008D2BFE" w:rsidRDefault="008D2BFE" w:rsidP="00356742">
            <w:pPr>
              <w:pStyle w:val="NormalWeb"/>
              <w:spacing w:before="0" w:beforeAutospacing="0" w:after="0" w:afterAutospacing="0" w:line="200" w:lineRule="atLeast"/>
              <w:jc w:val="center"/>
              <w:rPr>
                <w:sz w:val="16"/>
                <w:szCs w:val="16"/>
              </w:rPr>
            </w:pPr>
            <w:r>
              <w:rPr>
                <w:sz w:val="16"/>
                <w:szCs w:val="16"/>
              </w:rPr>
              <w:t>File Number)</w:t>
            </w:r>
          </w:p>
        </w:tc>
        <w:tc>
          <w:tcPr>
            <w:tcW w:w="2390" w:type="dxa"/>
            <w:hideMark/>
          </w:tcPr>
          <w:p w:rsidR="008D2BFE" w:rsidRDefault="008D2BFE" w:rsidP="00356742">
            <w:pPr>
              <w:pStyle w:val="NormalWeb"/>
              <w:spacing w:before="0" w:beforeAutospacing="0" w:after="0" w:afterAutospacing="0" w:line="200" w:lineRule="atLeast"/>
              <w:jc w:val="center"/>
              <w:rPr>
                <w:sz w:val="16"/>
                <w:szCs w:val="16"/>
              </w:rPr>
            </w:pPr>
            <w:r>
              <w:rPr>
                <w:sz w:val="16"/>
                <w:szCs w:val="16"/>
              </w:rPr>
              <w:t>Identification No.)</w:t>
            </w:r>
          </w:p>
        </w:tc>
      </w:tr>
    </w:tbl>
    <w:p w:rsidR="008D2BFE" w:rsidRDefault="008D2BFE" w:rsidP="008D2BFE">
      <w:pPr>
        <w:pStyle w:val="NormalWeb"/>
        <w:spacing w:before="0" w:beforeAutospacing="0" w:after="0" w:afterAutospacing="0"/>
        <w:jc w:val="center"/>
      </w:pPr>
    </w:p>
    <w:p w:rsidR="008D2BFE" w:rsidRDefault="008D2BFE" w:rsidP="008D2BFE">
      <w:pPr>
        <w:pStyle w:val="NormalWeb"/>
        <w:spacing w:before="0" w:beforeAutospacing="0" w:after="0" w:afterAutospacing="0"/>
        <w:jc w:val="center"/>
      </w:pPr>
      <w:r>
        <w:rPr>
          <w:b/>
          <w:bCs/>
        </w:rPr>
        <w:t xml:space="preserve">C/O Crossfield, Inc., 653 VT Route 12A, PO Box 189, Randolph, VT 05060 </w:t>
      </w:r>
    </w:p>
    <w:p w:rsidR="008D2BFE" w:rsidRDefault="008D2BFE" w:rsidP="008D2BFE">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8D2BFE" w:rsidRDefault="008D2BFE" w:rsidP="008D2BFE">
      <w:pPr>
        <w:pStyle w:val="NormalWeb"/>
        <w:spacing w:before="0" w:beforeAutospacing="0" w:after="0" w:afterAutospacing="0"/>
        <w:jc w:val="center"/>
      </w:pPr>
    </w:p>
    <w:p w:rsidR="008D2BFE" w:rsidRDefault="008D2BFE" w:rsidP="008D2BFE">
      <w:pPr>
        <w:pStyle w:val="NormalWeb"/>
        <w:spacing w:before="0" w:beforeAutospacing="0" w:after="0" w:afterAutospacing="0"/>
        <w:jc w:val="center"/>
      </w:pPr>
      <w:r>
        <w:rPr>
          <w:b/>
          <w:bCs/>
        </w:rPr>
        <w:t>(212) 727-7085</w:t>
      </w:r>
    </w:p>
    <w:p w:rsidR="008D2BFE" w:rsidRDefault="008D2BFE" w:rsidP="008D2BFE">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8D2BFE" w:rsidRDefault="008D2BFE" w:rsidP="008D2BFE">
      <w:pPr>
        <w:pStyle w:val="NormalWeb"/>
        <w:spacing w:before="133" w:beforeAutospacing="0" w:after="0" w:afterAutospacing="0"/>
        <w:jc w:val="center"/>
      </w:pPr>
      <w:r>
        <w:rPr>
          <w:b/>
          <w:bCs/>
        </w:rPr>
        <w:t>C/O Crossfield, Inc., 100 Maiden Lane, Suite 2003, New York, NY 10038</w:t>
      </w:r>
    </w:p>
    <w:p w:rsidR="008D2BFE" w:rsidRDefault="008D2BFE" w:rsidP="008D2BFE">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8D2BFE" w:rsidRPr="00894978" w:rsidRDefault="008D2BFE" w:rsidP="008D2BFE">
      <w:pPr>
        <w:pStyle w:val="NormalWeb"/>
        <w:spacing w:before="0" w:beforeAutospacing="0" w:after="0" w:afterAutospacing="0" w:line="200" w:lineRule="atLeast"/>
        <w:jc w:val="center"/>
        <w:rPr>
          <w:sz w:val="16"/>
          <w:szCs w:val="16"/>
        </w:rPr>
      </w:pPr>
      <w:r>
        <w:rPr>
          <w:sz w:val="20"/>
          <w:szCs w:val="20"/>
        </w:rPr>
        <w:t>Securities registered under Section 12(g) of the Exchange Act: Common Stock, par value $.01per share</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6"/>
        <w:gridCol w:w="411"/>
        <w:gridCol w:w="3578"/>
        <w:gridCol w:w="411"/>
      </w:tblGrid>
      <w:tr w:rsidR="008D2BFE" w:rsidTr="0035674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D2BFE" w:rsidRDefault="008D2BFE" w:rsidP="00356742">
            <w:pPr>
              <w:pStyle w:val="NormalWeb"/>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8D2BFE" w:rsidRDefault="008D2BFE" w:rsidP="00356742">
            <w:pPr>
              <w:pStyle w:val="NormalWeb"/>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8D2BFE" w:rsidRDefault="008D2BFE" w:rsidP="00356742">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8D2BFE" w:rsidTr="003567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rPr>
                <w:sz w:val="20"/>
                <w:szCs w:val="20"/>
              </w:rPr>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rPr>
                <w:rFonts w:eastAsia="Times New Roman"/>
              </w:rPr>
            </w:pPr>
            <w:r>
              <w:rPr>
                <w:rFonts w:ascii="Wingdings" w:eastAsia="Times New Roman" w:hAnsi="Wingdings"/>
                <w:b/>
                <w:bCs/>
                <w:sz w:val="20"/>
                <w:szCs w:val="20"/>
              </w:rPr>
              <w:t></w:t>
            </w:r>
          </w:p>
        </w:tc>
      </w:tr>
      <w:tr w:rsidR="008D2BFE" w:rsidTr="003567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rPr>
                <w:sz w:val="20"/>
                <w:szCs w:val="20"/>
              </w:rPr>
              <w:t xml:space="preserve">Non Accelerated Filer </w:t>
            </w:r>
            <w:r>
              <w:rPr>
                <w:sz w:val="20"/>
                <w:szCs w:val="20"/>
              </w:rPr>
              <w:br/>
              <w:t>(Do not check if a 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rPr>
                <w:rFonts w:ascii="Wingdings" w:hAnsi="Wingdings"/>
                <w:b/>
                <w:bCs/>
                <w:sz w:val="20"/>
                <w:szCs w:val="20"/>
              </w:rPr>
              <w:t></w:t>
            </w:r>
          </w:p>
        </w:tc>
      </w:tr>
      <w:tr w:rsidR="008D2BFE" w:rsidTr="0035674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D2BFE" w:rsidRDefault="008D2BFE" w:rsidP="00356742">
            <w:pPr>
              <w:pStyle w:val="NormalWeb"/>
            </w:pPr>
            <w:r>
              <w:t> </w:t>
            </w: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8D2BFE" w:rsidRDefault="008D2BFE" w:rsidP="00356742">
            <w:pPr>
              <w:pStyle w:val="NormalWeb"/>
            </w:pPr>
            <w:r>
              <w:rPr>
                <w:sz w:val="20"/>
                <w:szCs w:val="20"/>
              </w:rPr>
              <w:t>As of February 03</w:t>
            </w:r>
            <w:r>
              <w:rPr>
                <w:sz w:val="20"/>
                <w:szCs w:val="20"/>
              </w:rPr>
              <w:t>, 2017 there were 2,292,945 issued and outstanding shares of the registrant's Common Stock, $.01 par value.</w:t>
            </w:r>
          </w:p>
        </w:tc>
      </w:tr>
    </w:tbl>
    <w:p w:rsidR="008D2BFE" w:rsidRDefault="008D2BFE" w:rsidP="008D2BFE">
      <w:pPr>
        <w:rPr>
          <w:rFonts w:eastAsia="Times New Roman"/>
        </w:rPr>
      </w:pPr>
      <w:r>
        <w:rPr>
          <w:rFonts w:eastAsia="Times New Roman"/>
        </w:rPr>
        <w:pict>
          <v:rect id="_x0000_i1039" style="width:0;height:.5pt" o:hralign="center" o:hrstd="t" o:hrnoshade="t" o:hr="t" fillcolor="black" stroked="f"/>
        </w:pict>
      </w:r>
    </w:p>
    <w:p w:rsidR="008D2BFE" w:rsidRDefault="008D2BFE" w:rsidP="008D2BFE">
      <w:pPr>
        <w:rPr>
          <w:rFonts w:eastAsia="Times New Roman"/>
        </w:rPr>
      </w:pPr>
      <w:r>
        <w:rPr>
          <w:rFonts w:eastAsia="Times New Roman"/>
        </w:rPr>
        <w:pict>
          <v:rect id="_x0000_i1040" style="width:0;height:2pt" o:hralign="center" o:hrstd="t" o:hrnoshade="t" o:hr="t" fillcolor="black" stroked="f"/>
        </w:pict>
      </w:r>
    </w:p>
    <w:p w:rsidR="000167F6" w:rsidRDefault="00DF66D7">
      <w:pPr>
        <w:pStyle w:val="NormalWeb"/>
        <w:jc w:val="center"/>
      </w:pPr>
      <w:r>
        <w:rPr>
          <w:b/>
          <w:bCs/>
        </w:rPr>
        <w:lastRenderedPageBreak/>
        <w:t>ADVANCED OXYGEN TECHNOLOGIES, INC.</w:t>
      </w:r>
    </w:p>
    <w:p w:rsidR="000167F6" w:rsidRDefault="00DF66D7">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firstRow="1" w:lastRow="0" w:firstColumn="1" w:lastColumn="0" w:noHBand="0" w:noVBand="1"/>
      </w:tblPr>
      <w:tblGrid>
        <w:gridCol w:w="152"/>
        <w:gridCol w:w="152"/>
        <w:gridCol w:w="8124"/>
        <w:gridCol w:w="542"/>
        <w:gridCol w:w="750"/>
      </w:tblGrid>
      <w:tr w:rsidR="000167F6">
        <w:trPr>
          <w:tblCellSpacing w:w="0" w:type="dxa"/>
          <w:jc w:val="center"/>
        </w:trPr>
        <w:tc>
          <w:tcPr>
            <w:tcW w:w="100" w:type="pct"/>
            <w:shd w:val="clear" w:color="auto" w:fill="CCEEFF"/>
            <w:vAlign w:val="center"/>
            <w:hideMark/>
          </w:tcPr>
          <w:p w:rsidR="000167F6" w:rsidRDefault="000167F6"/>
        </w:tc>
        <w:tc>
          <w:tcPr>
            <w:tcW w:w="100" w:type="pct"/>
            <w:shd w:val="clear" w:color="auto" w:fill="CCEEFF"/>
            <w:vAlign w:val="center"/>
            <w:hideMark/>
          </w:tcPr>
          <w:p w:rsidR="000167F6" w:rsidRDefault="000167F6">
            <w:pPr>
              <w:rPr>
                <w:rFonts w:eastAsia="Times New Roman"/>
                <w:sz w:val="20"/>
                <w:szCs w:val="20"/>
              </w:rPr>
            </w:pPr>
          </w:p>
        </w:tc>
        <w:tc>
          <w:tcPr>
            <w:tcW w:w="0" w:type="auto"/>
            <w:gridSpan w:val="3"/>
            <w:shd w:val="clear" w:color="auto" w:fill="CCEEFF"/>
            <w:vAlign w:val="center"/>
            <w:hideMark/>
          </w:tcPr>
          <w:p w:rsidR="000167F6" w:rsidRDefault="00DF66D7">
            <w:pPr>
              <w:pStyle w:val="NormalWeb"/>
              <w:jc w:val="center"/>
            </w:pPr>
            <w:r>
              <w:rPr>
                <w:b/>
                <w:bCs/>
                <w:sz w:val="20"/>
                <w:szCs w:val="20"/>
              </w:rPr>
              <w:t>INDEX</w:t>
            </w:r>
          </w:p>
        </w:tc>
      </w:tr>
      <w:tr w:rsidR="000167F6">
        <w:trPr>
          <w:tblCellSpacing w:w="0" w:type="dxa"/>
          <w:jc w:val="center"/>
        </w:trPr>
        <w:tc>
          <w:tcPr>
            <w:tcW w:w="0" w:type="auto"/>
            <w:gridSpan w:val="3"/>
            <w:shd w:val="clear" w:color="auto" w:fill="FFFFFF"/>
            <w:vAlign w:val="center"/>
            <w:hideMark/>
          </w:tcPr>
          <w:p w:rsidR="000167F6" w:rsidRDefault="00DF66D7">
            <w:pPr>
              <w:rPr>
                <w:rFonts w:eastAsia="Times New Roman"/>
              </w:rPr>
            </w:pPr>
            <w:r>
              <w:rPr>
                <w:rFonts w:eastAsia="Times New Roman"/>
                <w:b/>
                <w:bCs/>
                <w:sz w:val="20"/>
                <w:szCs w:val="20"/>
              </w:rPr>
              <w:t>PART I</w:t>
            </w:r>
          </w:p>
        </w:tc>
        <w:tc>
          <w:tcPr>
            <w:tcW w:w="300" w:type="pct"/>
            <w:shd w:val="clear" w:color="auto" w:fill="FFFFFF"/>
            <w:vAlign w:val="center"/>
            <w:hideMark/>
          </w:tcPr>
          <w:p w:rsidR="000167F6" w:rsidRDefault="000167F6">
            <w:pPr>
              <w:rPr>
                <w:rFonts w:eastAsia="Times New Roman"/>
              </w:rPr>
            </w:pPr>
          </w:p>
        </w:tc>
        <w:tc>
          <w:tcPr>
            <w:tcW w:w="300" w:type="pct"/>
            <w:shd w:val="clear" w:color="auto" w:fill="FFFFFF"/>
            <w:vAlign w:val="center"/>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vAlign w:val="center"/>
            <w:hideMark/>
          </w:tcPr>
          <w:p w:rsidR="000167F6" w:rsidRDefault="000167F6">
            <w:pPr>
              <w:rPr>
                <w:rFonts w:eastAsia="Times New Roman"/>
                <w:sz w:val="20"/>
                <w:szCs w:val="20"/>
              </w:rPr>
            </w:pPr>
          </w:p>
        </w:tc>
        <w:tc>
          <w:tcPr>
            <w:tcW w:w="0" w:type="auto"/>
            <w:gridSpan w:val="2"/>
            <w:shd w:val="clear" w:color="auto" w:fill="CCEEFF"/>
            <w:vAlign w:val="center"/>
            <w:hideMark/>
          </w:tcPr>
          <w:p w:rsidR="000167F6" w:rsidRDefault="00DF66D7">
            <w:pPr>
              <w:rPr>
                <w:rFonts w:eastAsia="Times New Roman"/>
              </w:rPr>
            </w:pPr>
            <w:r>
              <w:rPr>
                <w:rFonts w:eastAsia="Times New Roman"/>
                <w:sz w:val="20"/>
                <w:szCs w:val="20"/>
              </w:rPr>
              <w:t xml:space="preserve">Item I: Financial Statements (unaudited) </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Page</w:t>
            </w:r>
          </w:p>
        </w:tc>
      </w:tr>
      <w:tr w:rsidR="000167F6">
        <w:trPr>
          <w:tblCellSpacing w:w="0" w:type="dxa"/>
          <w:jc w:val="center"/>
        </w:trPr>
        <w:tc>
          <w:tcPr>
            <w:tcW w:w="0" w:type="auto"/>
            <w:shd w:val="clear" w:color="auto" w:fill="FFFFFF"/>
            <w:vAlign w:val="center"/>
            <w:hideMark/>
          </w:tcPr>
          <w:p w:rsidR="000167F6" w:rsidRDefault="000167F6">
            <w:pPr>
              <w:jc w:val="right"/>
              <w:rPr>
                <w:rFonts w:eastAsia="Times New Roman"/>
              </w:rPr>
            </w:pPr>
          </w:p>
        </w:tc>
        <w:tc>
          <w:tcPr>
            <w:tcW w:w="0" w:type="auto"/>
            <w:shd w:val="clear" w:color="auto" w:fill="FFFFFF"/>
            <w:vAlign w:val="center"/>
            <w:hideMark/>
          </w:tcPr>
          <w:p w:rsidR="000167F6" w:rsidRDefault="000167F6">
            <w:pPr>
              <w:rPr>
                <w:rFonts w:eastAsia="Times New Roman"/>
                <w:sz w:val="20"/>
                <w:szCs w:val="20"/>
              </w:rPr>
            </w:pPr>
          </w:p>
        </w:tc>
        <w:tc>
          <w:tcPr>
            <w:tcW w:w="0" w:type="auto"/>
            <w:shd w:val="clear" w:color="auto" w:fill="FFFFFF"/>
            <w:vAlign w:val="center"/>
            <w:hideMark/>
          </w:tcPr>
          <w:p w:rsidR="000167F6" w:rsidRDefault="00DF66D7">
            <w:pPr>
              <w:rPr>
                <w:rFonts w:eastAsia="Times New Roman"/>
              </w:rPr>
            </w:pPr>
            <w:r>
              <w:rPr>
                <w:rFonts w:eastAsia="Times New Roman"/>
                <w:sz w:val="20"/>
                <w:szCs w:val="20"/>
              </w:rPr>
              <w:t>Unaudited Consolidated Balance Sheet as of December 31, 2016 and June 30, 2016</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1</w:t>
            </w:r>
          </w:p>
        </w:tc>
      </w:tr>
      <w:tr w:rsidR="000167F6">
        <w:trPr>
          <w:tblCellSpacing w:w="0" w:type="dxa"/>
          <w:jc w:val="center"/>
        </w:trPr>
        <w:tc>
          <w:tcPr>
            <w:tcW w:w="0" w:type="auto"/>
            <w:shd w:val="clear" w:color="auto" w:fill="CCEEFF"/>
            <w:vAlign w:val="center"/>
            <w:hideMark/>
          </w:tcPr>
          <w:p w:rsidR="000167F6" w:rsidRDefault="000167F6">
            <w:pPr>
              <w:jc w:val="right"/>
              <w:rPr>
                <w:rFonts w:eastAsia="Times New Roman"/>
              </w:rPr>
            </w:pPr>
          </w:p>
        </w:tc>
        <w:tc>
          <w:tcPr>
            <w:tcW w:w="0" w:type="auto"/>
            <w:shd w:val="clear" w:color="auto" w:fill="CCEEFF"/>
            <w:vAlign w:val="center"/>
            <w:hideMark/>
          </w:tcPr>
          <w:p w:rsidR="000167F6" w:rsidRDefault="000167F6">
            <w:pPr>
              <w:rPr>
                <w:rFonts w:eastAsia="Times New Roman"/>
                <w:sz w:val="20"/>
                <w:szCs w:val="20"/>
              </w:rPr>
            </w:pPr>
          </w:p>
        </w:tc>
        <w:tc>
          <w:tcPr>
            <w:tcW w:w="0" w:type="auto"/>
            <w:shd w:val="clear" w:color="auto" w:fill="CCEEFF"/>
            <w:vAlign w:val="center"/>
            <w:hideMark/>
          </w:tcPr>
          <w:p w:rsidR="000167F6" w:rsidRDefault="00DF66D7">
            <w:pPr>
              <w:rPr>
                <w:rFonts w:eastAsia="Times New Roman"/>
              </w:rPr>
            </w:pPr>
            <w:r>
              <w:rPr>
                <w:rFonts w:eastAsia="Times New Roman"/>
                <w:sz w:val="20"/>
                <w:szCs w:val="20"/>
              </w:rPr>
              <w:t>Unaudited Consolidated Statement of Operations and Other Comprehensive Income (Loss) for the three months and six months ended December 31, 2016 and December 31, 2015</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3</w:t>
            </w:r>
          </w:p>
        </w:tc>
      </w:tr>
      <w:tr w:rsidR="000167F6">
        <w:trPr>
          <w:tblCellSpacing w:w="0" w:type="dxa"/>
          <w:jc w:val="center"/>
        </w:trPr>
        <w:tc>
          <w:tcPr>
            <w:tcW w:w="0" w:type="auto"/>
            <w:shd w:val="clear" w:color="auto" w:fill="FFFFFF"/>
            <w:vAlign w:val="center"/>
            <w:hideMark/>
          </w:tcPr>
          <w:p w:rsidR="000167F6" w:rsidRDefault="000167F6">
            <w:pPr>
              <w:jc w:val="right"/>
              <w:rPr>
                <w:rFonts w:eastAsia="Times New Roman"/>
              </w:rPr>
            </w:pPr>
          </w:p>
        </w:tc>
        <w:tc>
          <w:tcPr>
            <w:tcW w:w="0" w:type="auto"/>
            <w:shd w:val="clear" w:color="auto" w:fill="FFFFFF"/>
            <w:vAlign w:val="center"/>
            <w:hideMark/>
          </w:tcPr>
          <w:p w:rsidR="000167F6" w:rsidRDefault="000167F6">
            <w:pPr>
              <w:rPr>
                <w:rFonts w:eastAsia="Times New Roman"/>
                <w:sz w:val="20"/>
                <w:szCs w:val="20"/>
              </w:rPr>
            </w:pPr>
          </w:p>
        </w:tc>
        <w:tc>
          <w:tcPr>
            <w:tcW w:w="0" w:type="auto"/>
            <w:shd w:val="clear" w:color="auto" w:fill="FFFFFF"/>
            <w:vAlign w:val="center"/>
            <w:hideMark/>
          </w:tcPr>
          <w:p w:rsidR="000167F6" w:rsidRDefault="00DF66D7">
            <w:pPr>
              <w:rPr>
                <w:rFonts w:eastAsia="Times New Roman"/>
              </w:rPr>
            </w:pPr>
            <w:r>
              <w:rPr>
                <w:rFonts w:eastAsia="Times New Roman"/>
                <w:sz w:val="20"/>
                <w:szCs w:val="20"/>
              </w:rPr>
              <w:t>Unaudited Consolidated Statement of Cash Flow for the six months ended December 31, 2016 and December 31, 2015</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4</w:t>
            </w:r>
          </w:p>
        </w:tc>
      </w:tr>
      <w:tr w:rsidR="000167F6">
        <w:trPr>
          <w:tblCellSpacing w:w="0" w:type="dxa"/>
          <w:jc w:val="center"/>
        </w:trPr>
        <w:tc>
          <w:tcPr>
            <w:tcW w:w="0" w:type="auto"/>
            <w:shd w:val="clear" w:color="auto" w:fill="CCEEFF"/>
            <w:vAlign w:val="center"/>
            <w:hideMark/>
          </w:tcPr>
          <w:p w:rsidR="000167F6" w:rsidRDefault="000167F6">
            <w:pPr>
              <w:jc w:val="right"/>
              <w:rPr>
                <w:rFonts w:eastAsia="Times New Roman"/>
              </w:rPr>
            </w:pPr>
          </w:p>
        </w:tc>
        <w:tc>
          <w:tcPr>
            <w:tcW w:w="0" w:type="auto"/>
            <w:shd w:val="clear" w:color="auto" w:fill="CCEEFF"/>
            <w:vAlign w:val="center"/>
            <w:hideMark/>
          </w:tcPr>
          <w:p w:rsidR="000167F6" w:rsidRDefault="000167F6">
            <w:pPr>
              <w:rPr>
                <w:rFonts w:eastAsia="Times New Roman"/>
                <w:sz w:val="20"/>
                <w:szCs w:val="20"/>
              </w:rPr>
            </w:pPr>
          </w:p>
        </w:tc>
        <w:tc>
          <w:tcPr>
            <w:tcW w:w="0" w:type="auto"/>
            <w:shd w:val="clear" w:color="auto" w:fill="CCEEFF"/>
            <w:vAlign w:val="center"/>
            <w:hideMark/>
          </w:tcPr>
          <w:p w:rsidR="000167F6" w:rsidRDefault="00DF66D7">
            <w:pPr>
              <w:rPr>
                <w:rFonts w:eastAsia="Times New Roman"/>
              </w:rPr>
            </w:pPr>
            <w:r>
              <w:rPr>
                <w:rFonts w:eastAsia="Times New Roman"/>
                <w:sz w:val="20"/>
                <w:szCs w:val="20"/>
              </w:rPr>
              <w:t>Notes to the Consolidated Financial Statements</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5</w:t>
            </w:r>
          </w:p>
        </w:tc>
      </w:tr>
      <w:tr w:rsidR="000167F6">
        <w:trPr>
          <w:tblCellSpacing w:w="0" w:type="dxa"/>
          <w:jc w:val="center"/>
        </w:trPr>
        <w:tc>
          <w:tcPr>
            <w:tcW w:w="0" w:type="auto"/>
            <w:shd w:val="clear" w:color="auto" w:fill="FFFFFF"/>
            <w:vAlign w:val="center"/>
            <w:hideMark/>
          </w:tcPr>
          <w:p w:rsidR="000167F6" w:rsidRDefault="000167F6">
            <w:pPr>
              <w:jc w:val="right"/>
              <w:rPr>
                <w:rFonts w:eastAsia="Times New Roman"/>
              </w:rPr>
            </w:pPr>
          </w:p>
        </w:tc>
        <w:tc>
          <w:tcPr>
            <w:tcW w:w="0" w:type="auto"/>
            <w:shd w:val="clear" w:color="auto" w:fill="FFFFFF"/>
            <w:vAlign w:val="center"/>
            <w:hideMark/>
          </w:tcPr>
          <w:p w:rsidR="000167F6" w:rsidRDefault="000167F6">
            <w:pPr>
              <w:rPr>
                <w:rFonts w:eastAsia="Times New Roman"/>
                <w:sz w:val="20"/>
                <w:szCs w:val="20"/>
              </w:rPr>
            </w:pPr>
          </w:p>
        </w:tc>
        <w:tc>
          <w:tcPr>
            <w:tcW w:w="0" w:type="auto"/>
            <w:shd w:val="clear" w:color="auto" w:fill="FFFFFF"/>
            <w:vAlign w:val="center"/>
            <w:hideMark/>
          </w:tcPr>
          <w:p w:rsidR="000167F6" w:rsidRDefault="000167F6">
            <w:pPr>
              <w:jc w:val="right"/>
              <w:rPr>
                <w:rFonts w:eastAsia="Times New Roman"/>
                <w:sz w:val="20"/>
                <w:szCs w:val="20"/>
              </w:rPr>
            </w:pPr>
          </w:p>
        </w:tc>
        <w:tc>
          <w:tcPr>
            <w:tcW w:w="0" w:type="auto"/>
            <w:shd w:val="clear" w:color="auto" w:fill="FFFFFF"/>
            <w:vAlign w:val="center"/>
            <w:hideMark/>
          </w:tcPr>
          <w:p w:rsidR="000167F6" w:rsidRDefault="000167F6">
            <w:pPr>
              <w:rPr>
                <w:rFonts w:eastAsia="Times New Roman"/>
                <w:sz w:val="20"/>
                <w:szCs w:val="20"/>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6</w:t>
            </w:r>
          </w:p>
        </w:tc>
      </w:tr>
      <w:tr w:rsidR="000167F6">
        <w:trPr>
          <w:tblCellSpacing w:w="0" w:type="dxa"/>
          <w:jc w:val="center"/>
        </w:trPr>
        <w:tc>
          <w:tcPr>
            <w:tcW w:w="0" w:type="auto"/>
            <w:shd w:val="clear" w:color="auto" w:fill="CCEEFF"/>
            <w:vAlign w:val="center"/>
            <w:hideMark/>
          </w:tcPr>
          <w:p w:rsidR="000167F6" w:rsidRDefault="000167F6">
            <w:pPr>
              <w:jc w:val="right"/>
              <w:rPr>
                <w:rFonts w:eastAsia="Times New Roman"/>
              </w:rPr>
            </w:pPr>
          </w:p>
        </w:tc>
        <w:tc>
          <w:tcPr>
            <w:tcW w:w="0" w:type="auto"/>
            <w:gridSpan w:val="2"/>
            <w:shd w:val="clear" w:color="auto" w:fill="CCEEFF"/>
            <w:vAlign w:val="center"/>
            <w:hideMark/>
          </w:tcPr>
          <w:p w:rsidR="000167F6" w:rsidRDefault="00DF66D7">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11</w:t>
            </w:r>
          </w:p>
        </w:tc>
      </w:tr>
      <w:tr w:rsidR="000167F6">
        <w:trPr>
          <w:tblCellSpacing w:w="0" w:type="dxa"/>
          <w:jc w:val="center"/>
        </w:trPr>
        <w:tc>
          <w:tcPr>
            <w:tcW w:w="0" w:type="auto"/>
            <w:shd w:val="clear" w:color="auto" w:fill="FFFFFF"/>
            <w:vAlign w:val="center"/>
            <w:hideMark/>
          </w:tcPr>
          <w:p w:rsidR="000167F6" w:rsidRDefault="000167F6">
            <w:pPr>
              <w:jc w:val="right"/>
              <w:rPr>
                <w:rFonts w:eastAsia="Times New Roman"/>
              </w:rPr>
            </w:pPr>
          </w:p>
        </w:tc>
        <w:tc>
          <w:tcPr>
            <w:tcW w:w="0" w:type="auto"/>
            <w:gridSpan w:val="2"/>
            <w:shd w:val="clear" w:color="auto" w:fill="FFFFFF"/>
            <w:vAlign w:val="center"/>
            <w:hideMark/>
          </w:tcPr>
          <w:p w:rsidR="000167F6" w:rsidRDefault="00DF66D7">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16</w:t>
            </w:r>
          </w:p>
        </w:tc>
      </w:tr>
      <w:tr w:rsidR="000167F6">
        <w:trPr>
          <w:tblCellSpacing w:w="0" w:type="dxa"/>
          <w:jc w:val="center"/>
        </w:trPr>
        <w:tc>
          <w:tcPr>
            <w:tcW w:w="0" w:type="auto"/>
            <w:shd w:val="clear" w:color="auto" w:fill="CCEEFF"/>
            <w:vAlign w:val="center"/>
            <w:hideMark/>
          </w:tcPr>
          <w:p w:rsidR="000167F6" w:rsidRDefault="000167F6">
            <w:pPr>
              <w:jc w:val="right"/>
              <w:rPr>
                <w:rFonts w:eastAsia="Times New Roman"/>
              </w:rPr>
            </w:pPr>
          </w:p>
        </w:tc>
        <w:tc>
          <w:tcPr>
            <w:tcW w:w="0" w:type="auto"/>
            <w:gridSpan w:val="2"/>
            <w:shd w:val="clear" w:color="auto" w:fill="CCEEFF"/>
            <w:vAlign w:val="center"/>
            <w:hideMark/>
          </w:tcPr>
          <w:p w:rsidR="000167F6" w:rsidRDefault="00DF66D7">
            <w:pPr>
              <w:rPr>
                <w:rFonts w:eastAsia="Times New Roman"/>
              </w:rPr>
            </w:pPr>
            <w:r>
              <w:rPr>
                <w:rFonts w:eastAsia="Times New Roman"/>
                <w:sz w:val="20"/>
                <w:szCs w:val="20"/>
              </w:rPr>
              <w:t>Item 4: Controls and Procedures</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16</w:t>
            </w:r>
          </w:p>
        </w:tc>
      </w:tr>
      <w:tr w:rsidR="000167F6">
        <w:trPr>
          <w:tblCellSpacing w:w="0" w:type="dxa"/>
          <w:jc w:val="center"/>
        </w:trPr>
        <w:tc>
          <w:tcPr>
            <w:tcW w:w="0" w:type="auto"/>
            <w:gridSpan w:val="3"/>
            <w:shd w:val="clear" w:color="auto" w:fill="FFFFFF"/>
            <w:vAlign w:val="center"/>
            <w:hideMark/>
          </w:tcPr>
          <w:p w:rsidR="000167F6" w:rsidRDefault="00DF66D7">
            <w:pPr>
              <w:rPr>
                <w:rFonts w:eastAsia="Times New Roman"/>
              </w:rPr>
            </w:pPr>
            <w:r>
              <w:rPr>
                <w:rFonts w:eastAsia="Times New Roman"/>
                <w:sz w:val="20"/>
                <w:szCs w:val="20"/>
              </w:rPr>
              <w:t>PART II</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vAlign w:val="center"/>
            <w:hideMark/>
          </w:tcPr>
          <w:p w:rsidR="000167F6" w:rsidRDefault="000167F6">
            <w:pPr>
              <w:rPr>
                <w:rFonts w:eastAsia="Times New Roman"/>
                <w:sz w:val="20"/>
                <w:szCs w:val="20"/>
              </w:rPr>
            </w:pPr>
          </w:p>
        </w:tc>
        <w:tc>
          <w:tcPr>
            <w:tcW w:w="0" w:type="auto"/>
            <w:gridSpan w:val="2"/>
            <w:shd w:val="clear" w:color="auto" w:fill="CCEEFF"/>
            <w:vAlign w:val="center"/>
            <w:hideMark/>
          </w:tcPr>
          <w:p w:rsidR="000167F6" w:rsidRDefault="00DF66D7">
            <w:pPr>
              <w:rPr>
                <w:rFonts w:eastAsia="Times New Roman"/>
              </w:rPr>
            </w:pPr>
            <w:r>
              <w:rPr>
                <w:rFonts w:eastAsia="Times New Roman"/>
                <w:sz w:val="20"/>
                <w:szCs w:val="20"/>
              </w:rPr>
              <w:t xml:space="preserve">Item 1: Legal Proceedings </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18</w:t>
            </w:r>
          </w:p>
        </w:tc>
      </w:tr>
      <w:tr w:rsidR="000167F6">
        <w:trPr>
          <w:tblCellSpacing w:w="0" w:type="dxa"/>
          <w:jc w:val="center"/>
        </w:trPr>
        <w:tc>
          <w:tcPr>
            <w:tcW w:w="0" w:type="auto"/>
            <w:shd w:val="clear" w:color="auto" w:fill="FFFFFF"/>
            <w:vAlign w:val="center"/>
            <w:hideMark/>
          </w:tcPr>
          <w:p w:rsidR="000167F6" w:rsidRDefault="000167F6">
            <w:pPr>
              <w:jc w:val="right"/>
              <w:rPr>
                <w:rFonts w:eastAsia="Times New Roman"/>
              </w:rPr>
            </w:pPr>
          </w:p>
        </w:tc>
        <w:tc>
          <w:tcPr>
            <w:tcW w:w="0" w:type="auto"/>
            <w:gridSpan w:val="2"/>
            <w:shd w:val="clear" w:color="auto" w:fill="FFFFFF"/>
            <w:vAlign w:val="center"/>
            <w:hideMark/>
          </w:tcPr>
          <w:p w:rsidR="000167F6" w:rsidRDefault="00DF66D7">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18</w:t>
            </w:r>
          </w:p>
        </w:tc>
      </w:tr>
      <w:tr w:rsidR="000167F6">
        <w:trPr>
          <w:tblCellSpacing w:w="0" w:type="dxa"/>
          <w:jc w:val="center"/>
        </w:trPr>
        <w:tc>
          <w:tcPr>
            <w:tcW w:w="0" w:type="auto"/>
            <w:shd w:val="clear" w:color="auto" w:fill="CCEEFF"/>
            <w:vAlign w:val="center"/>
            <w:hideMark/>
          </w:tcPr>
          <w:p w:rsidR="000167F6" w:rsidRDefault="000167F6">
            <w:pPr>
              <w:jc w:val="right"/>
              <w:rPr>
                <w:rFonts w:eastAsia="Times New Roman"/>
              </w:rPr>
            </w:pPr>
          </w:p>
        </w:tc>
        <w:tc>
          <w:tcPr>
            <w:tcW w:w="0" w:type="auto"/>
            <w:gridSpan w:val="2"/>
            <w:shd w:val="clear" w:color="auto" w:fill="CCEEFF"/>
            <w:vAlign w:val="center"/>
            <w:hideMark/>
          </w:tcPr>
          <w:p w:rsidR="000167F6" w:rsidRDefault="00DF66D7">
            <w:pPr>
              <w:rPr>
                <w:rFonts w:eastAsia="Times New Roman"/>
              </w:rPr>
            </w:pPr>
            <w:r>
              <w:rPr>
                <w:rFonts w:eastAsia="Times New Roman"/>
                <w:sz w:val="20"/>
                <w:szCs w:val="20"/>
              </w:rPr>
              <w:t>Item 3: Defaults Upon Senior Securities</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18</w:t>
            </w:r>
          </w:p>
        </w:tc>
      </w:tr>
      <w:tr w:rsidR="000167F6">
        <w:trPr>
          <w:tblCellSpacing w:w="0" w:type="dxa"/>
          <w:jc w:val="center"/>
        </w:trPr>
        <w:tc>
          <w:tcPr>
            <w:tcW w:w="0" w:type="auto"/>
            <w:shd w:val="clear" w:color="auto" w:fill="FFFFFF"/>
            <w:vAlign w:val="center"/>
            <w:hideMark/>
          </w:tcPr>
          <w:p w:rsidR="000167F6" w:rsidRDefault="000167F6">
            <w:pPr>
              <w:jc w:val="right"/>
              <w:rPr>
                <w:rFonts w:eastAsia="Times New Roman"/>
              </w:rPr>
            </w:pPr>
          </w:p>
        </w:tc>
        <w:tc>
          <w:tcPr>
            <w:tcW w:w="0" w:type="auto"/>
            <w:gridSpan w:val="2"/>
            <w:shd w:val="clear" w:color="auto" w:fill="FFFFFF"/>
            <w:vAlign w:val="center"/>
            <w:hideMark/>
          </w:tcPr>
          <w:p w:rsidR="000167F6" w:rsidRDefault="00DF66D7">
            <w:pPr>
              <w:rPr>
                <w:rFonts w:eastAsia="Times New Roman"/>
              </w:rPr>
            </w:pPr>
            <w:r>
              <w:rPr>
                <w:rFonts w:eastAsia="Times New Roman"/>
                <w:sz w:val="20"/>
                <w:szCs w:val="20"/>
              </w:rPr>
              <w:t>Item 4: Mine Safety Disclosures</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18</w:t>
            </w:r>
          </w:p>
        </w:tc>
      </w:tr>
      <w:tr w:rsidR="000167F6">
        <w:trPr>
          <w:tblCellSpacing w:w="0" w:type="dxa"/>
          <w:jc w:val="center"/>
        </w:trPr>
        <w:tc>
          <w:tcPr>
            <w:tcW w:w="0" w:type="auto"/>
            <w:shd w:val="clear" w:color="auto" w:fill="CCEEFF"/>
            <w:vAlign w:val="center"/>
            <w:hideMark/>
          </w:tcPr>
          <w:p w:rsidR="000167F6" w:rsidRDefault="000167F6">
            <w:pPr>
              <w:jc w:val="right"/>
              <w:rPr>
                <w:rFonts w:eastAsia="Times New Roman"/>
              </w:rPr>
            </w:pPr>
          </w:p>
        </w:tc>
        <w:tc>
          <w:tcPr>
            <w:tcW w:w="0" w:type="auto"/>
            <w:gridSpan w:val="2"/>
            <w:shd w:val="clear" w:color="auto" w:fill="CCEEFF"/>
            <w:vAlign w:val="center"/>
            <w:hideMark/>
          </w:tcPr>
          <w:p w:rsidR="000167F6" w:rsidRDefault="00DF66D7">
            <w:pPr>
              <w:rPr>
                <w:rFonts w:eastAsia="Times New Roman"/>
              </w:rPr>
            </w:pPr>
            <w:r>
              <w:rPr>
                <w:rFonts w:eastAsia="Times New Roman"/>
                <w:sz w:val="20"/>
                <w:szCs w:val="20"/>
              </w:rPr>
              <w:t xml:space="preserve">Item 5: Other Information </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18</w:t>
            </w:r>
          </w:p>
        </w:tc>
      </w:tr>
      <w:tr w:rsidR="000167F6">
        <w:trPr>
          <w:tblCellSpacing w:w="0" w:type="dxa"/>
          <w:jc w:val="center"/>
        </w:trPr>
        <w:tc>
          <w:tcPr>
            <w:tcW w:w="0" w:type="auto"/>
            <w:shd w:val="clear" w:color="auto" w:fill="FFFFFF"/>
            <w:vAlign w:val="center"/>
            <w:hideMark/>
          </w:tcPr>
          <w:p w:rsidR="000167F6" w:rsidRDefault="000167F6">
            <w:pPr>
              <w:jc w:val="right"/>
              <w:rPr>
                <w:rFonts w:eastAsia="Times New Roman"/>
              </w:rPr>
            </w:pPr>
          </w:p>
        </w:tc>
        <w:tc>
          <w:tcPr>
            <w:tcW w:w="0" w:type="auto"/>
            <w:gridSpan w:val="2"/>
            <w:shd w:val="clear" w:color="auto" w:fill="FFFFFF"/>
            <w:vAlign w:val="center"/>
            <w:hideMark/>
          </w:tcPr>
          <w:p w:rsidR="000167F6" w:rsidRDefault="00DF66D7">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18</w:t>
            </w:r>
          </w:p>
        </w:tc>
      </w:tr>
      <w:tr w:rsidR="000167F6">
        <w:trPr>
          <w:tblCellSpacing w:w="0" w:type="dxa"/>
          <w:jc w:val="center"/>
        </w:trPr>
        <w:tc>
          <w:tcPr>
            <w:tcW w:w="0" w:type="auto"/>
            <w:gridSpan w:val="3"/>
            <w:shd w:val="clear" w:color="auto" w:fill="CCEEFF"/>
            <w:vAlign w:val="center"/>
            <w:hideMark/>
          </w:tcPr>
          <w:p w:rsidR="000167F6" w:rsidRDefault="00DF66D7">
            <w:pPr>
              <w:rPr>
                <w:rFonts w:eastAsia="Times New Roman"/>
              </w:rPr>
            </w:pPr>
            <w:r>
              <w:rPr>
                <w:rFonts w:eastAsia="Times New Roman"/>
                <w:sz w:val="20"/>
                <w:szCs w:val="20"/>
              </w:rPr>
              <w:t>Signature</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19</w:t>
            </w:r>
          </w:p>
        </w:tc>
      </w:tr>
      <w:tr w:rsidR="000167F6">
        <w:trPr>
          <w:tblCellSpacing w:w="0" w:type="dxa"/>
          <w:jc w:val="center"/>
        </w:trPr>
        <w:tc>
          <w:tcPr>
            <w:tcW w:w="0" w:type="auto"/>
            <w:gridSpan w:val="3"/>
            <w:shd w:val="clear" w:color="auto" w:fill="FFFFFF"/>
            <w:vAlign w:val="center"/>
            <w:hideMark/>
          </w:tcPr>
          <w:p w:rsidR="000167F6" w:rsidRDefault="00DF66D7">
            <w:pPr>
              <w:rPr>
                <w:rFonts w:eastAsia="Times New Roman"/>
              </w:rPr>
            </w:pPr>
            <w:r>
              <w:rPr>
                <w:rFonts w:eastAsia="Times New Roman"/>
                <w:sz w:val="20"/>
                <w:szCs w:val="20"/>
              </w:rPr>
              <w:t>EXHIBIT 31.1, 31.2 Certifications of Officers</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EX 31</w:t>
            </w:r>
          </w:p>
        </w:tc>
      </w:tr>
      <w:tr w:rsidR="000167F6">
        <w:trPr>
          <w:tblCellSpacing w:w="0" w:type="dxa"/>
          <w:jc w:val="center"/>
        </w:trPr>
        <w:tc>
          <w:tcPr>
            <w:tcW w:w="0" w:type="auto"/>
            <w:gridSpan w:val="3"/>
            <w:shd w:val="clear" w:color="auto" w:fill="CCEEFF"/>
            <w:vAlign w:val="center"/>
            <w:hideMark/>
          </w:tcPr>
          <w:p w:rsidR="000167F6" w:rsidRDefault="00DF66D7">
            <w:pPr>
              <w:rPr>
                <w:rFonts w:eastAsia="Times New Roman"/>
              </w:rPr>
            </w:pPr>
            <w:r>
              <w:rPr>
                <w:rFonts w:eastAsia="Times New Roman"/>
                <w:sz w:val="20"/>
                <w:szCs w:val="20"/>
              </w:rPr>
              <w:t>EXHIBIT 32.1, 32.2 Certifications of Officers</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EX 32</w:t>
            </w:r>
          </w:p>
        </w:tc>
      </w:tr>
      <w:tr w:rsidR="000167F6">
        <w:trPr>
          <w:tblCellSpacing w:w="0" w:type="dxa"/>
          <w:jc w:val="center"/>
        </w:trPr>
        <w:tc>
          <w:tcPr>
            <w:tcW w:w="0" w:type="auto"/>
            <w:gridSpan w:val="3"/>
            <w:shd w:val="clear" w:color="auto" w:fill="FFFFFF"/>
            <w:vAlign w:val="center"/>
            <w:hideMark/>
          </w:tcPr>
          <w:p w:rsidR="000167F6" w:rsidRDefault="00DF66D7">
            <w:pPr>
              <w:rPr>
                <w:rFonts w:eastAsia="Times New Roman"/>
              </w:rPr>
            </w:pPr>
            <w:r>
              <w:rPr>
                <w:rFonts w:eastAsia="Times New Roman"/>
                <w:sz w:val="20"/>
                <w:szCs w:val="20"/>
              </w:rPr>
              <w:t>EXHIBIT 101.INS XBRL Instance</w:t>
            </w:r>
          </w:p>
        </w:tc>
        <w:tc>
          <w:tcPr>
            <w:tcW w:w="0" w:type="auto"/>
            <w:shd w:val="clear" w:color="auto" w:fill="FFFFFF"/>
            <w:vAlign w:val="center"/>
            <w:hideMark/>
          </w:tcPr>
          <w:p w:rsidR="000167F6" w:rsidRDefault="00DF66D7">
            <w:pPr>
              <w:jc w:val="right"/>
              <w:rPr>
                <w:rFonts w:eastAsia="Times New Roman"/>
              </w:rPr>
            </w:pPr>
            <w:r>
              <w:rPr>
                <w:rFonts w:eastAsia="Times New Roman"/>
              </w:rPr>
              <w:t> </w:t>
            </w: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EX 101.INS</w:t>
            </w:r>
          </w:p>
        </w:tc>
      </w:tr>
      <w:tr w:rsidR="000167F6">
        <w:trPr>
          <w:tblCellSpacing w:w="0" w:type="dxa"/>
          <w:jc w:val="center"/>
        </w:trPr>
        <w:tc>
          <w:tcPr>
            <w:tcW w:w="0" w:type="auto"/>
            <w:gridSpan w:val="3"/>
            <w:shd w:val="clear" w:color="auto" w:fill="CCEEFF"/>
            <w:vAlign w:val="center"/>
            <w:hideMark/>
          </w:tcPr>
          <w:p w:rsidR="000167F6" w:rsidRDefault="00DF66D7">
            <w:pPr>
              <w:rPr>
                <w:rFonts w:eastAsia="Times New Roman"/>
              </w:rPr>
            </w:pPr>
            <w:r>
              <w:rPr>
                <w:rFonts w:eastAsia="Times New Roman"/>
                <w:sz w:val="20"/>
                <w:szCs w:val="20"/>
              </w:rPr>
              <w:t>EXHIBIT 101.SCH XBRL Taxonomy Extension Schema Document</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EX 101.SCH</w:t>
            </w:r>
          </w:p>
        </w:tc>
      </w:tr>
      <w:tr w:rsidR="000167F6">
        <w:trPr>
          <w:tblCellSpacing w:w="0" w:type="dxa"/>
          <w:jc w:val="center"/>
        </w:trPr>
        <w:tc>
          <w:tcPr>
            <w:tcW w:w="0" w:type="auto"/>
            <w:gridSpan w:val="3"/>
            <w:shd w:val="clear" w:color="auto" w:fill="FFFFFF"/>
            <w:vAlign w:val="center"/>
            <w:hideMark/>
          </w:tcPr>
          <w:p w:rsidR="000167F6" w:rsidRDefault="00DF66D7">
            <w:pPr>
              <w:rPr>
                <w:rFonts w:eastAsia="Times New Roman"/>
              </w:rPr>
            </w:pPr>
            <w:r>
              <w:rPr>
                <w:rFonts w:eastAsia="Times New Roman"/>
                <w:sz w:val="20"/>
                <w:szCs w:val="20"/>
              </w:rPr>
              <w:t>EXHIBIT 101.CAL XBRL Taxonomy Extension Calculation Document</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EX 101.CAL</w:t>
            </w:r>
          </w:p>
        </w:tc>
      </w:tr>
      <w:tr w:rsidR="000167F6">
        <w:trPr>
          <w:tblCellSpacing w:w="0" w:type="dxa"/>
          <w:jc w:val="center"/>
        </w:trPr>
        <w:tc>
          <w:tcPr>
            <w:tcW w:w="0" w:type="auto"/>
            <w:gridSpan w:val="3"/>
            <w:shd w:val="clear" w:color="auto" w:fill="CCEEFF"/>
            <w:vAlign w:val="center"/>
            <w:hideMark/>
          </w:tcPr>
          <w:p w:rsidR="000167F6" w:rsidRDefault="00DF66D7">
            <w:pPr>
              <w:rPr>
                <w:rFonts w:eastAsia="Times New Roman"/>
              </w:rPr>
            </w:pPr>
            <w:r>
              <w:rPr>
                <w:rFonts w:eastAsia="Times New Roman"/>
                <w:sz w:val="20"/>
                <w:szCs w:val="20"/>
              </w:rPr>
              <w:t>EXHIBIT 101.DEF XBRL Taxonomy Extension Definition Document</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EX 101.DEF</w:t>
            </w:r>
          </w:p>
        </w:tc>
      </w:tr>
      <w:tr w:rsidR="000167F6">
        <w:trPr>
          <w:tblCellSpacing w:w="0" w:type="dxa"/>
          <w:jc w:val="center"/>
        </w:trPr>
        <w:tc>
          <w:tcPr>
            <w:tcW w:w="0" w:type="auto"/>
            <w:gridSpan w:val="3"/>
            <w:shd w:val="clear" w:color="auto" w:fill="FFFFFF"/>
            <w:vAlign w:val="center"/>
            <w:hideMark/>
          </w:tcPr>
          <w:p w:rsidR="000167F6" w:rsidRDefault="00DF66D7">
            <w:pPr>
              <w:rPr>
                <w:rFonts w:eastAsia="Times New Roman"/>
              </w:rPr>
            </w:pPr>
            <w:r>
              <w:rPr>
                <w:rFonts w:eastAsia="Times New Roman"/>
                <w:sz w:val="20"/>
                <w:szCs w:val="20"/>
              </w:rPr>
              <w:t>EXHIBIT 101.LAB XBRL Taxonomy Extension Labels Document</w:t>
            </w:r>
          </w:p>
        </w:tc>
        <w:tc>
          <w:tcPr>
            <w:tcW w:w="0" w:type="auto"/>
            <w:shd w:val="clear" w:color="auto" w:fill="FFFFFF"/>
            <w:vAlign w:val="center"/>
            <w:hideMark/>
          </w:tcPr>
          <w:p w:rsidR="000167F6" w:rsidRDefault="000167F6">
            <w:pPr>
              <w:rPr>
                <w:rFonts w:eastAsia="Times New Roman"/>
              </w:rPr>
            </w:pPr>
          </w:p>
        </w:tc>
        <w:tc>
          <w:tcPr>
            <w:tcW w:w="0" w:type="auto"/>
            <w:shd w:val="clear" w:color="auto" w:fill="FFFFFF"/>
            <w:vAlign w:val="center"/>
            <w:hideMark/>
          </w:tcPr>
          <w:p w:rsidR="000167F6" w:rsidRDefault="00DF66D7">
            <w:pPr>
              <w:jc w:val="right"/>
              <w:rPr>
                <w:rFonts w:eastAsia="Times New Roman"/>
              </w:rPr>
            </w:pPr>
            <w:r>
              <w:rPr>
                <w:rFonts w:eastAsia="Times New Roman"/>
                <w:sz w:val="20"/>
                <w:szCs w:val="20"/>
              </w:rPr>
              <w:t>EX 101.LAB</w:t>
            </w:r>
          </w:p>
        </w:tc>
      </w:tr>
      <w:tr w:rsidR="000167F6">
        <w:trPr>
          <w:tblCellSpacing w:w="0" w:type="dxa"/>
          <w:jc w:val="center"/>
        </w:trPr>
        <w:tc>
          <w:tcPr>
            <w:tcW w:w="0" w:type="auto"/>
            <w:gridSpan w:val="3"/>
            <w:shd w:val="clear" w:color="auto" w:fill="CCEEFF"/>
            <w:vAlign w:val="center"/>
            <w:hideMark/>
          </w:tcPr>
          <w:p w:rsidR="000167F6" w:rsidRDefault="00DF66D7">
            <w:pPr>
              <w:rPr>
                <w:rFonts w:eastAsia="Times New Roman"/>
              </w:rPr>
            </w:pPr>
            <w:r>
              <w:rPr>
                <w:rFonts w:eastAsia="Times New Roman"/>
                <w:sz w:val="20"/>
                <w:szCs w:val="20"/>
              </w:rPr>
              <w:t>EXHIBIT 101.PRE XBRL Taxonomy Extension Presentation Document</w:t>
            </w:r>
          </w:p>
        </w:tc>
        <w:tc>
          <w:tcPr>
            <w:tcW w:w="0" w:type="auto"/>
            <w:shd w:val="clear" w:color="auto" w:fill="CCEEFF"/>
            <w:vAlign w:val="center"/>
            <w:hideMark/>
          </w:tcPr>
          <w:p w:rsidR="000167F6" w:rsidRDefault="000167F6">
            <w:pPr>
              <w:rPr>
                <w:rFonts w:eastAsia="Times New Roman"/>
              </w:rPr>
            </w:pPr>
          </w:p>
        </w:tc>
        <w:tc>
          <w:tcPr>
            <w:tcW w:w="0" w:type="auto"/>
            <w:shd w:val="clear" w:color="auto" w:fill="CCEEFF"/>
            <w:vAlign w:val="center"/>
            <w:hideMark/>
          </w:tcPr>
          <w:p w:rsidR="000167F6" w:rsidRDefault="00DF66D7">
            <w:pPr>
              <w:jc w:val="right"/>
              <w:rPr>
                <w:rFonts w:eastAsia="Times New Roman"/>
              </w:rPr>
            </w:pPr>
            <w:r>
              <w:rPr>
                <w:rFonts w:eastAsia="Times New Roman"/>
                <w:sz w:val="20"/>
                <w:szCs w:val="20"/>
              </w:rPr>
              <w:t>EX 101.PRE</w:t>
            </w:r>
          </w:p>
        </w:tc>
      </w:tr>
    </w:tbl>
    <w:p w:rsidR="000167F6" w:rsidRDefault="000B52F0">
      <w:pPr>
        <w:rPr>
          <w:rFonts w:eastAsia="Times New Roman"/>
        </w:rPr>
      </w:pPr>
      <w:r>
        <w:rPr>
          <w:rFonts w:eastAsia="Times New Roman"/>
        </w:rPr>
        <w:pict>
          <v:rect id="_x0000_i1025" style="width:0;height:2pt" o:hralign="center" o:hrstd="t" o:hrnoshade="t" o:hr="t" fillcolor="black" stroked="f"/>
        </w:pict>
      </w:r>
    </w:p>
    <w:p w:rsidR="00156AAF" w:rsidRDefault="00156AAF">
      <w:pPr>
        <w:rPr>
          <w:b/>
          <w:bCs/>
          <w:sz w:val="20"/>
          <w:szCs w:val="20"/>
        </w:rPr>
      </w:pPr>
      <w:r>
        <w:rPr>
          <w:b/>
          <w:bCs/>
          <w:sz w:val="20"/>
          <w:szCs w:val="20"/>
        </w:rPr>
        <w:br w:type="page"/>
      </w:r>
    </w:p>
    <w:p w:rsidR="000167F6" w:rsidRDefault="00DF66D7">
      <w:pPr>
        <w:pStyle w:val="NormalWeb"/>
      </w:pPr>
      <w:r>
        <w:rPr>
          <w:b/>
          <w:bCs/>
          <w:sz w:val="20"/>
          <w:szCs w:val="20"/>
        </w:rPr>
        <w:lastRenderedPageBreak/>
        <w:t xml:space="preserve">PART 1: FINANCIAL INFORMATION </w:t>
      </w:r>
    </w:p>
    <w:p w:rsidR="000167F6" w:rsidRDefault="00DF66D7">
      <w:pPr>
        <w:divId w:val="1413504472"/>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Consolidated Financial Statements for the six months ending December 31, 2016 (unaudited).</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167F6">
        <w:trPr>
          <w:divId w:val="1413504472"/>
          <w:tblCellSpacing w:w="0" w:type="dxa"/>
        </w:trPr>
        <w:tc>
          <w:tcPr>
            <w:tcW w:w="0" w:type="auto"/>
            <w:gridSpan w:val="9"/>
            <w:hideMark/>
          </w:tcPr>
          <w:p w:rsidR="000167F6" w:rsidRDefault="00DF66D7">
            <w:pPr>
              <w:pStyle w:val="NormalWeb"/>
              <w:spacing w:before="0" w:beforeAutospacing="0" w:after="0" w:afterAutospacing="0"/>
              <w:jc w:val="center"/>
              <w:rPr>
                <w:sz w:val="20"/>
                <w:szCs w:val="20"/>
              </w:rPr>
            </w:pPr>
            <w:r>
              <w:rPr>
                <w:b/>
                <w:bCs/>
                <w:sz w:val="20"/>
                <w:szCs w:val="20"/>
              </w:rPr>
              <w:br/>
              <w:t>ADVANCED OXYGEN TECHNOLOGIES, INC.</w:t>
            </w:r>
            <w:r>
              <w:rPr>
                <w:b/>
                <w:bCs/>
                <w:sz w:val="20"/>
                <w:szCs w:val="20"/>
              </w:rPr>
              <w:br/>
              <w:t>AND SUBSIDIARY</w:t>
            </w:r>
            <w:r>
              <w:rPr>
                <w:b/>
                <w:bCs/>
                <w:sz w:val="20"/>
                <w:szCs w:val="20"/>
              </w:rPr>
              <w:br/>
              <w:t>CONDENSED CONSOLIDATED BALANCE SHEETS</w:t>
            </w:r>
          </w:p>
        </w:tc>
      </w:tr>
      <w:tr w:rsidR="000167F6">
        <w:trPr>
          <w:divId w:val="1413504472"/>
          <w:trHeight w:val="150"/>
          <w:tblCellSpacing w:w="0" w:type="dxa"/>
        </w:trPr>
        <w:tc>
          <w:tcPr>
            <w:tcW w:w="0" w:type="auto"/>
            <w:gridSpan w:val="9"/>
            <w:vAlign w:val="center"/>
            <w:hideMark/>
          </w:tcPr>
          <w:p w:rsidR="000167F6" w:rsidRDefault="00DF66D7">
            <w:pPr>
              <w:pStyle w:val="NormalWeb"/>
              <w:spacing w:before="0" w:beforeAutospacing="0" w:after="0" w:afterAutospacing="0"/>
              <w:jc w:val="both"/>
              <w:rPr>
                <w:sz w:val="20"/>
                <w:szCs w:val="20"/>
              </w:rPr>
            </w:pPr>
            <w:r>
              <w:rPr>
                <w:sz w:val="20"/>
                <w:szCs w:val="20"/>
              </w:rPr>
              <w:t>  </w:t>
            </w:r>
          </w:p>
        </w:tc>
      </w:tr>
      <w:tr w:rsidR="000167F6" w:rsidTr="007752D0">
        <w:trPr>
          <w:divId w:val="1413504472"/>
          <w:tblCellSpacing w:w="0" w:type="dxa"/>
        </w:trPr>
        <w:tc>
          <w:tcPr>
            <w:tcW w:w="0" w:type="auto"/>
            <w:vAlign w:val="bottom"/>
            <w:hideMark/>
          </w:tcPr>
          <w:p w:rsidR="000167F6" w:rsidRDefault="000167F6">
            <w:pPr>
              <w:rPr>
                <w:sz w:val="20"/>
                <w:szCs w:val="20"/>
              </w:rPr>
            </w:pP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December 31,</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June 30,</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rHeight w:val="150"/>
          <w:tblCellSpacing w:w="0" w:type="dxa"/>
        </w:trPr>
        <w:tc>
          <w:tcPr>
            <w:tcW w:w="0" w:type="auto"/>
            <w:vAlign w:val="center"/>
            <w:hideMark/>
          </w:tcPr>
          <w:p w:rsidR="000167F6" w:rsidRDefault="00DF66D7">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167F6" w:rsidRDefault="00DF66D7">
            <w:pPr>
              <w:pStyle w:val="NormalWeb"/>
              <w:spacing w:before="0" w:beforeAutospacing="0" w:after="0" w:afterAutospacing="0"/>
              <w:jc w:val="center"/>
              <w:rPr>
                <w:sz w:val="20"/>
                <w:szCs w:val="20"/>
              </w:rPr>
            </w:pPr>
            <w:r>
              <w:rPr>
                <w:sz w:val="20"/>
                <w:szCs w:val="20"/>
              </w:rPr>
              <w:t> </w:t>
            </w:r>
            <w:r>
              <w:rPr>
                <w:b/>
                <w:bCs/>
                <w:sz w:val="20"/>
                <w:szCs w:val="20"/>
              </w:rPr>
              <w:t>2016 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167F6" w:rsidRDefault="00DF66D7">
            <w:pPr>
              <w:pStyle w:val="NormalWeb"/>
              <w:spacing w:before="0" w:beforeAutospacing="0" w:after="0" w:afterAutospacing="0"/>
              <w:jc w:val="center"/>
              <w:rPr>
                <w:sz w:val="20"/>
                <w:szCs w:val="20"/>
              </w:rPr>
            </w:pPr>
            <w:r>
              <w:rPr>
                <w:sz w:val="20"/>
                <w:szCs w:val="20"/>
              </w:rPr>
              <w:t> </w:t>
            </w:r>
            <w:r>
              <w:rPr>
                <w:b/>
                <w:bCs/>
                <w:sz w:val="20"/>
                <w:szCs w:val="20"/>
              </w:rPr>
              <w:t>2016 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r>
      <w:tr w:rsidR="000167F6" w:rsidTr="007752D0">
        <w:trPr>
          <w:divId w:val="1413504472"/>
          <w:tblCellSpacing w:w="0" w:type="dxa"/>
        </w:trPr>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167F6" w:rsidRDefault="00DF66D7">
            <w:pPr>
              <w:pStyle w:val="NormalWeb"/>
              <w:spacing w:before="0" w:beforeAutospacing="0" w:after="0" w:afterAutospacing="0"/>
              <w:jc w:val="center"/>
              <w:rPr>
                <w:sz w:val="20"/>
                <w:szCs w:val="20"/>
              </w:rPr>
            </w:pPr>
            <w:r>
              <w:rPr>
                <w:b/>
                <w:bCs/>
                <w:sz w:val="20"/>
                <w:szCs w:val="20"/>
              </w:rPr>
              <w:t>(unaudited)</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rsidTr="007752D0">
        <w:trPr>
          <w:divId w:val="1413504472"/>
          <w:tblCellSpacing w:w="0" w:type="dxa"/>
        </w:trPr>
        <w:tc>
          <w:tcPr>
            <w:tcW w:w="0" w:type="auto"/>
            <w:hideMark/>
          </w:tcPr>
          <w:p w:rsidR="000167F6" w:rsidRDefault="00DF66D7">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45,458</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46,170</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1,129</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1,173</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46,587</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47,343</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   Land</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572,917</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595,280</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619,504</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642,623</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rHeight w:val="150"/>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1,296</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2,599</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21,976</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24,028</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Notes Payable, Current Portion</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149,992</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150,887</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92,430</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78,262</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265,694</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255,776</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Notes Payable</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105,590</w:t>
            </w:r>
          </w:p>
        </w:tc>
        <w:tc>
          <w:tcPr>
            <w:tcW w:w="50" w:type="pct"/>
            <w:shd w:val="clear" w:color="auto" w:fill="CCEE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105,590</w:t>
            </w:r>
          </w:p>
        </w:tc>
        <w:tc>
          <w:tcPr>
            <w:tcW w:w="50" w:type="pct"/>
            <w:shd w:val="clear" w:color="auto" w:fill="CCEE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0" w:type="auto"/>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371,284</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378,385</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December 31, 2016 and June 30, 2016</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Convertible preferred stock, Series 3, par value $0.01; authorized, 1,670,000 shares issued and outstanding</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r>
      <w:tr w:rsidR="000167F6">
        <w:trPr>
          <w:divId w:val="1413504472"/>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Convertible preferred stock, Series 5; issued, 1 share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r>
      <w:tr w:rsidR="000167F6">
        <w:trPr>
          <w:divId w:val="1413504472"/>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Common stock, par value $0.01; At December 31, 2016 and June 30, 2016, authorized 60,000,000 shares; issued and outstanding 2,292,945 shares.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Accumulated Other Comprehensive Income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15,446</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27,085</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(20,744,196</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(20,739,817</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r>
      <w:tr w:rsidR="000167F6">
        <w:trPr>
          <w:divId w:val="1413504472"/>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248,220</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264,238</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divId w:val="1413504472"/>
          <w:tblCellSpacing w:w="0" w:type="dxa"/>
        </w:trPr>
        <w:tc>
          <w:tcPr>
            <w:tcW w:w="0" w:type="auto"/>
            <w:shd w:val="clear" w:color="auto" w:fill="CCEEFF"/>
            <w:hideMark/>
          </w:tcPr>
          <w:p w:rsidR="000167F6" w:rsidRDefault="00DF66D7">
            <w:pPr>
              <w:pStyle w:val="NormalWeb"/>
              <w:jc w:val="both"/>
              <w:rPr>
                <w:sz w:val="20"/>
                <w:szCs w:val="20"/>
              </w:rPr>
            </w:pPr>
            <w:r>
              <w:rPr>
                <w:b/>
                <w:bCs/>
                <w:sz w:val="20"/>
                <w:szCs w:val="20"/>
              </w:rPr>
              <w:t>TOTAL LIABILITIES AND STOCKHOLDERS' EQUITY</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b/>
                <w:bCs/>
                <w:sz w:val="20"/>
                <w:szCs w:val="20"/>
              </w:rPr>
              <w:t>619,504</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b/>
                <w:bCs/>
                <w:sz w:val="20"/>
                <w:szCs w:val="20"/>
              </w:rPr>
              <w:t>642,623</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r>
    </w:tbl>
    <w:p w:rsidR="000167F6" w:rsidRDefault="00DF66D7">
      <w:pPr>
        <w:divId w:val="263269057"/>
        <w:rPr>
          <w:rFonts w:eastAsia="Times New Roman"/>
        </w:rPr>
      </w:pPr>
      <w:r>
        <w:rPr>
          <w:rFonts w:eastAsia="Times New Roman"/>
          <w:b/>
          <w:bCs/>
          <w:sz w:val="20"/>
          <w:szCs w:val="20"/>
        </w:rPr>
        <w:t>See accompanying notes to condensed Consolidated Financial Statements.</w:t>
      </w:r>
    </w:p>
    <w:p w:rsidR="007752D0" w:rsidRDefault="007752D0" w:rsidP="007752D0">
      <w:pPr>
        <w:pStyle w:val="NormalWeb"/>
        <w:spacing w:before="0" w:beforeAutospacing="0" w:after="0" w:afterAutospacing="0"/>
        <w:divId w:val="1413504472"/>
      </w:pPr>
    </w:p>
    <w:p w:rsidR="000167F6" w:rsidRDefault="000B52F0" w:rsidP="007752D0">
      <w:pPr>
        <w:pStyle w:val="NormalWeb"/>
        <w:spacing w:before="0" w:beforeAutospacing="0" w:after="0" w:afterAutospacing="0"/>
        <w:divId w:val="1413504472"/>
      </w:pPr>
      <w:hyperlink w:anchor="toc" w:history="1">
        <w:r w:rsidR="00DF66D7">
          <w:rPr>
            <w:rStyle w:val="Hyperlink"/>
            <w:b/>
            <w:bCs/>
            <w:sz w:val="20"/>
            <w:szCs w:val="20"/>
          </w:rPr>
          <w:t>Return to Table of Contents</w:t>
        </w:r>
      </w:hyperlink>
    </w:p>
    <w:p w:rsidR="000167F6" w:rsidRDefault="000B52F0" w:rsidP="007752D0">
      <w:pPr>
        <w:rPr>
          <w:rFonts w:eastAsia="Times New Roman"/>
        </w:rPr>
      </w:pPr>
      <w:r>
        <w:rPr>
          <w:rFonts w:eastAsia="Times New Roman"/>
        </w:rPr>
        <w:pict>
          <v:rect id="_x0000_i1026" style="width:0;height:2pt" o:hralign="center" o:hrstd="t" o:hrnoshade="t" o:hr="t" fillcolor="black" stroked="f"/>
        </w:pict>
      </w:r>
    </w:p>
    <w:tbl>
      <w:tblPr>
        <w:tblW w:w="5000" w:type="pct"/>
        <w:jc w:val="center"/>
        <w:tblCellSpacing w:w="0" w:type="dxa"/>
        <w:tblCellMar>
          <w:left w:w="0" w:type="dxa"/>
          <w:right w:w="0" w:type="dxa"/>
        </w:tblCellMar>
        <w:tblLook w:val="04A0" w:firstRow="1" w:lastRow="0" w:firstColumn="1" w:lastColumn="0" w:noHBand="0" w:noVBand="1"/>
      </w:tblPr>
      <w:tblGrid>
        <w:gridCol w:w="5181"/>
        <w:gridCol w:w="105"/>
        <w:gridCol w:w="105"/>
        <w:gridCol w:w="969"/>
        <w:gridCol w:w="105"/>
        <w:gridCol w:w="105"/>
        <w:gridCol w:w="150"/>
        <w:gridCol w:w="969"/>
        <w:gridCol w:w="105"/>
        <w:gridCol w:w="105"/>
        <w:gridCol w:w="1509"/>
        <w:gridCol w:w="105"/>
        <w:gridCol w:w="105"/>
        <w:gridCol w:w="106"/>
        <w:gridCol w:w="970"/>
        <w:gridCol w:w="106"/>
      </w:tblGrid>
      <w:tr w:rsidR="000167F6">
        <w:trPr>
          <w:tblCellSpacing w:w="0" w:type="dxa"/>
          <w:jc w:val="center"/>
        </w:trPr>
        <w:tc>
          <w:tcPr>
            <w:tcW w:w="0" w:type="auto"/>
            <w:gridSpan w:val="16"/>
            <w:hideMark/>
          </w:tcPr>
          <w:p w:rsidR="000167F6" w:rsidRDefault="00DF66D7">
            <w:pPr>
              <w:pStyle w:val="NormalWeb"/>
              <w:spacing w:before="0" w:beforeAutospacing="0" w:after="0" w:afterAutospacing="0"/>
              <w:jc w:val="center"/>
              <w:rPr>
                <w:sz w:val="20"/>
                <w:szCs w:val="20"/>
              </w:rPr>
            </w:pPr>
            <w:r>
              <w:rPr>
                <w:b/>
                <w:bCs/>
                <w:sz w:val="20"/>
                <w:szCs w:val="20"/>
              </w:rPr>
              <w:lastRenderedPageBreak/>
              <w:t>ADVANCED OXYGEN TECHNOLOGIES, INC.</w:t>
            </w:r>
          </w:p>
          <w:p w:rsidR="000167F6" w:rsidRDefault="00DF66D7">
            <w:pPr>
              <w:pStyle w:val="NormalWeb"/>
              <w:spacing w:before="0" w:beforeAutospacing="0" w:after="0" w:afterAutospacing="0"/>
              <w:jc w:val="center"/>
              <w:rPr>
                <w:sz w:val="20"/>
                <w:szCs w:val="20"/>
              </w:rPr>
            </w:pPr>
            <w:r>
              <w:rPr>
                <w:b/>
                <w:bCs/>
                <w:sz w:val="20"/>
                <w:szCs w:val="20"/>
              </w:rPr>
              <w:t>AND SUBSIDIARY</w:t>
            </w:r>
          </w:p>
          <w:p w:rsidR="000167F6" w:rsidRDefault="00DF66D7">
            <w:pPr>
              <w:pStyle w:val="NormalWeb"/>
              <w:spacing w:before="0" w:beforeAutospacing="0" w:after="0" w:afterAutospacing="0"/>
              <w:jc w:val="center"/>
              <w:rPr>
                <w:sz w:val="20"/>
                <w:szCs w:val="20"/>
              </w:rPr>
            </w:pPr>
            <w:r>
              <w:rPr>
                <w:b/>
                <w:bCs/>
                <w:sz w:val="20"/>
                <w:szCs w:val="20"/>
              </w:rPr>
              <w:t>CONDENSED CONSOLIDATED STATEMENTS OF OPERATIONS AND OTHER COMPREHENSIVE INCOME (LOSS)</w:t>
            </w:r>
          </w:p>
          <w:p w:rsidR="000167F6" w:rsidRDefault="00DF66D7">
            <w:pPr>
              <w:pStyle w:val="NormalWeb"/>
              <w:spacing w:before="0" w:beforeAutospacing="0" w:after="0" w:afterAutospacing="0"/>
              <w:jc w:val="center"/>
              <w:rPr>
                <w:sz w:val="20"/>
                <w:szCs w:val="20"/>
              </w:rPr>
            </w:pPr>
            <w:r>
              <w:rPr>
                <w:b/>
                <w:bCs/>
                <w:sz w:val="20"/>
                <w:szCs w:val="20"/>
              </w:rPr>
              <w:t>(Unaudited)</w:t>
            </w:r>
          </w:p>
        </w:tc>
      </w:tr>
      <w:tr w:rsidR="000167F6">
        <w:trPr>
          <w:trHeight w:val="150"/>
          <w:tblCellSpacing w:w="0" w:type="dxa"/>
          <w:jc w:val="center"/>
        </w:trPr>
        <w:tc>
          <w:tcPr>
            <w:tcW w:w="0" w:type="auto"/>
            <w:gridSpan w:val="16"/>
            <w:vAlign w:val="center"/>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jc w:val="center"/>
        </w:trPr>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 xml:space="preserve">For the Three Months Ended December 31,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For the Six Months Ended December 31,</w:t>
            </w:r>
          </w:p>
        </w:tc>
        <w:tc>
          <w:tcPr>
            <w:tcW w:w="0" w:type="auto"/>
            <w:vAlign w:val="bottom"/>
            <w:hideMark/>
          </w:tcPr>
          <w:p w:rsidR="000167F6" w:rsidRDefault="000167F6">
            <w:pPr>
              <w:rPr>
                <w:sz w:val="20"/>
                <w:szCs w:val="20"/>
              </w:rPr>
            </w:pPr>
          </w:p>
        </w:tc>
      </w:tr>
      <w:tr w:rsidR="000167F6">
        <w:trPr>
          <w:tblCellSpacing w:w="0" w:type="dxa"/>
          <w:jc w:val="center"/>
        </w:trPr>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167F6" w:rsidRDefault="00DF66D7">
            <w:pPr>
              <w:pStyle w:val="NormalWeb"/>
              <w:spacing w:before="0" w:beforeAutospacing="0" w:after="0" w:afterAutospacing="0"/>
              <w:jc w:val="center"/>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2015</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75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167F6" w:rsidRDefault="000167F6">
            <w:pPr>
              <w:rPr>
                <w:sz w:val="20"/>
                <w:szCs w:val="20"/>
              </w:rPr>
            </w:pPr>
          </w:p>
        </w:tc>
        <w:tc>
          <w:tcPr>
            <w:tcW w:w="0" w:type="auto"/>
            <w:vAlign w:val="bottom"/>
            <w:hideMark/>
          </w:tcPr>
          <w:p w:rsidR="000167F6" w:rsidRDefault="000167F6">
            <w:pPr>
              <w:jc w:val="both"/>
              <w:rPr>
                <w:rFonts w:eastAsia="Times New Roman"/>
                <w:sz w:val="20"/>
                <w:szCs w:val="20"/>
              </w:rPr>
            </w:pPr>
          </w:p>
        </w:tc>
        <w:tc>
          <w:tcPr>
            <w:tcW w:w="45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2015</w:t>
            </w:r>
          </w:p>
        </w:tc>
        <w:tc>
          <w:tcPr>
            <w:tcW w:w="0" w:type="auto"/>
            <w:vAlign w:val="bottom"/>
            <w:hideMark/>
          </w:tcPr>
          <w:p w:rsidR="000167F6" w:rsidRDefault="000167F6">
            <w:pPr>
              <w:rPr>
                <w:sz w:val="20"/>
                <w:szCs w:val="20"/>
              </w:rPr>
            </w:pPr>
          </w:p>
        </w:tc>
      </w:tr>
      <w:tr w:rsidR="000167F6">
        <w:trPr>
          <w:tblCellSpacing w:w="0" w:type="dxa"/>
          <w:jc w:val="center"/>
        </w:trPr>
        <w:tc>
          <w:tcPr>
            <w:tcW w:w="0" w:type="auto"/>
            <w:hideMark/>
          </w:tcPr>
          <w:p w:rsidR="000167F6" w:rsidRDefault="000167F6">
            <w:pPr>
              <w:rPr>
                <w:rFonts w:eastAsia="Times New Roman"/>
                <w:sz w:val="20"/>
                <w:szCs w:val="20"/>
              </w:rPr>
            </w:pP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rsidR="000167F6" w:rsidRDefault="000167F6">
            <w:pPr>
              <w:rPr>
                <w:sz w:val="20"/>
                <w:szCs w:val="20"/>
              </w:rPr>
            </w:pPr>
          </w:p>
        </w:tc>
        <w:tc>
          <w:tcPr>
            <w:tcW w:w="50" w:type="pct"/>
            <w:vAlign w:val="bottom"/>
            <w:hideMark/>
          </w:tcPr>
          <w:p w:rsidR="000167F6" w:rsidRDefault="000167F6">
            <w:pPr>
              <w:jc w:val="both"/>
              <w:rPr>
                <w:rFonts w:eastAsia="Times New Roman"/>
                <w:sz w:val="20"/>
                <w:szCs w:val="20"/>
              </w:rPr>
            </w:pPr>
          </w:p>
        </w:tc>
        <w:tc>
          <w:tcPr>
            <w:tcW w:w="50" w:type="pct"/>
            <w:vAlign w:val="bottom"/>
            <w:hideMark/>
          </w:tcPr>
          <w:p w:rsidR="000167F6" w:rsidRDefault="000167F6">
            <w:pPr>
              <w:jc w:val="both"/>
              <w:rPr>
                <w:rFonts w:eastAsia="Times New Roman"/>
                <w:sz w:val="20"/>
                <w:szCs w:val="20"/>
              </w:rPr>
            </w:pPr>
          </w:p>
        </w:tc>
        <w:tc>
          <w:tcPr>
            <w:tcW w:w="0" w:type="auto"/>
            <w:gridSpan w:val="2"/>
            <w:vAlign w:val="bottom"/>
            <w:hideMark/>
          </w:tcPr>
          <w:p w:rsidR="000167F6" w:rsidRDefault="000167F6">
            <w:pPr>
              <w:jc w:val="both"/>
              <w:rPr>
                <w:rFonts w:eastAsia="Times New Roman"/>
                <w:sz w:val="20"/>
                <w:szCs w:val="20"/>
              </w:rPr>
            </w:pPr>
          </w:p>
        </w:tc>
        <w:tc>
          <w:tcPr>
            <w:tcW w:w="50" w:type="pct"/>
            <w:vAlign w:val="bottom"/>
            <w:hideMark/>
          </w:tcPr>
          <w:p w:rsidR="000167F6" w:rsidRDefault="000167F6">
            <w:pPr>
              <w:jc w:val="both"/>
              <w:rPr>
                <w:rFonts w:eastAsia="Times New Roman"/>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Sales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8,837</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9,057</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17,986</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18,115</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45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r>
      <w:tr w:rsidR="000167F6">
        <w:trPr>
          <w:tblCellSpacing w:w="0" w:type="dxa"/>
          <w:jc w:val="center"/>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Cost and Expenses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450"/>
              <w:jc w:val="both"/>
              <w:rPr>
                <w:sz w:val="20"/>
                <w:szCs w:val="20"/>
              </w:rPr>
            </w:pPr>
            <w:r>
              <w:rPr>
                <w:sz w:val="20"/>
                <w:szCs w:val="20"/>
              </w:rPr>
              <w:t>General and Administrative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1,390</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1,008</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3,627</w:t>
            </w:r>
          </w:p>
        </w:tc>
        <w:tc>
          <w:tcPr>
            <w:tcW w:w="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1,231</w:t>
            </w:r>
          </w:p>
        </w:tc>
        <w:tc>
          <w:tcPr>
            <w:tcW w:w="50" w:type="pct"/>
            <w:shd w:val="clear" w:color="auto" w:fill="FFFFFF"/>
            <w:vAlign w:val="bottom"/>
            <w:hideMark/>
          </w:tcPr>
          <w:p w:rsidR="000167F6" w:rsidRDefault="000167F6">
            <w:pPr>
              <w:rPr>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450"/>
              <w:jc w:val="both"/>
              <w:rPr>
                <w:sz w:val="20"/>
                <w:szCs w:val="20"/>
              </w:rPr>
            </w:pPr>
            <w:r>
              <w:rPr>
                <w:sz w:val="20"/>
                <w:szCs w:val="20"/>
              </w:rPr>
              <w:t>Professional Expenses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8,023</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6,143</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tcBorders>
              <w:bottom w:val="sing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12,023</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tcBorders>
              <w:bottom w:val="sing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6,143</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45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9,413</w:t>
            </w:r>
          </w:p>
        </w:tc>
        <w:tc>
          <w:tcPr>
            <w:tcW w:w="50" w:type="pct"/>
            <w:shd w:val="clear" w:color="auto" w:fill="FFFFFF"/>
            <w:tcMar>
              <w:top w:w="0" w:type="dxa"/>
              <w:left w:w="0" w:type="dxa"/>
              <w:bottom w:w="15" w:type="dxa"/>
              <w:right w:w="0" w:type="dxa"/>
            </w:tcMar>
            <w:vAlign w:val="bottom"/>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center"/>
            <w:hideMark/>
          </w:tcPr>
          <w:p w:rsidR="000167F6" w:rsidRDefault="00DF66D7">
            <w:pPr>
              <w:jc w:val="right"/>
              <w:rPr>
                <w:rFonts w:eastAsia="Times New Roman"/>
                <w:sz w:val="20"/>
                <w:szCs w:val="20"/>
              </w:rPr>
            </w:pPr>
            <w:r>
              <w:rPr>
                <w:rFonts w:eastAsia="Times New Roman"/>
                <w:sz w:val="20"/>
                <w:szCs w:val="20"/>
              </w:rPr>
              <w:t>7,151</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15,650</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450" w:type="pct"/>
            <w:shd w:val="clear" w:color="auto" w:fill="FFFFFF"/>
            <w:vAlign w:val="center"/>
            <w:hideMark/>
          </w:tcPr>
          <w:p w:rsidR="000167F6" w:rsidRDefault="00DF66D7">
            <w:pPr>
              <w:jc w:val="right"/>
              <w:rPr>
                <w:rFonts w:eastAsia="Times New Roman"/>
                <w:sz w:val="20"/>
                <w:szCs w:val="20"/>
              </w:rPr>
            </w:pPr>
            <w:r>
              <w:rPr>
                <w:rFonts w:eastAsia="Times New Roman"/>
                <w:sz w:val="20"/>
                <w:szCs w:val="20"/>
              </w:rPr>
              <w:t>7,374</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0167F6">
            <w:pPr>
              <w:rPr>
                <w:sz w:val="20"/>
                <w:szCs w:val="20"/>
              </w:rPr>
            </w:pPr>
          </w:p>
        </w:tc>
        <w:tc>
          <w:tcPr>
            <w:tcW w:w="4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tcBorders>
              <w:bottom w:val="sing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Income (loss) from Operations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(576</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1,906</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0167F6">
            <w:pPr>
              <w:rPr>
                <w:sz w:val="20"/>
                <w:szCs w:val="20"/>
              </w:rPr>
            </w:pP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2,336</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50" w:type="pct"/>
            <w:tcBorders>
              <w:bottom w:val="single" w:sz="6"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10,741</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Other Income (Expense):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Interest expense, net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(1,663</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(2,128</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0167F6">
            <w:pPr>
              <w:rPr>
                <w:sz w:val="20"/>
                <w:szCs w:val="20"/>
              </w:rPr>
            </w:pP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(3,476</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(4,332</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w:t>
            </w: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0167F6">
            <w:pPr>
              <w:rPr>
                <w:sz w:val="20"/>
                <w:szCs w:val="20"/>
              </w:rPr>
            </w:pP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tcBorders>
              <w:bottom w:val="sing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Income Before Income Taxes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(2,239</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(222</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tcBorders>
              <w:bottom w:val="single" w:sz="6" w:space="0" w:color="000000"/>
            </w:tcBorders>
            <w:shd w:val="clear" w:color="auto" w:fill="FFFFFF"/>
            <w:vAlign w:val="bottom"/>
            <w:hideMark/>
          </w:tcPr>
          <w:p w:rsidR="000167F6" w:rsidRDefault="000167F6">
            <w:pPr>
              <w:rPr>
                <w:sz w:val="20"/>
                <w:szCs w:val="20"/>
              </w:rPr>
            </w:pPr>
          </w:p>
        </w:tc>
        <w:tc>
          <w:tcPr>
            <w:tcW w:w="4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(1,140</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0167F6">
            <w:pPr>
              <w:rPr>
                <w:sz w:val="20"/>
                <w:szCs w:val="20"/>
              </w:rPr>
            </w:pPr>
          </w:p>
        </w:tc>
        <w:tc>
          <w:tcPr>
            <w:tcW w:w="50" w:type="pct"/>
            <w:tcBorders>
              <w:bottom w:val="single" w:sz="6"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6,409</w:t>
            </w:r>
          </w:p>
        </w:tc>
        <w:tc>
          <w:tcPr>
            <w:tcW w:w="50" w:type="pct"/>
            <w:shd w:val="clear" w:color="auto" w:fill="FFFFFF"/>
            <w:vAlign w:val="bottom"/>
            <w:hideMark/>
          </w:tcPr>
          <w:p w:rsidR="000167F6" w:rsidRDefault="000167F6">
            <w:pPr>
              <w:rPr>
                <w:sz w:val="20"/>
                <w:szCs w:val="20"/>
              </w:rPr>
            </w:pPr>
          </w:p>
        </w:tc>
      </w:tr>
      <w:tr w:rsidR="000167F6">
        <w:trPr>
          <w:tblCellSpacing w:w="0" w:type="dxa"/>
          <w:jc w:val="center"/>
        </w:trPr>
        <w:tc>
          <w:tcPr>
            <w:tcW w:w="0" w:type="auto"/>
            <w:shd w:val="clear" w:color="auto" w:fill="CCEEFF"/>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167F6" w:rsidRDefault="000167F6">
            <w:pPr>
              <w:jc w:val="right"/>
              <w:rPr>
                <w:rFonts w:eastAsia="Times New Roman"/>
                <w:sz w:val="20"/>
                <w:szCs w:val="20"/>
              </w:rPr>
            </w:pPr>
          </w:p>
        </w:tc>
        <w:tc>
          <w:tcPr>
            <w:tcW w:w="50" w:type="pct"/>
            <w:shd w:val="clear" w:color="auto" w:fill="CCEE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50" w:type="pct"/>
            <w:shd w:val="clear" w:color="auto" w:fill="CCEE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Provision for Income Taxes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3,239</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3,239</w:t>
            </w: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 </w:t>
            </w:r>
          </w:p>
        </w:tc>
        <w:tc>
          <w:tcPr>
            <w:tcW w:w="50" w:type="pct"/>
            <w:tcBorders>
              <w:bottom w:val="sing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tcBorders>
              <w:bottom w:val="sing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Net Income (Loss)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2" w:space="0" w:color="000000"/>
            </w:tcBorders>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tcBorders>
              <w:bottom w:val="double" w:sz="2"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(5,478</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2" w:space="0" w:color="000000"/>
            </w:tcBorders>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tcBorders>
              <w:bottom w:val="double" w:sz="2"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(222</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tcBorders>
              <w:bottom w:val="double" w:sz="2"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double" w:sz="2"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(4,379</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0167F6">
            <w:pPr>
              <w:jc w:val="both"/>
              <w:rPr>
                <w:rFonts w:eastAsia="Times New Roman"/>
                <w:sz w:val="20"/>
                <w:szCs w:val="20"/>
              </w:rPr>
            </w:pPr>
          </w:p>
        </w:tc>
        <w:tc>
          <w:tcPr>
            <w:tcW w:w="50" w:type="pct"/>
            <w:tcBorders>
              <w:bottom w:val="double" w:sz="2"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double" w:sz="2" w:space="0" w:color="000000"/>
            </w:tcBorders>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6,409</w:t>
            </w:r>
          </w:p>
        </w:tc>
        <w:tc>
          <w:tcPr>
            <w:tcW w:w="50" w:type="pct"/>
            <w:shd w:val="clear" w:color="auto" w:fill="FFFFFF"/>
            <w:vAlign w:val="bottom"/>
            <w:hideMark/>
          </w:tcPr>
          <w:p w:rsidR="000167F6" w:rsidRDefault="000167F6">
            <w:pPr>
              <w:rPr>
                <w:sz w:val="20"/>
                <w:szCs w:val="20"/>
              </w:rPr>
            </w:pPr>
          </w:p>
        </w:tc>
      </w:tr>
      <w:tr w:rsidR="000167F6">
        <w:trPr>
          <w:tblCellSpacing w:w="0" w:type="dxa"/>
          <w:jc w:val="center"/>
        </w:trPr>
        <w:tc>
          <w:tcPr>
            <w:tcW w:w="0" w:type="auto"/>
            <w:shd w:val="clear" w:color="auto" w:fill="CCEEFF"/>
            <w:vAlign w:val="center"/>
            <w:hideMark/>
          </w:tcPr>
          <w:p w:rsidR="000167F6" w:rsidRDefault="00DF66D7">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Net Income (Loss) Per Share: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0167F6" w:rsidRDefault="000167F6">
            <w:pPr>
              <w:rPr>
                <w:sz w:val="20"/>
                <w:szCs w:val="20"/>
              </w:rPr>
            </w:pP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Basic</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(0.0024</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(0.0001</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(0.0019</w:t>
            </w:r>
          </w:p>
        </w:tc>
        <w:tc>
          <w:tcPr>
            <w:tcW w:w="50" w:type="pct"/>
            <w:shd w:val="clear" w:color="auto" w:fill="CCEEFF"/>
            <w:tcMar>
              <w:top w:w="0" w:type="dxa"/>
              <w:left w:w="0" w:type="dxa"/>
              <w:bottom w:w="45" w:type="dxa"/>
              <w:right w:w="0" w:type="dxa"/>
            </w:tcMar>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CCEEFF"/>
            <w:tcMar>
              <w:top w:w="0" w:type="dxa"/>
              <w:left w:w="0" w:type="dxa"/>
              <w:bottom w:w="45" w:type="dxa"/>
              <w:right w:w="0" w:type="dxa"/>
            </w:tcMar>
            <w:vAlign w:val="bottom"/>
            <w:hideMark/>
          </w:tcPr>
          <w:p w:rsidR="000167F6" w:rsidRDefault="000167F6">
            <w:pPr>
              <w:jc w:val="both"/>
              <w:rPr>
                <w:rFonts w:eastAsia="Times New Roman"/>
                <w:sz w:val="20"/>
                <w:szCs w:val="20"/>
              </w:rPr>
            </w:pPr>
          </w:p>
        </w:tc>
        <w:tc>
          <w:tcPr>
            <w:tcW w:w="50" w:type="pct"/>
            <w:tcBorders>
              <w:bottom w:val="doub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0.0028</w:t>
            </w:r>
          </w:p>
        </w:tc>
        <w:tc>
          <w:tcPr>
            <w:tcW w:w="50" w:type="pct"/>
            <w:shd w:val="clear" w:color="auto" w:fill="CCEEFF"/>
            <w:tcMar>
              <w:top w:w="0" w:type="dxa"/>
              <w:left w:w="0" w:type="dxa"/>
              <w:bottom w:w="45" w:type="dxa"/>
              <w:right w:w="0" w:type="dxa"/>
            </w:tcMar>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Diluted</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(0.0024</w:t>
            </w:r>
          </w:p>
        </w:tc>
        <w:tc>
          <w:tcPr>
            <w:tcW w:w="50" w:type="pct"/>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(0.0001</w:t>
            </w:r>
          </w:p>
        </w:tc>
        <w:tc>
          <w:tcPr>
            <w:tcW w:w="50" w:type="pct"/>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tcBorders>
              <w:bottom w:val="double" w:sz="6" w:space="0" w:color="000000"/>
            </w:tcBorders>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(0.0019</w:t>
            </w:r>
          </w:p>
        </w:tc>
        <w:tc>
          <w:tcPr>
            <w:tcW w:w="50" w:type="pct"/>
            <w:shd w:val="clear" w:color="auto" w:fill="FFFFFF"/>
            <w:vAlign w:val="center"/>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0167F6">
            <w:pPr>
              <w:jc w:val="both"/>
              <w:rPr>
                <w:rFonts w:eastAsia="Times New Roman"/>
                <w:sz w:val="20"/>
                <w:szCs w:val="20"/>
              </w:rPr>
            </w:pPr>
          </w:p>
        </w:tc>
        <w:tc>
          <w:tcPr>
            <w:tcW w:w="50" w:type="pct"/>
            <w:tcBorders>
              <w:bottom w:val="double" w:sz="6" w:space="0" w:color="000000"/>
            </w:tcBorders>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0.0028</w:t>
            </w: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hideMark/>
          </w:tcPr>
          <w:p w:rsidR="000167F6" w:rsidRDefault="000167F6">
            <w:pPr>
              <w:rPr>
                <w:rFonts w:eastAsia="Times New Roman"/>
                <w:sz w:val="20"/>
                <w:szCs w:val="20"/>
              </w:rPr>
            </w:pP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vAlign w:val="bottom"/>
            <w:hideMark/>
          </w:tcPr>
          <w:p w:rsidR="000167F6" w:rsidRDefault="00DF66D7">
            <w:pPr>
              <w:pStyle w:val="NormalWeb"/>
              <w:jc w:val="both"/>
              <w:rPr>
                <w:sz w:val="20"/>
                <w:szCs w:val="20"/>
              </w:rPr>
            </w:pPr>
            <w:r>
              <w:rPr>
                <w:sz w:val="20"/>
                <w:szCs w:val="20"/>
              </w:rPr>
              <w:t>Weighted Average Shares Outstanding</w:t>
            </w:r>
          </w:p>
        </w:tc>
        <w:tc>
          <w:tcPr>
            <w:tcW w:w="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Basic</w:t>
            </w:r>
          </w:p>
        </w:tc>
        <w:tc>
          <w:tcPr>
            <w:tcW w:w="50" w:type="pct"/>
            <w:shd w:val="clear" w:color="auto" w:fill="CCEEFF"/>
            <w:vAlign w:val="bottom"/>
            <w:hideMark/>
          </w:tcPr>
          <w:p w:rsidR="000167F6" w:rsidRDefault="000167F6">
            <w:pPr>
              <w:rPr>
                <w:sz w:val="20"/>
                <w:szCs w:val="20"/>
              </w:rPr>
            </w:pPr>
          </w:p>
        </w:tc>
        <w:tc>
          <w:tcPr>
            <w:tcW w:w="50" w:type="pct"/>
            <w:tcBorders>
              <w:bottom w:val="doub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tcBorders>
              <w:bottom w:val="doub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tcBorders>
              <w:bottom w:val="doub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tcBorders>
              <w:bottom w:val="double" w:sz="6" w:space="0" w:color="000000"/>
            </w:tcBorders>
            <w:shd w:val="clear" w:color="auto" w:fill="CCEE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Diluted</w:t>
            </w:r>
          </w:p>
        </w:tc>
        <w:tc>
          <w:tcPr>
            <w:tcW w:w="50" w:type="pct"/>
            <w:shd w:val="clear" w:color="auto" w:fill="FFFFFF"/>
            <w:vAlign w:val="bottom"/>
            <w:hideMark/>
          </w:tcPr>
          <w:p w:rsidR="000167F6" w:rsidRDefault="000167F6">
            <w:pPr>
              <w:rPr>
                <w:sz w:val="20"/>
                <w:szCs w:val="20"/>
              </w:rPr>
            </w:pPr>
          </w:p>
        </w:tc>
        <w:tc>
          <w:tcPr>
            <w:tcW w:w="50" w:type="pct"/>
            <w:tcBorders>
              <w:bottom w:val="double" w:sz="6"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tcBorders>
              <w:bottom w:val="double" w:sz="6"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0167F6" w:rsidRDefault="000167F6">
            <w:pPr>
              <w:jc w:val="right"/>
              <w:rPr>
                <w:rFonts w:eastAsia="Times New Roman"/>
                <w:sz w:val="20"/>
                <w:szCs w:val="20"/>
              </w:rPr>
            </w:pPr>
          </w:p>
        </w:tc>
        <w:tc>
          <w:tcPr>
            <w:tcW w:w="50" w:type="pct"/>
            <w:tcBorders>
              <w:bottom w:val="double" w:sz="6"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tcBorders>
              <w:bottom w:val="double" w:sz="6" w:space="0" w:color="000000"/>
            </w:tcBorders>
            <w:shd w:val="clear" w:color="auto" w:fill="FFFFFF"/>
            <w:vAlign w:val="bottom"/>
            <w:hideMark/>
          </w:tcPr>
          <w:p w:rsidR="000167F6" w:rsidRDefault="000167F6">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2,302,945</w:t>
            </w: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COMPREHENSIVE INCOME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Other Income (Loss)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Translation Adjustments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(28,853</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3,534</w:t>
            </w: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(11,639</w:t>
            </w: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18,033</w:t>
            </w: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Total Comprehensive Income (Loss)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(34,331</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3,312</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(16,018</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24,442</w:t>
            </w:r>
          </w:p>
        </w:tc>
        <w:tc>
          <w:tcPr>
            <w:tcW w:w="50" w:type="pct"/>
            <w:shd w:val="clear" w:color="auto" w:fill="CCEEFF"/>
            <w:vAlign w:val="bottom"/>
            <w:hideMark/>
          </w:tcPr>
          <w:p w:rsidR="000167F6" w:rsidRDefault="000167F6">
            <w:pPr>
              <w:jc w:val="right"/>
              <w:rPr>
                <w:rFonts w:eastAsia="Times New Roman"/>
                <w:sz w:val="20"/>
                <w:szCs w:val="20"/>
              </w:rPr>
            </w:pPr>
          </w:p>
        </w:tc>
      </w:tr>
    </w:tbl>
    <w:p w:rsidR="000167F6" w:rsidRDefault="00DF66D7">
      <w:pPr>
        <w:pStyle w:val="NormalWeb"/>
        <w:jc w:val="center"/>
      </w:pPr>
      <w:r>
        <w:rPr>
          <w:b/>
          <w:bCs/>
          <w:sz w:val="20"/>
          <w:szCs w:val="20"/>
        </w:rPr>
        <w:t>See accompanying notes to condensed Consolidated Financial Statements.</w:t>
      </w:r>
    </w:p>
    <w:p w:rsidR="000167F6" w:rsidRDefault="000167F6">
      <w:pPr>
        <w:divId w:val="382758870"/>
        <w:rPr>
          <w:rFonts w:eastAsia="Times New Roman"/>
        </w:rPr>
      </w:pPr>
    </w:p>
    <w:p w:rsidR="000167F6" w:rsidRDefault="000B52F0">
      <w:pPr>
        <w:pStyle w:val="NormalWeb"/>
        <w:divId w:val="382758870"/>
      </w:pPr>
      <w:hyperlink w:anchor="toc" w:history="1">
        <w:r w:rsidR="00DF66D7">
          <w:rPr>
            <w:rStyle w:val="Hyperlink"/>
            <w:b/>
            <w:bCs/>
            <w:sz w:val="20"/>
            <w:szCs w:val="20"/>
          </w:rPr>
          <w:t>Return to Table of Contents</w:t>
        </w:r>
      </w:hyperlink>
    </w:p>
    <w:p w:rsidR="000167F6" w:rsidRDefault="000B52F0">
      <w:pPr>
        <w:divId w:val="382758870"/>
        <w:rPr>
          <w:rFonts w:eastAsia="Times New Roman"/>
        </w:rPr>
      </w:pPr>
      <w:r>
        <w:rPr>
          <w:rFonts w:eastAsia="Times New Roman"/>
        </w:rPr>
        <w:pict>
          <v:rect id="_x0000_i1027" style="width:0;height:2pt" o:hralign="center" o:hrstd="t" o:hrnoshade="t" o:hr="t" fillcolor="black" stroked="f"/>
        </w:pict>
      </w:r>
    </w:p>
    <w:p w:rsidR="00B161EB" w:rsidRDefault="00B161EB">
      <w:r>
        <w:br w:type="page"/>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167F6">
        <w:trPr>
          <w:tblCellSpacing w:w="0" w:type="dxa"/>
        </w:trPr>
        <w:tc>
          <w:tcPr>
            <w:tcW w:w="0" w:type="auto"/>
            <w:gridSpan w:val="9"/>
            <w:hideMark/>
          </w:tcPr>
          <w:p w:rsidR="000167F6" w:rsidRDefault="00DF66D7">
            <w:pPr>
              <w:pStyle w:val="NormalWeb"/>
              <w:spacing w:before="0" w:beforeAutospacing="0" w:after="0" w:afterAutospacing="0"/>
              <w:jc w:val="center"/>
              <w:rPr>
                <w:sz w:val="20"/>
                <w:szCs w:val="20"/>
              </w:rPr>
            </w:pPr>
            <w:r>
              <w:rPr>
                <w:b/>
                <w:bCs/>
                <w:sz w:val="20"/>
                <w:szCs w:val="20"/>
              </w:rPr>
              <w:lastRenderedPageBreak/>
              <w:t>ADVANCED OXYGEN TECHNOLOGIES, INC.</w:t>
            </w:r>
          </w:p>
          <w:p w:rsidR="000167F6" w:rsidRDefault="00DF66D7">
            <w:pPr>
              <w:pStyle w:val="NormalWeb"/>
              <w:spacing w:before="0" w:beforeAutospacing="0" w:after="0" w:afterAutospacing="0"/>
              <w:jc w:val="center"/>
              <w:rPr>
                <w:sz w:val="20"/>
                <w:szCs w:val="20"/>
              </w:rPr>
            </w:pPr>
            <w:r>
              <w:rPr>
                <w:b/>
                <w:bCs/>
                <w:sz w:val="20"/>
                <w:szCs w:val="20"/>
              </w:rPr>
              <w:t>AND SUBSIDIARY</w:t>
            </w:r>
          </w:p>
          <w:p w:rsidR="000167F6" w:rsidRDefault="00DF66D7">
            <w:pPr>
              <w:pStyle w:val="NormalWeb"/>
              <w:spacing w:before="0" w:beforeAutospacing="0" w:after="0" w:afterAutospacing="0"/>
              <w:jc w:val="center"/>
              <w:rPr>
                <w:sz w:val="20"/>
                <w:szCs w:val="20"/>
              </w:rPr>
            </w:pPr>
            <w:r>
              <w:rPr>
                <w:b/>
                <w:bCs/>
                <w:sz w:val="20"/>
                <w:szCs w:val="20"/>
              </w:rPr>
              <w:t>CONDENSED CONSOLIDATED STATEMENTS OF CASH FLOWS</w:t>
            </w:r>
          </w:p>
          <w:p w:rsidR="000167F6" w:rsidRDefault="00DF66D7">
            <w:pPr>
              <w:pStyle w:val="NormalWeb"/>
              <w:spacing w:before="0" w:beforeAutospacing="0" w:after="0" w:afterAutospacing="0"/>
              <w:jc w:val="center"/>
              <w:rPr>
                <w:sz w:val="20"/>
                <w:szCs w:val="20"/>
              </w:rPr>
            </w:pPr>
            <w:r>
              <w:rPr>
                <w:b/>
                <w:bCs/>
                <w:sz w:val="20"/>
                <w:szCs w:val="20"/>
              </w:rPr>
              <w:t>(Unaudited)</w:t>
            </w:r>
          </w:p>
        </w:tc>
      </w:tr>
      <w:tr w:rsidR="000167F6">
        <w:trPr>
          <w:trHeight w:val="150"/>
          <w:tblCellSpacing w:w="0" w:type="dxa"/>
        </w:trPr>
        <w:tc>
          <w:tcPr>
            <w:tcW w:w="0" w:type="auto"/>
            <w:gridSpan w:val="9"/>
            <w:vAlign w:val="center"/>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 xml:space="preserve">For the Six Months Ended December 31,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rsidTr="00B161EB">
        <w:trPr>
          <w:tblCellSpacing w:w="0" w:type="dxa"/>
        </w:trPr>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167F6" w:rsidRDefault="00DF66D7">
            <w:pPr>
              <w:pStyle w:val="NormalWeb"/>
              <w:spacing w:before="0" w:beforeAutospacing="0" w:after="0" w:afterAutospacing="0"/>
              <w:jc w:val="center"/>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center"/>
              <w:rPr>
                <w:sz w:val="20"/>
                <w:szCs w:val="20"/>
              </w:rPr>
            </w:pPr>
            <w:r>
              <w:rPr>
                <w:sz w:val="20"/>
                <w:szCs w:val="20"/>
              </w:rPr>
              <w:t> </w:t>
            </w:r>
          </w:p>
        </w:tc>
        <w:tc>
          <w:tcPr>
            <w:tcW w:w="50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2015</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rsidTr="00B161EB">
        <w:trPr>
          <w:tblCellSpacing w:w="0" w:type="dxa"/>
        </w:trPr>
        <w:tc>
          <w:tcPr>
            <w:tcW w:w="0" w:type="auto"/>
            <w:hideMark/>
          </w:tcPr>
          <w:p w:rsidR="000167F6" w:rsidRDefault="00DF66D7">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167F6" w:rsidRDefault="00DF66D7">
            <w:pPr>
              <w:jc w:val="right"/>
              <w:rPr>
                <w:rFonts w:eastAsia="Times New Roman"/>
                <w:sz w:val="20"/>
                <w:szCs w:val="20"/>
              </w:rPr>
            </w:pPr>
            <w:r>
              <w:rPr>
                <w:rFonts w:eastAsia="Times New Roman"/>
                <w:sz w:val="20"/>
                <w:szCs w:val="20"/>
              </w:rPr>
              <w:t> </w:t>
            </w:r>
          </w:p>
        </w:tc>
        <w:tc>
          <w:tcPr>
            <w:tcW w:w="50" w:type="pct"/>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(4,379</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6,409</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ind w:left="450"/>
              <w:jc w:val="both"/>
              <w:rPr>
                <w:sz w:val="20"/>
                <w:szCs w:val="20"/>
              </w:rPr>
            </w:pPr>
            <w:r>
              <w:rPr>
                <w:sz w:val="20"/>
                <w:szCs w:val="20"/>
              </w:rPr>
              <w:t>Adjustments to reconcile net income to net cash</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ind w:left="450"/>
              <w:jc w:val="both"/>
              <w:rPr>
                <w:sz w:val="20"/>
                <w:szCs w:val="20"/>
              </w:rPr>
            </w:pPr>
            <w:r>
              <w:rPr>
                <w:sz w:val="20"/>
                <w:szCs w:val="20"/>
              </w:rPr>
              <w:t>Changes in operating assets and liabilities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(1,304</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4,129</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ind w:left="450"/>
              <w:jc w:val="both"/>
              <w:rPr>
                <w:sz w:val="20"/>
                <w:szCs w:val="20"/>
              </w:rPr>
            </w:pPr>
            <w:r>
              <w:rPr>
                <w:sz w:val="20"/>
                <w:szCs w:val="20"/>
              </w:rPr>
              <w:t>Taxes payable</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4,798</w:t>
            </w:r>
          </w:p>
        </w:tc>
        <w:tc>
          <w:tcPr>
            <w:tcW w:w="50" w:type="pct"/>
            <w:shd w:val="clear" w:color="auto" w:fill="FFFFFF"/>
            <w:tcMar>
              <w:top w:w="0" w:type="dxa"/>
              <w:left w:w="0" w:type="dxa"/>
              <w:bottom w:w="15" w:type="dxa"/>
              <w:right w:w="0" w:type="dxa"/>
            </w:tcMar>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(23,272</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w:t>
            </w:r>
          </w:p>
        </w:tc>
      </w:tr>
      <w:tr w:rsidR="000167F6">
        <w:trPr>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Net cash provided by (used in) operating activities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(885</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(12,734</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w:t>
            </w:r>
          </w:p>
        </w:tc>
      </w:tr>
      <w:tr w:rsidR="000167F6">
        <w:trPr>
          <w:tblCellSpacing w:w="0" w:type="dxa"/>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Cash flow from financing activities: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Proceeds from:</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ind w:left="225"/>
              <w:jc w:val="both"/>
              <w:rPr>
                <w:sz w:val="20"/>
                <w:szCs w:val="20"/>
              </w:rPr>
            </w:pPr>
            <w:r>
              <w:rPr>
                <w:sz w:val="20"/>
                <w:szCs w:val="20"/>
              </w:rPr>
              <w:t>Advances from related parties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14,648</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jc w:val="right"/>
              <w:rPr>
                <w:rFonts w:eastAsia="Times New Roman"/>
                <w:sz w:val="20"/>
                <w:szCs w:val="20"/>
              </w:rPr>
            </w:pPr>
            <w:r>
              <w:rPr>
                <w:rFonts w:eastAsia="Times New Roman"/>
                <w:sz w:val="20"/>
                <w:szCs w:val="20"/>
              </w:rPr>
              <w:t>15,669</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0167F6">
            <w:pPr>
              <w:rPr>
                <w:sz w:val="20"/>
                <w:szCs w:val="20"/>
              </w:rPr>
            </w:pP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Proceeds used for:</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Long Term Debt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(12,413</w:t>
            </w:r>
          </w:p>
        </w:tc>
        <w:tc>
          <w:tcPr>
            <w:tcW w:w="50" w:type="pct"/>
            <w:shd w:val="clear" w:color="auto" w:fill="CCEEFF"/>
            <w:tcMar>
              <w:top w:w="0" w:type="dxa"/>
              <w:left w:w="0" w:type="dxa"/>
              <w:bottom w:w="15" w:type="dxa"/>
              <w:right w:w="0" w:type="dxa"/>
            </w:tcMar>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(12,550</w:t>
            </w:r>
          </w:p>
        </w:tc>
        <w:tc>
          <w:tcPr>
            <w:tcW w:w="50" w:type="pct"/>
            <w:shd w:val="clear" w:color="auto" w:fill="CCEEFF"/>
            <w:tcMar>
              <w:top w:w="0" w:type="dxa"/>
              <w:left w:w="0" w:type="dxa"/>
              <w:bottom w:w="15" w:type="dxa"/>
              <w:right w:w="0" w:type="dxa"/>
            </w:tcMar>
            <w:vAlign w:val="bottom"/>
            <w:hideMark/>
          </w:tcPr>
          <w:p w:rsidR="000167F6" w:rsidRDefault="00DF66D7">
            <w:pPr>
              <w:jc w:val="both"/>
              <w:rPr>
                <w:rFonts w:eastAsia="Times New Roman"/>
                <w:sz w:val="20"/>
                <w:szCs w:val="20"/>
              </w:rPr>
            </w:pPr>
            <w:r>
              <w:rPr>
                <w:rFonts w:eastAsia="Times New Roman"/>
                <w:sz w:val="20"/>
                <w:szCs w:val="20"/>
              </w:rPr>
              <w:t>)</w:t>
            </w:r>
          </w:p>
        </w:tc>
      </w:tr>
      <w:tr w:rsidR="000167F6">
        <w:trPr>
          <w:tblCellSpacing w:w="0" w:type="dxa"/>
        </w:trPr>
        <w:tc>
          <w:tcPr>
            <w:tcW w:w="0" w:type="auto"/>
            <w:shd w:val="clear" w:color="auto" w:fill="FFFFFF"/>
            <w:hideMark/>
          </w:tcPr>
          <w:p w:rsidR="000167F6" w:rsidRDefault="000167F6">
            <w:pPr>
              <w:rPr>
                <w:rFonts w:eastAsia="Times New Roman"/>
                <w:sz w:val="20"/>
                <w:szCs w:val="20"/>
              </w:rPr>
            </w:pP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Net cash provided by financing activities</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2,235</w:t>
            </w: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3,119</w:t>
            </w: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trPr>
        <w:tc>
          <w:tcPr>
            <w:tcW w:w="0" w:type="auto"/>
            <w:shd w:val="clear" w:color="auto" w:fill="FFFFFF"/>
            <w:hideMark/>
          </w:tcPr>
          <w:p w:rsidR="000167F6" w:rsidRDefault="00DF66D7">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Effect of exchange rate changes on cash</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(2,062</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167F6" w:rsidRDefault="000167F6">
            <w:pPr>
              <w:rPr>
                <w:rFonts w:eastAsia="Times New Roman"/>
                <w:sz w:val="20"/>
                <w:szCs w:val="20"/>
              </w:rPr>
            </w:pP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0167F6">
            <w:pPr>
              <w:rPr>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both"/>
              <w:rPr>
                <w:rFonts w:eastAsia="Times New Roman"/>
                <w:sz w:val="20"/>
                <w:szCs w:val="20"/>
              </w:rPr>
            </w:pPr>
          </w:p>
        </w:tc>
        <w:tc>
          <w:tcPr>
            <w:tcW w:w="450" w:type="pct"/>
            <w:shd w:val="clear" w:color="auto" w:fill="FFFFFF"/>
            <w:vAlign w:val="bottom"/>
            <w:hideMark/>
          </w:tcPr>
          <w:p w:rsidR="000167F6" w:rsidRDefault="000167F6">
            <w:pPr>
              <w:jc w:val="both"/>
              <w:rPr>
                <w:rFonts w:eastAsia="Times New Roman"/>
                <w:sz w:val="20"/>
                <w:szCs w:val="20"/>
              </w:rPr>
            </w:pPr>
          </w:p>
        </w:tc>
        <w:tc>
          <w:tcPr>
            <w:tcW w:w="50" w:type="pct"/>
            <w:shd w:val="clear" w:color="auto" w:fill="FFFFFF"/>
            <w:vAlign w:val="bottom"/>
            <w:hideMark/>
          </w:tcPr>
          <w:p w:rsidR="000167F6" w:rsidRDefault="000167F6">
            <w:pPr>
              <w:jc w:val="right"/>
              <w:rPr>
                <w:rFonts w:eastAsia="Times New Roman"/>
                <w:sz w:val="20"/>
                <w:szCs w:val="20"/>
              </w:rPr>
            </w:pP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ind w:left="225"/>
              <w:jc w:val="both"/>
              <w:rPr>
                <w:sz w:val="20"/>
                <w:szCs w:val="20"/>
              </w:rPr>
            </w:pPr>
            <w:r>
              <w:rPr>
                <w:sz w:val="20"/>
                <w:szCs w:val="20"/>
              </w:rPr>
              <w:t>Net Decrease in Cash</w:t>
            </w:r>
            <w:r>
              <w:rPr>
                <w:b/>
                <w:bCs/>
                <w:sz w:val="20"/>
                <w:szCs w:val="20"/>
              </w:rPr>
              <w:t xml:space="preserve">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(712</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(9,615</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r>
      <w:tr w:rsidR="000167F6">
        <w:trPr>
          <w:tblCellSpacing w:w="0" w:type="dxa"/>
        </w:trPr>
        <w:tc>
          <w:tcPr>
            <w:tcW w:w="0" w:type="auto"/>
            <w:shd w:val="clear" w:color="auto" w:fill="FFFF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 xml:space="preserve">Cash at beginning of the period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46,170</w:t>
            </w:r>
          </w:p>
        </w:tc>
        <w:tc>
          <w:tcPr>
            <w:tcW w:w="50" w:type="pct"/>
            <w:shd w:val="clear" w:color="auto" w:fill="CCEE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167F6" w:rsidRDefault="00DF66D7">
            <w:pPr>
              <w:jc w:val="right"/>
              <w:rPr>
                <w:rFonts w:eastAsia="Times New Roman"/>
                <w:sz w:val="20"/>
                <w:szCs w:val="20"/>
              </w:rPr>
            </w:pPr>
            <w:r>
              <w:rPr>
                <w:rFonts w:eastAsia="Times New Roman"/>
                <w:sz w:val="20"/>
                <w:szCs w:val="20"/>
              </w:rPr>
              <w:t>68,260</w:t>
            </w:r>
          </w:p>
        </w:tc>
        <w:tc>
          <w:tcPr>
            <w:tcW w:w="50" w:type="pct"/>
            <w:shd w:val="clear" w:color="auto" w:fill="CCEEFF"/>
            <w:tcMar>
              <w:top w:w="0" w:type="dxa"/>
              <w:left w:w="0" w:type="dxa"/>
              <w:bottom w:w="1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Cash at end of period</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45,458</w:t>
            </w:r>
          </w:p>
        </w:tc>
        <w:tc>
          <w:tcPr>
            <w:tcW w:w="50" w:type="pct"/>
            <w:shd w:val="clear" w:color="auto" w:fill="FFFF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167F6" w:rsidRDefault="00DF66D7">
            <w:pPr>
              <w:jc w:val="right"/>
              <w:rPr>
                <w:rFonts w:eastAsia="Times New Roman"/>
                <w:sz w:val="20"/>
                <w:szCs w:val="20"/>
              </w:rPr>
            </w:pPr>
            <w:r>
              <w:rPr>
                <w:rFonts w:eastAsia="Times New Roman"/>
                <w:sz w:val="20"/>
                <w:szCs w:val="20"/>
              </w:rPr>
              <w:t>58,645</w:t>
            </w:r>
          </w:p>
        </w:tc>
        <w:tc>
          <w:tcPr>
            <w:tcW w:w="50" w:type="pct"/>
            <w:shd w:val="clear" w:color="auto" w:fill="FFFFFF"/>
            <w:tcMar>
              <w:top w:w="0" w:type="dxa"/>
              <w:left w:w="0" w:type="dxa"/>
              <w:bottom w:w="45" w:type="dxa"/>
              <w:right w:w="0" w:type="dxa"/>
            </w:tcMar>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0167F6">
            <w:pPr>
              <w:rPr>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both"/>
              <w:rPr>
                <w:rFonts w:eastAsia="Times New Roman"/>
                <w:sz w:val="20"/>
                <w:szCs w:val="20"/>
              </w:rPr>
            </w:pPr>
          </w:p>
        </w:tc>
        <w:tc>
          <w:tcPr>
            <w:tcW w:w="450" w:type="pct"/>
            <w:shd w:val="clear" w:color="auto" w:fill="CCEEFF"/>
            <w:vAlign w:val="bottom"/>
            <w:hideMark/>
          </w:tcPr>
          <w:p w:rsidR="000167F6" w:rsidRDefault="000167F6">
            <w:pPr>
              <w:jc w:val="both"/>
              <w:rPr>
                <w:rFonts w:eastAsia="Times New Roman"/>
                <w:sz w:val="20"/>
                <w:szCs w:val="20"/>
              </w:rPr>
            </w:pPr>
          </w:p>
        </w:tc>
        <w:tc>
          <w:tcPr>
            <w:tcW w:w="50" w:type="pct"/>
            <w:shd w:val="clear" w:color="auto" w:fill="CCEEFF"/>
            <w:vAlign w:val="bottom"/>
            <w:hideMark/>
          </w:tcPr>
          <w:p w:rsidR="000167F6" w:rsidRDefault="000167F6">
            <w:pPr>
              <w:jc w:val="right"/>
              <w:rPr>
                <w:rFonts w:eastAsia="Times New Roman"/>
                <w:sz w:val="20"/>
                <w:szCs w:val="20"/>
              </w:rPr>
            </w:pPr>
          </w:p>
        </w:tc>
      </w:tr>
      <w:tr w:rsidR="000167F6">
        <w:trPr>
          <w:tblCellSpacing w:w="0" w:type="dxa"/>
        </w:trPr>
        <w:tc>
          <w:tcPr>
            <w:tcW w:w="0" w:type="auto"/>
            <w:shd w:val="clear" w:color="auto" w:fill="FFFFFF"/>
            <w:hideMark/>
          </w:tcPr>
          <w:p w:rsidR="000167F6" w:rsidRDefault="00DF66D7">
            <w:pPr>
              <w:pStyle w:val="NormalWeb"/>
              <w:spacing w:before="0" w:beforeAutospacing="0" w:after="0" w:afterAutospacing="0"/>
              <w:jc w:val="both"/>
              <w:rPr>
                <w:sz w:val="20"/>
                <w:szCs w:val="20"/>
              </w:rPr>
            </w:pPr>
            <w:r>
              <w:rPr>
                <w:sz w:val="20"/>
                <w:szCs w:val="20"/>
              </w:rPr>
              <w:t>Non Cash Investing and Financing Activities</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trPr>
        <w:tc>
          <w:tcPr>
            <w:tcW w:w="0" w:type="auto"/>
            <w:shd w:val="clear" w:color="auto" w:fill="CCEEFF"/>
            <w:hideMark/>
          </w:tcPr>
          <w:p w:rsidR="000167F6" w:rsidRDefault="00DF66D7">
            <w:pPr>
              <w:pStyle w:val="NormalWeb"/>
              <w:spacing w:before="0" w:beforeAutospacing="0" w:after="0" w:afterAutospacing="0"/>
              <w:ind w:left="450"/>
              <w:jc w:val="both"/>
              <w:rPr>
                <w:sz w:val="20"/>
                <w:szCs w:val="20"/>
              </w:rPr>
            </w:pPr>
            <w:r>
              <w:rPr>
                <w:sz w:val="20"/>
                <w:szCs w:val="20"/>
              </w:rPr>
              <w:t>Cash paid for Interest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3,476</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4,332</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bl>
    <w:p w:rsidR="000167F6" w:rsidRDefault="00DF66D7">
      <w:pPr>
        <w:pStyle w:val="NormalWeb"/>
        <w:jc w:val="center"/>
      </w:pPr>
      <w:r>
        <w:rPr>
          <w:b/>
          <w:bCs/>
          <w:sz w:val="20"/>
          <w:szCs w:val="20"/>
        </w:rPr>
        <w:t>See accompanying notes to condensed Consolidated Financial Statements.</w:t>
      </w:r>
    </w:p>
    <w:p w:rsidR="000167F6" w:rsidRDefault="00DF66D7">
      <w:pPr>
        <w:pStyle w:val="NormalWeb"/>
      </w:pPr>
      <w:r>
        <w:t> </w:t>
      </w:r>
    </w:p>
    <w:p w:rsidR="000167F6" w:rsidRDefault="000B52F0">
      <w:pPr>
        <w:pStyle w:val="NormalWeb"/>
      </w:pPr>
      <w:hyperlink w:anchor="toc" w:history="1">
        <w:r w:rsidR="00DF66D7">
          <w:rPr>
            <w:rStyle w:val="Hyperlink"/>
            <w:b/>
            <w:bCs/>
            <w:sz w:val="20"/>
            <w:szCs w:val="20"/>
          </w:rPr>
          <w:t>Return to Table of Contents</w:t>
        </w:r>
      </w:hyperlink>
    </w:p>
    <w:p w:rsidR="000167F6" w:rsidRDefault="000B52F0">
      <w:pPr>
        <w:rPr>
          <w:rFonts w:eastAsia="Times New Roman"/>
        </w:rPr>
      </w:pPr>
      <w:r>
        <w:rPr>
          <w:rFonts w:eastAsia="Times New Roman"/>
        </w:rPr>
        <w:pict>
          <v:rect id="_x0000_i1028" style="width:0;height:2pt" o:hralign="center" o:hrstd="t" o:hrnoshade="t" o:hr="t" fillcolor="black" stroked="f"/>
        </w:pict>
      </w:r>
    </w:p>
    <w:p w:rsidR="00B161EB" w:rsidRDefault="00B161EB">
      <w:pPr>
        <w:rPr>
          <w:b/>
          <w:bCs/>
          <w:sz w:val="20"/>
          <w:szCs w:val="20"/>
        </w:rPr>
      </w:pPr>
      <w:bookmarkStart w:id="1" w:name="notes"/>
      <w:bookmarkEnd w:id="1"/>
      <w:r>
        <w:rPr>
          <w:b/>
          <w:bCs/>
          <w:sz w:val="20"/>
          <w:szCs w:val="20"/>
        </w:rPr>
        <w:br w:type="page"/>
      </w:r>
    </w:p>
    <w:p w:rsidR="000167F6" w:rsidRDefault="00DF66D7">
      <w:pPr>
        <w:pStyle w:val="NormalWeb"/>
      </w:pPr>
      <w:r>
        <w:rPr>
          <w:b/>
          <w:bCs/>
          <w:sz w:val="20"/>
          <w:szCs w:val="20"/>
        </w:rPr>
        <w:lastRenderedPageBreak/>
        <w:t>NOTES TO CONSOLIDATED FINANCIAL STATEMENTS</w:t>
      </w:r>
    </w:p>
    <w:p w:rsidR="000167F6" w:rsidRDefault="00DF66D7">
      <w:pPr>
        <w:pStyle w:val="NormalWeb"/>
      </w:pPr>
      <w:r>
        <w:rPr>
          <w:b/>
          <w:bCs/>
          <w:sz w:val="20"/>
          <w:szCs w:val="20"/>
        </w:rPr>
        <w:t>NOTE 1- ORGANIZATION AND LINE OF BUSINESS:</w:t>
      </w:r>
    </w:p>
    <w:p w:rsidR="000167F6" w:rsidRDefault="00DF66D7">
      <w:pPr>
        <w:pStyle w:val="NormalWeb"/>
      </w:pPr>
      <w:r>
        <w:rPr>
          <w:rStyle w:val="Emphasis"/>
          <w:sz w:val="20"/>
          <w:szCs w:val="20"/>
        </w:rPr>
        <w:t>Organization and Basis of Presentation:</w:t>
      </w:r>
    </w:p>
    <w:p w:rsidR="000167F6" w:rsidRDefault="00DF66D7">
      <w:pPr>
        <w:pStyle w:val="NormalWeb"/>
      </w:pPr>
      <w:r>
        <w:rPr>
          <w:sz w:val="20"/>
          <w:szCs w:val="20"/>
        </w:rPr>
        <w:t>The accompanying unaudited interim condensed consolidated financial statements of Advanced Oxygen Technologies, Inc. (“Group” or the “Company”) have been prepared by management in accordance with accounting principles generally accepted in the United States of America for interim financial information and pursuant to rules and regulations of the Securities and Exchange Commission (“SEC”). Accordingly, they do not include all information and footnotes required by generally accepted accounting principles for annual audited financial statements. In the opinion of management, all adjustments considered necessary for a fair presentation have been included.</w:t>
      </w:r>
      <w:r>
        <w:rPr>
          <w:sz w:val="20"/>
          <w:szCs w:val="20"/>
        </w:rPr>
        <w:br/>
      </w:r>
      <w:r>
        <w:rPr>
          <w:sz w:val="20"/>
          <w:szCs w:val="20"/>
        </w:rPr>
        <w:br/>
        <w:t>The results of operations for the six months ended December 31, 2016 are not necessarily indicative of the results to be expected for the year ending June 30, 2017. The accompanying unaudited interim condensed consolidated financial statements should be read in conjunction with the Company’s audited consolidated financial statements and notes related thereto for the years ended June 30, 2016 and 2015 included in Form 10-K filed with the SEC.</w:t>
      </w:r>
    </w:p>
    <w:p w:rsidR="000167F6" w:rsidRDefault="00DF66D7">
      <w:pPr>
        <w:pStyle w:val="NormalWeb"/>
      </w:pPr>
      <w:r>
        <w:rPr>
          <w:i/>
          <w:iCs/>
          <w:sz w:val="20"/>
          <w:szCs w:val="20"/>
        </w:rPr>
        <w:t>Lines of Business:</w:t>
      </w:r>
    </w:p>
    <w:p w:rsidR="000167F6" w:rsidRDefault="00DF66D7">
      <w:pPr>
        <w:pStyle w:val="NormalWeb"/>
      </w:pPr>
      <w:r>
        <w:rPr>
          <w:sz w:val="20"/>
          <w:szCs w:val="20"/>
        </w:rPr>
        <w:t>The Company, through its wholly owned subsidiary Anton Nielsen Vojens ApS ("ANV"</w:t>
      </w:r>
      <w:proofErr w:type="gramStart"/>
      <w:r>
        <w:rPr>
          <w:sz w:val="20"/>
          <w:szCs w:val="20"/>
        </w:rPr>
        <w:t>)owns</w:t>
      </w:r>
      <w:proofErr w:type="gramEnd"/>
      <w:r>
        <w:rPr>
          <w:sz w:val="20"/>
          <w:szCs w:val="20"/>
        </w:rPr>
        <w:t xml:space="preserve"> income producing commercial real estate leased until 2026. The real estate consists solely of the land with no buildings or improvements (“Land”). All improvements on the Land are those of the tenant.</w:t>
      </w:r>
    </w:p>
    <w:p w:rsidR="000167F6" w:rsidRDefault="00DF66D7">
      <w:pPr>
        <w:pStyle w:val="NormalWeb"/>
      </w:pPr>
      <w:r>
        <w:rPr>
          <w:b/>
          <w:bCs/>
          <w:sz w:val="20"/>
          <w:szCs w:val="20"/>
        </w:rPr>
        <w:t>NOTE 2 - SUMMARY OF SIGNIFICANT ACCOUNTING POLICIES:</w:t>
      </w:r>
    </w:p>
    <w:p w:rsidR="000167F6" w:rsidRDefault="00DF66D7">
      <w:pPr>
        <w:pStyle w:val="NormalWeb"/>
      </w:pPr>
      <w:r>
        <w:rPr>
          <w:i/>
          <w:iCs/>
          <w:sz w:val="20"/>
          <w:szCs w:val="20"/>
        </w:rPr>
        <w:t xml:space="preserve">Revenue recognition of rental income: </w:t>
      </w:r>
    </w:p>
    <w:p w:rsidR="000167F6" w:rsidRDefault="00DF66D7">
      <w:pPr>
        <w:pStyle w:val="NormalWeb"/>
      </w:pPr>
      <w:r>
        <w:rPr>
          <w:sz w:val="20"/>
          <w:szCs w:val="20"/>
        </w:rPr>
        <w:t xml:space="preserve">Revenues are recognized during the period in which the rental payment is received. The Company applies the provisions of FASB Accounting Standards Codification ('ASC') 605-10. Revenue Recognition in Financial Statements ASC 605-10, provides guidance on recognition, presentation, and disclosure of revenues in financial statements filed with the SEC.  </w:t>
      </w:r>
    </w:p>
    <w:p w:rsidR="000167F6" w:rsidRDefault="00DF66D7">
      <w:pPr>
        <w:pStyle w:val="NormalWeb"/>
      </w:pPr>
      <w:r>
        <w:rPr>
          <w:sz w:val="20"/>
          <w:szCs w:val="20"/>
        </w:rPr>
        <w:t>The Company's source of revenue is from a commercial property lease in which quarterly payments are received pursuant to the property lease which is in effect until 2026.</w:t>
      </w:r>
    </w:p>
    <w:p w:rsidR="000167F6" w:rsidRDefault="00DF66D7">
      <w:pPr>
        <w:rPr>
          <w:rFonts w:eastAsia="Times New Roman"/>
        </w:rPr>
      </w:pPr>
      <w:r>
        <w:rPr>
          <w:rFonts w:eastAsia="Times New Roman"/>
          <w:i/>
          <w:iCs/>
          <w:sz w:val="20"/>
          <w:szCs w:val="20"/>
        </w:rPr>
        <w:t>Property Plant and Equipment:</w:t>
      </w:r>
      <w:r>
        <w:rPr>
          <w:rFonts w:eastAsia="Times New Roman"/>
        </w:rPr>
        <w:t xml:space="preserve"> </w:t>
      </w:r>
    </w:p>
    <w:p w:rsidR="000167F6" w:rsidRDefault="00DF66D7">
      <w:pPr>
        <w:pStyle w:val="NormalWeb"/>
      </w:pPr>
      <w:r>
        <w:rPr>
          <w:sz w:val="20"/>
          <w:szCs w:val="20"/>
        </w:rPr>
        <w:t>Land and buildings are recognized at cost. Land is carried at cost less accumulated impairment losses.</w:t>
      </w:r>
    </w:p>
    <w:p w:rsidR="000167F6" w:rsidRDefault="00DF66D7">
      <w:pPr>
        <w:pStyle w:val="NormalWeb"/>
      </w:pPr>
      <w:r>
        <w:rPr>
          <w:i/>
          <w:iCs/>
          <w:sz w:val="20"/>
          <w:szCs w:val="20"/>
        </w:rPr>
        <w:t>Impairment of Real Estate Investments:</w:t>
      </w:r>
    </w:p>
    <w:p w:rsidR="000167F6" w:rsidRDefault="00DF66D7">
      <w:pPr>
        <w:pStyle w:val="NormalWeb"/>
      </w:pPr>
      <w:r>
        <w:rPr>
          <w:sz w:val="20"/>
          <w:szCs w:val="20"/>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w:t>
      </w:r>
    </w:p>
    <w:p w:rsidR="000167F6" w:rsidRDefault="000B52F0">
      <w:pPr>
        <w:pStyle w:val="NormalWeb"/>
      </w:pPr>
      <w:hyperlink w:anchor="toc" w:history="1">
        <w:r w:rsidR="00DF66D7">
          <w:rPr>
            <w:rStyle w:val="Hyperlink"/>
            <w:b/>
            <w:bCs/>
            <w:sz w:val="20"/>
            <w:szCs w:val="20"/>
          </w:rPr>
          <w:t>Return to Table of Contents</w:t>
        </w:r>
      </w:hyperlink>
    </w:p>
    <w:p w:rsidR="000167F6" w:rsidRDefault="000B52F0">
      <w:pPr>
        <w:rPr>
          <w:rFonts w:eastAsia="Times New Roman"/>
        </w:rPr>
      </w:pPr>
      <w:r>
        <w:rPr>
          <w:rFonts w:eastAsia="Times New Roman"/>
        </w:rPr>
        <w:pict>
          <v:rect id="_x0000_i1029" style="width:0;height:2pt" o:hralign="center" o:hrstd="t" o:hrnoshade="t" o:hr="t" fillcolor="black" stroked="f"/>
        </w:pict>
      </w:r>
    </w:p>
    <w:p w:rsidR="00B161EB" w:rsidRDefault="00B161EB">
      <w:pPr>
        <w:rPr>
          <w:i/>
          <w:iCs/>
          <w:sz w:val="20"/>
          <w:szCs w:val="20"/>
        </w:rPr>
      </w:pPr>
      <w:r>
        <w:rPr>
          <w:i/>
          <w:iCs/>
          <w:sz w:val="20"/>
          <w:szCs w:val="20"/>
        </w:rPr>
        <w:br w:type="page"/>
      </w:r>
    </w:p>
    <w:p w:rsidR="000167F6" w:rsidRDefault="00DF66D7">
      <w:pPr>
        <w:pStyle w:val="NormalWeb"/>
      </w:pPr>
      <w:r>
        <w:rPr>
          <w:i/>
          <w:iCs/>
          <w:sz w:val="20"/>
          <w:szCs w:val="20"/>
        </w:rPr>
        <w:lastRenderedPageBreak/>
        <w:t>Foreign Currency Translation:</w:t>
      </w:r>
    </w:p>
    <w:p w:rsidR="000167F6" w:rsidRDefault="00DF66D7">
      <w:pPr>
        <w:pStyle w:val="NormalWeb"/>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0167F6" w:rsidRDefault="00DF66D7">
      <w:pPr>
        <w:pStyle w:val="NormalWeb"/>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0167F6" w:rsidRDefault="00DF66D7">
      <w:pPr>
        <w:pStyle w:val="NormalWeb"/>
        <w:spacing w:before="0" w:beforeAutospacing="0" w:after="0" w:afterAutospacing="0"/>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As of December 31, 2016 and June 30, 2016 there were 10,000 and 10,000, respectively potential dilutive shares and because of the net loss, the effect of these potential common shares is anti-dilutive.</w:t>
      </w:r>
    </w:p>
    <w:p w:rsidR="000167F6" w:rsidRDefault="00DF66D7">
      <w:pPr>
        <w:pStyle w:val="NormalWeb"/>
        <w:spacing w:before="0" w:beforeAutospacing="0" w:after="0" w:afterAutospacing="0"/>
      </w:pPr>
      <w:r>
        <w:rPr>
          <w:sz w:val="20"/>
          <w:szCs w:val="20"/>
        </w:rPr>
        <w:br/>
      </w:r>
      <w:r>
        <w:rPr>
          <w:i/>
          <w:iCs/>
          <w:sz w:val="20"/>
          <w:szCs w:val="20"/>
        </w:rPr>
        <w:t>Cash and Cash Equivalents:</w:t>
      </w:r>
    </w:p>
    <w:p w:rsidR="000167F6" w:rsidRDefault="00DF66D7">
      <w:pPr>
        <w:pStyle w:val="NormalWeb"/>
      </w:pPr>
      <w:r>
        <w:rPr>
          <w:sz w:val="20"/>
          <w:szCs w:val="20"/>
        </w:rPr>
        <w:t>For purposes of the statement of cash flows, the Company considers all highly-liquid investments purchased with original maturities of three months or less to be cash equivalents.  The Company maintains its cash in bank deposit accounts which, at December 31, 2016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0167F6" w:rsidRDefault="00DF66D7">
      <w:pPr>
        <w:pStyle w:val="NormalWeb"/>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0167F6" w:rsidRDefault="00DF66D7">
      <w:pPr>
        <w:pStyle w:val="NormalWeb"/>
      </w:pPr>
      <w:r>
        <w:rPr>
          <w:sz w:val="20"/>
          <w:szCs w:val="20"/>
        </w:rPr>
        <w:t>Financial instruments that potentially subject the Company to major credit risk consist principally of a single subsidiary of Anton Nielsen Vojens ApS.</w:t>
      </w:r>
    </w:p>
    <w:p w:rsidR="000167F6" w:rsidRDefault="00DF66D7">
      <w:pPr>
        <w:pStyle w:val="NormalWeb"/>
      </w:pPr>
      <w:r>
        <w:rPr>
          <w:i/>
          <w:iCs/>
          <w:sz w:val="20"/>
          <w:szCs w:val="20"/>
        </w:rPr>
        <w:t xml:space="preserve">Reclassification: </w:t>
      </w:r>
    </w:p>
    <w:p w:rsidR="000167F6" w:rsidRDefault="00DF66D7">
      <w:pPr>
        <w:pStyle w:val="NormalWeb"/>
      </w:pPr>
      <w:r>
        <w:rPr>
          <w:sz w:val="20"/>
          <w:szCs w:val="20"/>
        </w:rPr>
        <w:t>Certain balances in previously issued financial statements have been reclassified to be consistent with the current period presentation.</w:t>
      </w:r>
    </w:p>
    <w:p w:rsidR="000167F6" w:rsidRDefault="000B52F0">
      <w:pPr>
        <w:rPr>
          <w:rFonts w:eastAsia="Times New Roman"/>
          <w:sz w:val="20"/>
          <w:szCs w:val="20"/>
        </w:rPr>
      </w:pPr>
      <w:hyperlink w:anchor="toc" w:history="1">
        <w:r w:rsidR="00DF66D7">
          <w:rPr>
            <w:rStyle w:val="Hyperlink"/>
            <w:rFonts w:eastAsia="Times New Roman"/>
            <w:b/>
            <w:bCs/>
            <w:sz w:val="20"/>
            <w:szCs w:val="20"/>
          </w:rPr>
          <w:t>Return to Table of Contents</w:t>
        </w:r>
      </w:hyperlink>
      <w:r w:rsidR="00DF66D7">
        <w:rPr>
          <w:rFonts w:eastAsia="Times New Roman"/>
          <w:sz w:val="20"/>
          <w:szCs w:val="20"/>
        </w:rPr>
        <w:t xml:space="preserve"> </w:t>
      </w:r>
    </w:p>
    <w:p w:rsidR="000167F6" w:rsidRDefault="000B52F0">
      <w:pPr>
        <w:rPr>
          <w:rFonts w:eastAsia="Times New Roman"/>
          <w:sz w:val="20"/>
          <w:szCs w:val="20"/>
        </w:rPr>
      </w:pPr>
      <w:r>
        <w:rPr>
          <w:rFonts w:eastAsia="Times New Roman"/>
          <w:sz w:val="20"/>
          <w:szCs w:val="20"/>
        </w:rPr>
        <w:pict>
          <v:rect id="_x0000_i1030" style="width:0;height:2pt" o:hralign="center" o:hrstd="t" o:hrnoshade="t" o:hr="t" fillcolor="black" stroked="f"/>
        </w:pict>
      </w:r>
    </w:p>
    <w:p w:rsidR="00423D3D" w:rsidRDefault="00423D3D">
      <w:pPr>
        <w:rPr>
          <w:i/>
          <w:iCs/>
          <w:sz w:val="20"/>
          <w:szCs w:val="20"/>
        </w:rPr>
      </w:pPr>
      <w:r>
        <w:rPr>
          <w:i/>
          <w:iCs/>
          <w:sz w:val="20"/>
          <w:szCs w:val="20"/>
        </w:rPr>
        <w:br w:type="page"/>
      </w:r>
    </w:p>
    <w:p w:rsidR="000167F6" w:rsidRDefault="00DF66D7">
      <w:pPr>
        <w:pStyle w:val="NormalWeb"/>
      </w:pPr>
      <w:r>
        <w:rPr>
          <w:i/>
          <w:iCs/>
          <w:sz w:val="20"/>
          <w:szCs w:val="20"/>
        </w:rPr>
        <w:lastRenderedPageBreak/>
        <w:t>Recently Issued Accounting Standards:</w:t>
      </w:r>
    </w:p>
    <w:p w:rsidR="000167F6" w:rsidRDefault="00DF66D7">
      <w:pPr>
        <w:pStyle w:val="NormalWeb"/>
      </w:pPr>
      <w:r>
        <w:rPr>
          <w:sz w:val="20"/>
          <w:szCs w:val="20"/>
        </w:rPr>
        <w:t>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straight 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w:t>
      </w:r>
    </w:p>
    <w:p w:rsidR="000167F6" w:rsidRDefault="00DF66D7">
      <w:pPr>
        <w:pStyle w:val="NormalWeb"/>
        <w:spacing w:before="0" w:beforeAutospacing="0" w:after="0" w:afterAutospacing="0"/>
        <w:jc w:val="both"/>
        <w:rPr>
          <w:sz w:val="20"/>
          <w:szCs w:val="20"/>
        </w:rPr>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0167F6" w:rsidRDefault="00DF66D7">
      <w:pPr>
        <w:pStyle w:val="NormalWeb"/>
        <w:spacing w:before="0" w:beforeAutospacing="0" w:after="0" w:afterAutospacing="0"/>
        <w:ind w:firstLine="720"/>
        <w:rPr>
          <w:sz w:val="20"/>
          <w:szCs w:val="20"/>
        </w:rPr>
      </w:pPr>
      <w:r>
        <w:rPr>
          <w:sz w:val="20"/>
          <w:szCs w:val="20"/>
        </w:rPr>
        <w:t> </w:t>
      </w:r>
    </w:p>
    <w:p w:rsidR="000167F6" w:rsidRDefault="00DF66D7">
      <w:pPr>
        <w:pStyle w:val="NormalWeb"/>
        <w:spacing w:before="0" w:beforeAutospacing="0" w:after="0" w:afterAutospacing="0"/>
        <w:jc w:val="both"/>
        <w:rPr>
          <w:sz w:val="20"/>
          <w:szCs w:val="20"/>
        </w:rPr>
      </w:pPr>
      <w:r>
        <w:rPr>
          <w:sz w:val="20"/>
          <w:szCs w:val="20"/>
        </w:rPr>
        <w:t>Other recent accounting pronouncements issued by the FASB did not or are not believed by management to have a material impact on the Company's present or future financial statements.</w:t>
      </w:r>
    </w:p>
    <w:p w:rsidR="000167F6" w:rsidRDefault="00DF66D7">
      <w:pPr>
        <w:pStyle w:val="NormalWeb"/>
      </w:pPr>
      <w:r>
        <w:t> </w:t>
      </w:r>
      <w:r>
        <w:rPr>
          <w:b/>
          <w:bCs/>
          <w:sz w:val="20"/>
          <w:szCs w:val="20"/>
        </w:rPr>
        <w:t>NOTE 3 - MAJOR CUSTOMER:</w:t>
      </w:r>
    </w:p>
    <w:p w:rsidR="000167F6" w:rsidRDefault="00DF66D7">
      <w:pPr>
        <w:pStyle w:val="NormalWeb"/>
        <w:rPr>
          <w:sz w:val="20"/>
          <w:szCs w:val="20"/>
        </w:rPr>
      </w:pPr>
      <w:r>
        <w:rPr>
          <w:sz w:val="20"/>
          <w:szCs w:val="20"/>
        </w:rPr>
        <w:t xml:space="preserve">The Company's subsidiary, Anton Nielsen Vojens, ApS has sales to major customers who were non related parties. For the period ending December 31, 2016, and December 31, 2015 the major customer concentrations were as follows: </w:t>
      </w:r>
    </w:p>
    <w:p w:rsidR="00AC107F" w:rsidRDefault="00AC107F">
      <w:pPr>
        <w:pStyle w:val="NormalWeb"/>
      </w:pPr>
    </w:p>
    <w:tbl>
      <w:tblPr>
        <w:tblW w:w="4250" w:type="pct"/>
        <w:jc w:val="center"/>
        <w:tblCellSpacing w:w="0" w:type="dxa"/>
        <w:tblCellMar>
          <w:left w:w="0" w:type="dxa"/>
          <w:right w:w="0" w:type="dxa"/>
        </w:tblCellMar>
        <w:tblLook w:val="04A0" w:firstRow="1" w:lastRow="0" w:firstColumn="1" w:lastColumn="0" w:noHBand="0" w:noVBand="1"/>
      </w:tblPr>
      <w:tblGrid>
        <w:gridCol w:w="6857"/>
        <w:gridCol w:w="65"/>
        <w:gridCol w:w="65"/>
        <w:gridCol w:w="65"/>
        <w:gridCol w:w="799"/>
        <w:gridCol w:w="200"/>
        <w:gridCol w:w="65"/>
        <w:gridCol w:w="65"/>
        <w:gridCol w:w="799"/>
        <w:gridCol w:w="200"/>
      </w:tblGrid>
      <w:tr w:rsidR="000167F6">
        <w:trPr>
          <w:tblCellSpacing w:w="0" w:type="dxa"/>
          <w:jc w:val="center"/>
        </w:trPr>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Percent of Sales</w:t>
            </w:r>
            <w:r>
              <w:rPr>
                <w:b/>
                <w:bCs/>
                <w:sz w:val="20"/>
                <w:szCs w:val="20"/>
              </w:rPr>
              <w:br/>
              <w:t xml:space="preserve">for the Period ending December 31,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jc w:val="center"/>
        </w:trPr>
        <w:tc>
          <w:tcPr>
            <w:tcW w:w="0" w:type="auto"/>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2015</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jc w:val="center"/>
        </w:trPr>
        <w:tc>
          <w:tcPr>
            <w:tcW w:w="3750" w:type="pct"/>
            <w:shd w:val="clear" w:color="auto" w:fill="CCEEFF"/>
            <w:hideMark/>
          </w:tcPr>
          <w:p w:rsidR="000167F6" w:rsidRDefault="00DF66D7">
            <w:pPr>
              <w:pStyle w:val="NormalWeb"/>
              <w:spacing w:before="0" w:beforeAutospacing="0" w:after="0" w:afterAutospacing="0"/>
              <w:jc w:val="center"/>
              <w:rPr>
                <w:sz w:val="20"/>
                <w:szCs w:val="20"/>
              </w:rPr>
            </w:pPr>
            <w:r>
              <w:rPr>
                <w:sz w:val="20"/>
                <w:szCs w:val="20"/>
              </w:rPr>
              <w:t>StatOil A/S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r>
      <w:tr w:rsidR="000167F6">
        <w:trPr>
          <w:tblCellSpacing w:w="0" w:type="dxa"/>
          <w:jc w:val="center"/>
        </w:trPr>
        <w:tc>
          <w:tcPr>
            <w:tcW w:w="0" w:type="auto"/>
            <w:shd w:val="clear" w:color="auto" w:fill="FFFFFF"/>
            <w:vAlign w:val="center"/>
            <w:hideMark/>
          </w:tcPr>
          <w:p w:rsidR="000167F6" w:rsidRDefault="00DF66D7">
            <w:pPr>
              <w:pStyle w:val="NormalWeb"/>
              <w:spacing w:before="0" w:beforeAutospacing="0" w:after="0" w:afterAutospacing="0"/>
              <w:jc w:val="center"/>
              <w:rPr>
                <w:sz w:val="20"/>
                <w:szCs w:val="20"/>
              </w:rPr>
            </w:pPr>
            <w:r>
              <w:rPr>
                <w:sz w:val="20"/>
                <w:szCs w:val="20"/>
              </w:rPr>
              <w:t>-</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jc w:val="center"/>
        </w:trPr>
        <w:tc>
          <w:tcPr>
            <w:tcW w:w="0" w:type="auto"/>
            <w:shd w:val="clear" w:color="auto" w:fill="CCEEFF"/>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jc w:val="center"/>
        </w:trPr>
        <w:tc>
          <w:tcPr>
            <w:tcW w:w="0" w:type="auto"/>
            <w:shd w:val="clear" w:color="auto" w:fill="FFFFFF"/>
            <w:hideMark/>
          </w:tcPr>
          <w:p w:rsidR="000167F6" w:rsidRDefault="00DF66D7">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167F6" w:rsidRDefault="00DF66D7">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167F6" w:rsidRDefault="00DF66D7">
            <w:pPr>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167F6" w:rsidRDefault="00DF66D7">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167F6" w:rsidRDefault="00DF66D7">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167F6" w:rsidRDefault="00DF66D7">
            <w:pPr>
              <w:jc w:val="both"/>
              <w:rPr>
                <w:rFonts w:eastAsia="Times New Roman"/>
                <w:sz w:val="20"/>
                <w:szCs w:val="20"/>
              </w:rPr>
            </w:pPr>
            <w:r>
              <w:rPr>
                <w:rFonts w:eastAsia="Times New Roman"/>
                <w:b/>
                <w:bCs/>
                <w:sz w:val="20"/>
                <w:szCs w:val="20"/>
              </w:rPr>
              <w:t>%</w:t>
            </w:r>
          </w:p>
        </w:tc>
      </w:tr>
    </w:tbl>
    <w:p w:rsidR="000167F6" w:rsidRDefault="00DF66D7">
      <w:pPr>
        <w:pStyle w:val="NormalWeb"/>
      </w:pPr>
      <w:r>
        <w:rPr>
          <w:b/>
          <w:bCs/>
          <w:sz w:val="20"/>
          <w:szCs w:val="20"/>
        </w:rPr>
        <w:t>NOTE 4 - LAND:</w:t>
      </w:r>
    </w:p>
    <w:p w:rsidR="000167F6" w:rsidRDefault="00DF66D7">
      <w:pPr>
        <w:pStyle w:val="NormalWeb"/>
      </w:pPr>
      <w:r>
        <w:rPr>
          <w:sz w:val="20"/>
          <w:szCs w:val="20"/>
        </w:rPr>
        <w:t>The Land owned by the Company's wholly owned subsidiary constitutes the largest asset of the Company. As of December 31, 2016 the difference in the Land's carrying value as recorded on the balance sheet amounting to $(22,363) is solely due to the currency translation difference.  The carrying value of the Land of the Company was as follows:</w:t>
      </w:r>
    </w:p>
    <w:p w:rsidR="000167F6" w:rsidRDefault="00DF66D7">
      <w:pPr>
        <w:pStyle w:val="NormalWeb"/>
        <w:spacing w:before="0" w:beforeAutospacing="0" w:after="0" w:afterAutospacing="0"/>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4"/>
        <w:gridCol w:w="89"/>
        <w:gridCol w:w="101"/>
        <w:gridCol w:w="823"/>
        <w:gridCol w:w="89"/>
        <w:gridCol w:w="90"/>
        <w:gridCol w:w="100"/>
        <w:gridCol w:w="824"/>
        <w:gridCol w:w="90"/>
      </w:tblGrid>
      <w:tr w:rsidR="000167F6">
        <w:trPr>
          <w:tblCellSpacing w:w="0" w:type="dxa"/>
          <w:jc w:val="center"/>
        </w:trPr>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 xml:space="preserve">Carrying Value of Land at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jc w:val="center"/>
        </w:trPr>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December 31, 2016</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167F6" w:rsidRDefault="00DF66D7">
            <w:pPr>
              <w:pStyle w:val="NormalWeb"/>
              <w:spacing w:before="0" w:beforeAutospacing="0" w:after="0" w:afterAutospacing="0"/>
              <w:jc w:val="center"/>
              <w:rPr>
                <w:sz w:val="20"/>
                <w:szCs w:val="20"/>
              </w:rPr>
            </w:pPr>
            <w:r>
              <w:rPr>
                <w:b/>
                <w:bCs/>
                <w:sz w:val="20"/>
                <w:szCs w:val="20"/>
              </w:rPr>
              <w:t>June 30, 2016</w:t>
            </w:r>
          </w:p>
        </w:tc>
        <w:tc>
          <w:tcPr>
            <w:tcW w:w="0" w:type="auto"/>
            <w:vAlign w:val="bottom"/>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rHeight w:val="150"/>
          <w:tblCellSpacing w:w="0" w:type="dxa"/>
          <w:jc w:val="center"/>
        </w:trPr>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c>
          <w:tcPr>
            <w:tcW w:w="0" w:type="auto"/>
            <w:vAlign w:val="center"/>
            <w:hideMark/>
          </w:tcPr>
          <w:p w:rsidR="000167F6" w:rsidRDefault="00DF66D7">
            <w:pPr>
              <w:pStyle w:val="NormalWeb"/>
              <w:spacing w:before="0" w:beforeAutospacing="0" w:after="0" w:afterAutospacing="0"/>
              <w:jc w:val="both"/>
              <w:rPr>
                <w:sz w:val="20"/>
                <w:szCs w:val="20"/>
              </w:rPr>
            </w:pPr>
            <w:r>
              <w:rPr>
                <w:sz w:val="20"/>
                <w:szCs w:val="20"/>
              </w:rPr>
              <w:t> </w:t>
            </w:r>
          </w:p>
        </w:tc>
      </w:tr>
      <w:tr w:rsidR="000167F6">
        <w:trPr>
          <w:tblCellSpacing w:w="0" w:type="dxa"/>
          <w:jc w:val="center"/>
        </w:trPr>
        <w:tc>
          <w:tcPr>
            <w:tcW w:w="0" w:type="auto"/>
            <w:shd w:val="clear" w:color="auto" w:fill="CCEEFF"/>
            <w:hideMark/>
          </w:tcPr>
          <w:p w:rsidR="000167F6" w:rsidRDefault="00DF66D7">
            <w:pPr>
              <w:pStyle w:val="NormalWeb"/>
              <w:spacing w:before="0" w:beforeAutospacing="0" w:after="0" w:afterAutospacing="0"/>
              <w:ind w:left="225"/>
              <w:rPr>
                <w:sz w:val="20"/>
                <w:szCs w:val="20"/>
              </w:rPr>
            </w:pPr>
            <w:r>
              <w:rPr>
                <w:sz w:val="20"/>
                <w:szCs w:val="20"/>
              </w:rPr>
              <w:t>US Dollars</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572,917</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167F6" w:rsidRDefault="00DF66D7">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sz w:val="20"/>
                <w:szCs w:val="20"/>
              </w:rPr>
            </w:pPr>
            <w:r>
              <w:rPr>
                <w:rFonts w:eastAsia="Times New Roman"/>
                <w:sz w:val="20"/>
                <w:szCs w:val="20"/>
              </w:rPr>
              <w:t>595,280</w:t>
            </w:r>
          </w:p>
        </w:tc>
        <w:tc>
          <w:tcPr>
            <w:tcW w:w="50" w:type="pct"/>
            <w:shd w:val="clear" w:color="auto" w:fill="CCEEFF"/>
            <w:vAlign w:val="bottom"/>
            <w:hideMark/>
          </w:tcPr>
          <w:p w:rsidR="000167F6" w:rsidRDefault="00DF66D7">
            <w:pPr>
              <w:pStyle w:val="NormalWeb"/>
              <w:spacing w:before="0" w:beforeAutospacing="0" w:after="0" w:afterAutospacing="0"/>
              <w:jc w:val="both"/>
              <w:rPr>
                <w:sz w:val="20"/>
                <w:szCs w:val="20"/>
              </w:rPr>
            </w:pPr>
            <w:r>
              <w:rPr>
                <w:sz w:val="20"/>
                <w:szCs w:val="20"/>
              </w:rPr>
              <w:t> </w:t>
            </w:r>
          </w:p>
        </w:tc>
      </w:tr>
    </w:tbl>
    <w:p w:rsidR="000167F6" w:rsidRDefault="00DF66D7">
      <w:pPr>
        <w:pStyle w:val="NormalWeb"/>
        <w:spacing w:before="0" w:beforeAutospacing="0" w:after="0" w:afterAutospacing="0"/>
      </w:pPr>
      <w:r>
        <w:rPr>
          <w:b/>
          <w:bCs/>
          <w:sz w:val="20"/>
          <w:szCs w:val="20"/>
        </w:rPr>
        <w:t>NOTE 5 - RELATED PARTY TRANSACTIONS:</w:t>
      </w:r>
      <w:r>
        <w:rPr>
          <w:b/>
          <w:bCs/>
          <w:sz w:val="20"/>
          <w:szCs w:val="20"/>
        </w:rPr>
        <w:br/>
      </w:r>
      <w:r>
        <w:rPr>
          <w:sz w:val="20"/>
          <w:szCs w:val="20"/>
        </w:rPr>
        <w:br/>
        <w:t xml:space="preserve">Crossfields, Inc., a company that the CEO, Robert Wolfe is an officer and director, has made advances to the Company which are not collateralized, non-interest bearing, and payable upon demand, however, the Company did not expect to make payment within one year. As of December 31, 2016, the amount due to Crossfields was $92,430. Crossfields advanced an additional $14,168 during the six months ended December 31, 2016 to meet expenses. </w:t>
      </w:r>
    </w:p>
    <w:p w:rsidR="000167F6" w:rsidRDefault="000B52F0" w:rsidP="00423D3D">
      <w:pPr>
        <w:pStyle w:val="NormalWeb"/>
        <w:spacing w:before="0" w:beforeAutospacing="0" w:after="0" w:afterAutospacing="0"/>
      </w:pPr>
      <w:hyperlink w:anchor="toc" w:history="1">
        <w:r w:rsidR="00DF66D7">
          <w:rPr>
            <w:rStyle w:val="Hyperlink"/>
            <w:b/>
            <w:bCs/>
            <w:sz w:val="20"/>
            <w:szCs w:val="20"/>
          </w:rPr>
          <w:t>Return to Table of Contents</w:t>
        </w:r>
      </w:hyperlink>
    </w:p>
    <w:p w:rsidR="000167F6" w:rsidRDefault="000B52F0" w:rsidP="00423D3D">
      <w:pPr>
        <w:rPr>
          <w:rFonts w:eastAsia="Times New Roman"/>
        </w:rPr>
      </w:pPr>
      <w:r>
        <w:rPr>
          <w:rFonts w:eastAsia="Times New Roman"/>
        </w:rPr>
        <w:pict>
          <v:rect id="_x0000_i1031" style="width:0;height:2pt" o:hralign="center" o:hrstd="t" o:hrnoshade="t" o:hr="t" fillcolor="black" stroked="f"/>
        </w:pict>
      </w:r>
    </w:p>
    <w:p w:rsidR="000167F6" w:rsidRDefault="00DF66D7">
      <w:pPr>
        <w:pStyle w:val="NormalWeb"/>
        <w:rPr>
          <w:rFonts w:ascii="were non-interest bearing and w" w:hAnsi="were non-interest bearing and w"/>
        </w:rPr>
      </w:pPr>
      <w:r>
        <w:lastRenderedPageBreak/>
        <w:t> </w:t>
      </w:r>
      <w:r>
        <w:rPr>
          <w:b/>
          <w:bCs/>
          <w:sz w:val="20"/>
          <w:szCs w:val="20"/>
        </w:rPr>
        <w:t>NOTE 6 - NOTES PAYABLE:</w:t>
      </w:r>
    </w:p>
    <w:p w:rsidR="000167F6" w:rsidRDefault="00DF66D7">
      <w:pPr>
        <w:pStyle w:val="NormalWeb"/>
        <w:rPr>
          <w:rFonts w:ascii="were non-interest bearing and w" w:hAnsi="were non-interest bearing and w"/>
        </w:rPr>
      </w:pPr>
      <w:r>
        <w:rPr>
          <w:sz w:val="20"/>
          <w:szCs w:val="20"/>
        </w:rPr>
        <w:t>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2017 and interest waived through the period ending December 31, 2016. The balance on the note as of December 31, 2016 and June 30, 2016 was $127,029.</w:t>
      </w:r>
    </w:p>
    <w:p w:rsidR="000167F6" w:rsidRDefault="00DF66D7">
      <w:pPr>
        <w:pStyle w:val="NormalWeb"/>
        <w:divId w:val="397289341"/>
        <w:rPr>
          <w:rFonts w:ascii="were non-interest bearing and w" w:hAnsi="were non-interest bearing and w"/>
        </w:rPr>
      </w:pPr>
      <w:r>
        <w:rPr>
          <w:rFonts w:ascii="were non-interest bearing and w" w:hAnsi="were non-interest bearing and w"/>
          <w:sz w:val="20"/>
          <w:szCs w:val="20"/>
        </w:rPr>
        <w:t>The Company has a note payable with a bank. The original amount of the note was kr 800,000 Danish Krone (kr) ("Note A"). The note is secured by the revenues of the lease with Statoil, with a 7.00% interest rate and 1.5 years left on the term. The balance on the note as of December 31, 2016 was $14,625. The Company made principal payments of $4,727 and interest payments of $678. The value of the note reflect the currency adjustments. The paragraph below summarizes the company's commitments going forward.</w:t>
      </w:r>
    </w:p>
    <w:p w:rsidR="000167F6" w:rsidRDefault="00DF66D7">
      <w:pPr>
        <w:pStyle w:val="NormalWeb"/>
        <w:divId w:val="397289341"/>
        <w:rPr>
          <w:rFonts w:ascii="were non-interest bearing and w" w:hAnsi="were non-interest bearing and w"/>
        </w:rPr>
      </w:pPr>
      <w:r>
        <w:rPr>
          <w:sz w:val="20"/>
          <w:szCs w:val="20"/>
        </w:rPr>
        <w:t>The Company has a note payable with a bank ("Note B"). The original amount of Note B was kr 1,132,000 Danish Krone (kr). Note B is secured by the subsidiary's real estate, with a 2.00% interest rate and 7 years left on the term. The balance on the note as of December 31, 2016 was $113,928. During the period ended December 31, 2016, the Company paid $7,686 in principal payments and $2,798 in interest payments.</w:t>
      </w:r>
    </w:p>
    <w:p w:rsidR="000167F6" w:rsidRDefault="00DF66D7">
      <w:pPr>
        <w:pStyle w:val="NormalWeb"/>
        <w:divId w:val="397289341"/>
        <w:rPr>
          <w:rFonts w:ascii="were non-interest bearing and w" w:hAnsi="were non-interest bearing and w"/>
        </w:rPr>
      </w:pPr>
      <w:r>
        <w:rPr>
          <w:sz w:val="20"/>
          <w:szCs w:val="20"/>
        </w:rPr>
        <w:t>The Company's debt obligations at December 31, 2016 and June 30, 2016 are:</w:t>
      </w:r>
    </w:p>
    <w:tbl>
      <w:tblPr>
        <w:tblW w:w="4500" w:type="pct"/>
        <w:tblCellSpacing w:w="0" w:type="dxa"/>
        <w:tblCellMar>
          <w:left w:w="0" w:type="dxa"/>
          <w:right w:w="0" w:type="dxa"/>
        </w:tblCellMar>
        <w:tblLook w:val="04A0" w:firstRow="1" w:lastRow="0" w:firstColumn="1" w:lastColumn="0" w:noHBand="0" w:noVBand="1"/>
      </w:tblPr>
      <w:tblGrid>
        <w:gridCol w:w="7386"/>
        <w:gridCol w:w="96"/>
        <w:gridCol w:w="100"/>
        <w:gridCol w:w="874"/>
        <w:gridCol w:w="96"/>
        <w:gridCol w:w="96"/>
        <w:gridCol w:w="100"/>
        <w:gridCol w:w="875"/>
        <w:gridCol w:w="97"/>
      </w:tblGrid>
      <w:tr w:rsidR="000167F6">
        <w:trPr>
          <w:divId w:val="397289341"/>
          <w:tblCellSpacing w:w="0" w:type="dxa"/>
        </w:trPr>
        <w:tc>
          <w:tcPr>
            <w:tcW w:w="0" w:type="auto"/>
            <w:vAlign w:val="bottom"/>
            <w:hideMark/>
          </w:tcPr>
          <w:p w:rsidR="000167F6" w:rsidRDefault="000167F6">
            <w:pPr>
              <w:rPr>
                <w:rFonts w:ascii="were non-interest bearing and w" w:hAnsi="were non-interest bearing and w"/>
              </w:rPr>
            </w:pPr>
          </w:p>
        </w:tc>
        <w:tc>
          <w:tcPr>
            <w:tcW w:w="0" w:type="auto"/>
            <w:vAlign w:val="bottom"/>
            <w:hideMark/>
          </w:tcPr>
          <w:p w:rsidR="000167F6" w:rsidRDefault="00DF66D7">
            <w:pPr>
              <w:pStyle w:val="NormalWeb"/>
              <w:spacing w:before="0" w:beforeAutospacing="0" w:after="0" w:afterAutospacing="0"/>
            </w:pPr>
            <w:r>
              <w:rPr>
                <w:b/>
                <w:bCs/>
              </w:rPr>
              <w:t> </w:t>
            </w:r>
          </w:p>
        </w:tc>
        <w:tc>
          <w:tcPr>
            <w:tcW w:w="450" w:type="pct"/>
            <w:gridSpan w:val="2"/>
            <w:tcBorders>
              <w:bottom w:val="single" w:sz="6" w:space="0" w:color="000000"/>
            </w:tcBorders>
            <w:vAlign w:val="bottom"/>
            <w:hideMark/>
          </w:tcPr>
          <w:p w:rsidR="000167F6" w:rsidRDefault="00DF66D7">
            <w:pPr>
              <w:pStyle w:val="NormalWeb"/>
              <w:spacing w:before="0" w:beforeAutospacing="0" w:after="0" w:afterAutospacing="0"/>
              <w:jc w:val="center"/>
            </w:pPr>
            <w:r>
              <w:rPr>
                <w:b/>
                <w:bCs/>
                <w:sz w:val="20"/>
                <w:szCs w:val="20"/>
              </w:rPr>
              <w:t>December 31,</w:t>
            </w:r>
          </w:p>
        </w:tc>
        <w:tc>
          <w:tcPr>
            <w:tcW w:w="0" w:type="auto"/>
            <w:vAlign w:val="bottom"/>
            <w:hideMark/>
          </w:tcPr>
          <w:p w:rsidR="000167F6" w:rsidRDefault="00DF66D7">
            <w:pPr>
              <w:pStyle w:val="NormalWeb"/>
              <w:spacing w:before="0" w:beforeAutospacing="0" w:after="0" w:afterAutospacing="0"/>
            </w:pPr>
            <w:r>
              <w:rPr>
                <w:b/>
                <w:bCs/>
                <w:sz w:val="20"/>
                <w:szCs w:val="20"/>
              </w:rPr>
              <w:t> </w:t>
            </w:r>
          </w:p>
        </w:tc>
        <w:tc>
          <w:tcPr>
            <w:tcW w:w="0" w:type="auto"/>
            <w:vAlign w:val="bottom"/>
            <w:hideMark/>
          </w:tcPr>
          <w:p w:rsidR="000167F6" w:rsidRDefault="00DF66D7">
            <w:pPr>
              <w:pStyle w:val="NormalWeb"/>
              <w:spacing w:before="0" w:beforeAutospacing="0" w:after="0" w:afterAutospacing="0"/>
            </w:pPr>
            <w:r>
              <w:t> </w:t>
            </w:r>
          </w:p>
        </w:tc>
        <w:tc>
          <w:tcPr>
            <w:tcW w:w="450" w:type="pct"/>
            <w:gridSpan w:val="2"/>
            <w:tcBorders>
              <w:bottom w:val="single" w:sz="6" w:space="0" w:color="000000"/>
            </w:tcBorders>
            <w:vAlign w:val="bottom"/>
            <w:hideMark/>
          </w:tcPr>
          <w:p w:rsidR="000167F6" w:rsidRDefault="00DF66D7">
            <w:pPr>
              <w:pStyle w:val="NormalWeb"/>
              <w:spacing w:before="0" w:beforeAutospacing="0" w:after="0" w:afterAutospacing="0"/>
              <w:jc w:val="center"/>
            </w:pPr>
            <w:r>
              <w:rPr>
                <w:b/>
                <w:bCs/>
                <w:sz w:val="20"/>
                <w:szCs w:val="20"/>
              </w:rPr>
              <w:t>June 30,</w:t>
            </w:r>
          </w:p>
        </w:tc>
        <w:tc>
          <w:tcPr>
            <w:tcW w:w="0" w:type="auto"/>
            <w:vAlign w:val="bottom"/>
            <w:hideMark/>
          </w:tcPr>
          <w:p w:rsidR="000167F6" w:rsidRDefault="00DF66D7">
            <w:pPr>
              <w:pStyle w:val="NormalWeb"/>
              <w:spacing w:before="0" w:beforeAutospacing="0" w:after="0" w:afterAutospacing="0"/>
            </w:pPr>
            <w:r>
              <w:rPr>
                <w:b/>
                <w:bCs/>
                <w:sz w:val="20"/>
                <w:szCs w:val="20"/>
              </w:rPr>
              <w:t> </w:t>
            </w:r>
          </w:p>
        </w:tc>
      </w:tr>
      <w:tr w:rsidR="000167F6">
        <w:trPr>
          <w:divId w:val="397289341"/>
          <w:trHeight w:val="150"/>
          <w:tblCellSpacing w:w="0" w:type="dxa"/>
        </w:trPr>
        <w:tc>
          <w:tcPr>
            <w:tcW w:w="0" w:type="auto"/>
            <w:shd w:val="clear" w:color="auto" w:fill="FFFFFF"/>
            <w:vAlign w:val="center"/>
            <w:hideMark/>
          </w:tcPr>
          <w:p w:rsidR="000167F6" w:rsidRDefault="00DF66D7">
            <w:pPr>
              <w:pStyle w:val="NormalWeb"/>
              <w:spacing w:before="0" w:beforeAutospacing="0" w:after="0" w:afterAutospacing="0"/>
            </w:pPr>
            <w:r>
              <w:rPr>
                <w:b/>
                <w:bCs/>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pPr>
            <w:r>
              <w:rPr>
                <w:b/>
                <w:bCs/>
                <w:sz w:val="20"/>
                <w:szCs w:val="20"/>
              </w:rPr>
              <w:t> </w:t>
            </w:r>
          </w:p>
        </w:tc>
        <w:tc>
          <w:tcPr>
            <w:tcW w:w="0" w:type="auto"/>
            <w:gridSpan w:val="2"/>
            <w:shd w:val="clear" w:color="auto" w:fill="FFFFFF"/>
            <w:vAlign w:val="center"/>
            <w:hideMark/>
          </w:tcPr>
          <w:p w:rsidR="000167F6" w:rsidRDefault="00DF66D7">
            <w:pPr>
              <w:pStyle w:val="NormalWeb"/>
              <w:spacing w:before="0" w:beforeAutospacing="0" w:after="0" w:afterAutospacing="0"/>
              <w:jc w:val="center"/>
            </w:pPr>
            <w:r>
              <w:rPr>
                <w:b/>
                <w:bCs/>
                <w:sz w:val="20"/>
                <w:szCs w:val="20"/>
              </w:rPr>
              <w:t> 2016 </w:t>
            </w:r>
          </w:p>
        </w:tc>
        <w:tc>
          <w:tcPr>
            <w:tcW w:w="0" w:type="auto"/>
            <w:shd w:val="clear" w:color="auto" w:fill="FFFFFF"/>
            <w:vAlign w:val="center"/>
            <w:hideMark/>
          </w:tcPr>
          <w:p w:rsidR="000167F6" w:rsidRDefault="00DF66D7">
            <w:pPr>
              <w:pStyle w:val="NormalWeb"/>
              <w:spacing w:before="0" w:beforeAutospacing="0" w:after="0" w:afterAutospacing="0"/>
            </w:pPr>
            <w:r>
              <w:rPr>
                <w:b/>
                <w:bCs/>
                <w:sz w:val="20"/>
                <w:szCs w:val="20"/>
              </w:rPr>
              <w:t> </w:t>
            </w:r>
          </w:p>
        </w:tc>
        <w:tc>
          <w:tcPr>
            <w:tcW w:w="0" w:type="auto"/>
            <w:shd w:val="clear" w:color="auto" w:fill="FFFFFF"/>
            <w:vAlign w:val="center"/>
            <w:hideMark/>
          </w:tcPr>
          <w:p w:rsidR="000167F6" w:rsidRDefault="00DF66D7">
            <w:pPr>
              <w:pStyle w:val="NormalWeb"/>
              <w:spacing w:before="0" w:beforeAutospacing="0" w:after="0" w:afterAutospacing="0"/>
            </w:pPr>
            <w:r>
              <w:t> </w:t>
            </w:r>
          </w:p>
        </w:tc>
        <w:tc>
          <w:tcPr>
            <w:tcW w:w="0" w:type="auto"/>
            <w:gridSpan w:val="2"/>
            <w:shd w:val="clear" w:color="auto" w:fill="FFFFFF"/>
            <w:vAlign w:val="center"/>
            <w:hideMark/>
          </w:tcPr>
          <w:p w:rsidR="000167F6" w:rsidRDefault="00DF66D7">
            <w:pPr>
              <w:pStyle w:val="NormalWeb"/>
              <w:spacing w:before="0" w:beforeAutospacing="0" w:after="0" w:afterAutospacing="0"/>
              <w:jc w:val="center"/>
            </w:pPr>
            <w:r>
              <w:rPr>
                <w:b/>
                <w:bCs/>
                <w:sz w:val="20"/>
                <w:szCs w:val="20"/>
              </w:rPr>
              <w:t> 2016 </w:t>
            </w:r>
          </w:p>
        </w:tc>
        <w:tc>
          <w:tcPr>
            <w:tcW w:w="0" w:type="auto"/>
            <w:shd w:val="clear" w:color="auto" w:fill="FFFFFF"/>
            <w:vAlign w:val="center"/>
            <w:hideMark/>
          </w:tcPr>
          <w:p w:rsidR="000167F6" w:rsidRDefault="00DF66D7">
            <w:pPr>
              <w:pStyle w:val="NormalWeb"/>
              <w:spacing w:before="0" w:beforeAutospacing="0" w:after="0" w:afterAutospacing="0"/>
            </w:pPr>
            <w:r>
              <w:rPr>
                <w:b/>
                <w:bCs/>
                <w:sz w:val="20"/>
                <w:szCs w:val="20"/>
              </w:rPr>
              <w:t> </w:t>
            </w:r>
          </w:p>
        </w:tc>
      </w:tr>
      <w:tr w:rsidR="000167F6">
        <w:trPr>
          <w:divId w:val="397289341"/>
          <w:tblCellSpacing w:w="0" w:type="dxa"/>
        </w:trPr>
        <w:tc>
          <w:tcPr>
            <w:tcW w:w="0" w:type="auto"/>
            <w:shd w:val="clear" w:color="auto" w:fill="CCEEFF"/>
            <w:hideMark/>
          </w:tcPr>
          <w:p w:rsidR="000167F6" w:rsidRDefault="00DF66D7">
            <w:pPr>
              <w:pStyle w:val="NormalWeb"/>
              <w:spacing w:before="0" w:beforeAutospacing="0" w:after="0" w:afterAutospacing="0"/>
              <w:ind w:left="225"/>
            </w:pPr>
            <w:r>
              <w:rPr>
                <w:sz w:val="20"/>
                <w:szCs w:val="20"/>
              </w:rPr>
              <w:t>Bank Loans</w:t>
            </w:r>
          </w:p>
        </w:tc>
        <w:tc>
          <w:tcPr>
            <w:tcW w:w="50" w:type="pct"/>
            <w:shd w:val="clear" w:color="auto" w:fill="CCEEFF"/>
            <w:vAlign w:val="bottom"/>
            <w:hideMark/>
          </w:tcPr>
          <w:p w:rsidR="000167F6" w:rsidRDefault="00DF66D7">
            <w:pPr>
              <w:pStyle w:val="NormalWeb"/>
              <w:spacing w:before="0" w:beforeAutospacing="0" w:after="0" w:afterAutospacing="0"/>
            </w:pPr>
            <w:r>
              <w:t> </w:t>
            </w:r>
          </w:p>
        </w:tc>
        <w:tc>
          <w:tcPr>
            <w:tcW w:w="50" w:type="pct"/>
            <w:shd w:val="clear" w:color="auto" w:fill="CCEEFF"/>
            <w:vAlign w:val="bottom"/>
            <w:hideMark/>
          </w:tcPr>
          <w:p w:rsidR="000167F6" w:rsidRDefault="00DF66D7">
            <w:pPr>
              <w:jc w:val="right"/>
              <w:rPr>
                <w:rFonts w:eastAsia="Times New Roman"/>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rPr>
            </w:pPr>
            <w:r>
              <w:rPr>
                <w:rFonts w:eastAsia="Times New Roman"/>
                <w:sz w:val="20"/>
                <w:szCs w:val="20"/>
              </w:rPr>
              <w:t>128,552</w:t>
            </w:r>
          </w:p>
        </w:tc>
        <w:tc>
          <w:tcPr>
            <w:tcW w:w="50" w:type="pct"/>
            <w:shd w:val="clear" w:color="auto" w:fill="CCEEFF"/>
            <w:vAlign w:val="bottom"/>
            <w:hideMark/>
          </w:tcPr>
          <w:p w:rsidR="000167F6" w:rsidRDefault="00DF66D7">
            <w:pPr>
              <w:pStyle w:val="NormalWeb"/>
              <w:spacing w:before="0" w:beforeAutospacing="0" w:after="0" w:afterAutospacing="0"/>
              <w:jc w:val="right"/>
            </w:pPr>
            <w:r>
              <w:t> </w:t>
            </w:r>
          </w:p>
        </w:tc>
        <w:tc>
          <w:tcPr>
            <w:tcW w:w="50" w:type="pct"/>
            <w:shd w:val="clear" w:color="auto" w:fill="CCEEFF"/>
            <w:vAlign w:val="bottom"/>
            <w:hideMark/>
          </w:tcPr>
          <w:p w:rsidR="000167F6" w:rsidRDefault="00DF66D7">
            <w:pPr>
              <w:pStyle w:val="NormalWeb"/>
              <w:spacing w:before="0" w:beforeAutospacing="0" w:after="0" w:afterAutospacing="0"/>
            </w:pPr>
            <w:r>
              <w:t> </w:t>
            </w:r>
          </w:p>
        </w:tc>
        <w:tc>
          <w:tcPr>
            <w:tcW w:w="50" w:type="pct"/>
            <w:shd w:val="clear" w:color="auto" w:fill="CCEEFF"/>
            <w:vAlign w:val="bottom"/>
            <w:hideMark/>
          </w:tcPr>
          <w:p w:rsidR="000167F6" w:rsidRDefault="00DF66D7">
            <w:pPr>
              <w:jc w:val="right"/>
              <w:rPr>
                <w:rFonts w:eastAsia="Times New Roman"/>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rPr>
            </w:pPr>
            <w:r>
              <w:rPr>
                <w:rFonts w:eastAsia="Times New Roman"/>
                <w:sz w:val="20"/>
                <w:szCs w:val="20"/>
              </w:rPr>
              <w:t>146,467</w:t>
            </w:r>
          </w:p>
        </w:tc>
        <w:tc>
          <w:tcPr>
            <w:tcW w:w="50" w:type="pct"/>
            <w:shd w:val="clear" w:color="auto" w:fill="CCEEFF"/>
            <w:vAlign w:val="bottom"/>
            <w:hideMark/>
          </w:tcPr>
          <w:p w:rsidR="000167F6" w:rsidRDefault="00DF66D7">
            <w:pPr>
              <w:pStyle w:val="NormalWeb"/>
              <w:spacing w:before="0" w:beforeAutospacing="0" w:after="0" w:afterAutospacing="0"/>
            </w:pPr>
            <w:r>
              <w:t> </w:t>
            </w:r>
          </w:p>
        </w:tc>
      </w:tr>
      <w:tr w:rsidR="000167F6">
        <w:trPr>
          <w:divId w:val="397289341"/>
          <w:tblCellSpacing w:w="0" w:type="dxa"/>
        </w:trPr>
        <w:tc>
          <w:tcPr>
            <w:tcW w:w="0" w:type="auto"/>
            <w:shd w:val="clear" w:color="auto" w:fill="FFFFFF"/>
            <w:hideMark/>
          </w:tcPr>
          <w:p w:rsidR="000167F6" w:rsidRDefault="00DF66D7">
            <w:pPr>
              <w:pStyle w:val="NormalWeb"/>
              <w:spacing w:before="0" w:beforeAutospacing="0" w:after="0" w:afterAutospacing="0"/>
              <w:ind w:left="225"/>
            </w:pPr>
            <w:r>
              <w:rPr>
                <w:sz w:val="20"/>
                <w:szCs w:val="20"/>
              </w:rPr>
              <w:t>Borkwood Development Ltd</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rPr>
            </w:pPr>
            <w:r>
              <w:rPr>
                <w:rFonts w:eastAsia="Times New Roman"/>
                <w:sz w:val="20"/>
                <w:szCs w:val="20"/>
              </w:rPr>
              <w:t>127,029</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right"/>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pPr>
            <w: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rPr>
            </w:pPr>
            <w:r>
              <w:rPr>
                <w:rFonts w:eastAsia="Times New Roman"/>
                <w:sz w:val="20"/>
                <w:szCs w:val="20"/>
              </w:rPr>
              <w:t>127,029</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right"/>
            </w:pPr>
            <w:r>
              <w:rPr>
                <w:sz w:val="20"/>
                <w:szCs w:val="20"/>
              </w:rPr>
              <w:t> </w:t>
            </w:r>
          </w:p>
        </w:tc>
      </w:tr>
      <w:tr w:rsidR="000167F6">
        <w:trPr>
          <w:divId w:val="397289341"/>
          <w:tblCellSpacing w:w="0" w:type="dxa"/>
        </w:trPr>
        <w:tc>
          <w:tcPr>
            <w:tcW w:w="0" w:type="auto"/>
            <w:shd w:val="clear" w:color="auto" w:fill="CCEEFF"/>
            <w:vAlign w:val="bottom"/>
            <w:hideMark/>
          </w:tcPr>
          <w:p w:rsidR="000167F6" w:rsidRDefault="00DF66D7">
            <w:pPr>
              <w:pStyle w:val="NormalWeb"/>
              <w:spacing w:before="0" w:beforeAutospacing="0" w:after="0" w:afterAutospacing="0"/>
            </w:pPr>
            <w:r>
              <w:rPr>
                <w:sz w:val="20"/>
                <w:szCs w:val="20"/>
              </w:rPr>
              <w:t>Total Debt</w:t>
            </w:r>
          </w:p>
        </w:tc>
        <w:tc>
          <w:tcPr>
            <w:tcW w:w="50" w:type="pct"/>
            <w:shd w:val="clear" w:color="auto" w:fill="CCEEFF"/>
            <w:vAlign w:val="bottom"/>
            <w:hideMark/>
          </w:tcPr>
          <w:p w:rsidR="000167F6" w:rsidRDefault="00DF66D7">
            <w:pPr>
              <w:pStyle w:val="NormalWeb"/>
              <w:spacing w:before="0" w:beforeAutospacing="0" w:after="0" w:afterAutospacing="0"/>
              <w:jc w:val="center"/>
            </w:pPr>
            <w:r>
              <w:rPr>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center"/>
            </w:pPr>
            <w:r>
              <w:rPr>
                <w:b/>
                <w:bCs/>
                <w:sz w:val="20"/>
                <w:szCs w:val="20"/>
              </w:rPr>
              <w:t> </w:t>
            </w:r>
          </w:p>
        </w:tc>
        <w:tc>
          <w:tcPr>
            <w:tcW w:w="450" w:type="pct"/>
            <w:shd w:val="clear" w:color="auto" w:fill="CCEEFF"/>
            <w:vAlign w:val="bottom"/>
            <w:hideMark/>
          </w:tcPr>
          <w:p w:rsidR="000167F6" w:rsidRDefault="00DF66D7">
            <w:pPr>
              <w:jc w:val="right"/>
              <w:rPr>
                <w:rFonts w:eastAsia="Times New Roman"/>
              </w:rPr>
            </w:pPr>
            <w:r>
              <w:rPr>
                <w:rFonts w:eastAsia="Times New Roman"/>
                <w:sz w:val="20"/>
                <w:szCs w:val="20"/>
              </w:rPr>
              <w:t>255,581</w:t>
            </w:r>
            <w:r>
              <w:rPr>
                <w:rFonts w:eastAsia="Times New Roman"/>
              </w:rPr>
              <w:t xml:space="preserve"> </w:t>
            </w:r>
          </w:p>
        </w:tc>
        <w:tc>
          <w:tcPr>
            <w:tcW w:w="50" w:type="pct"/>
            <w:shd w:val="clear" w:color="auto" w:fill="CCEEFF"/>
            <w:vAlign w:val="bottom"/>
            <w:hideMark/>
          </w:tcPr>
          <w:p w:rsidR="000167F6" w:rsidRDefault="00DF66D7">
            <w:pPr>
              <w:pStyle w:val="NormalWeb"/>
              <w:spacing w:before="0" w:beforeAutospacing="0" w:after="0" w:afterAutospacing="0"/>
              <w:jc w:val="right"/>
            </w:pPr>
            <w:r>
              <w:rPr>
                <w:b/>
                <w:bCs/>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jc w:val="center"/>
            </w:pPr>
            <w:r>
              <w:rPr>
                <w:b/>
                <w:bCs/>
                <w:sz w:val="20"/>
                <w:szCs w:val="20"/>
              </w:rPr>
              <w:t> </w:t>
            </w:r>
          </w:p>
        </w:tc>
        <w:tc>
          <w:tcPr>
            <w:tcW w:w="50" w:type="pct"/>
            <w:shd w:val="clear" w:color="auto" w:fill="CCEEFF"/>
            <w:vAlign w:val="bottom"/>
            <w:hideMark/>
          </w:tcPr>
          <w:p w:rsidR="000167F6" w:rsidRDefault="00DF66D7">
            <w:pPr>
              <w:pStyle w:val="NormalWeb"/>
              <w:spacing w:before="0" w:beforeAutospacing="0" w:after="0" w:afterAutospacing="0"/>
            </w:pPr>
            <w:r>
              <w:t> </w:t>
            </w:r>
          </w:p>
        </w:tc>
        <w:tc>
          <w:tcPr>
            <w:tcW w:w="450" w:type="pct"/>
            <w:shd w:val="clear" w:color="auto" w:fill="CCEEFF"/>
            <w:vAlign w:val="bottom"/>
            <w:hideMark/>
          </w:tcPr>
          <w:p w:rsidR="000167F6" w:rsidRDefault="00DF66D7">
            <w:pPr>
              <w:jc w:val="right"/>
              <w:rPr>
                <w:rFonts w:eastAsia="Times New Roman"/>
              </w:rPr>
            </w:pPr>
            <w:r>
              <w:rPr>
                <w:rFonts w:eastAsia="Times New Roman"/>
                <w:sz w:val="20"/>
                <w:szCs w:val="20"/>
              </w:rPr>
              <w:t>273,496</w:t>
            </w:r>
          </w:p>
        </w:tc>
        <w:tc>
          <w:tcPr>
            <w:tcW w:w="50" w:type="pct"/>
            <w:shd w:val="clear" w:color="auto" w:fill="CCEEFF"/>
            <w:vAlign w:val="bottom"/>
            <w:hideMark/>
          </w:tcPr>
          <w:p w:rsidR="000167F6" w:rsidRDefault="00DF66D7">
            <w:pPr>
              <w:pStyle w:val="NormalWeb"/>
              <w:spacing w:before="0" w:beforeAutospacing="0" w:after="0" w:afterAutospacing="0"/>
              <w:jc w:val="center"/>
            </w:pPr>
            <w:r>
              <w:rPr>
                <w:b/>
                <w:bCs/>
                <w:sz w:val="20"/>
                <w:szCs w:val="20"/>
              </w:rPr>
              <w:t> </w:t>
            </w:r>
          </w:p>
        </w:tc>
      </w:tr>
      <w:tr w:rsidR="000167F6">
        <w:trPr>
          <w:divId w:val="397289341"/>
          <w:tblCellSpacing w:w="0" w:type="dxa"/>
        </w:trPr>
        <w:tc>
          <w:tcPr>
            <w:tcW w:w="0" w:type="auto"/>
            <w:shd w:val="clear" w:color="auto" w:fill="FFFFFF"/>
            <w:vAlign w:val="center"/>
            <w:hideMark/>
          </w:tcPr>
          <w:p w:rsidR="000167F6" w:rsidRDefault="00DF66D7">
            <w:pPr>
              <w:pStyle w:val="NormalWeb"/>
              <w:spacing w:before="0" w:beforeAutospacing="0" w:after="0" w:afterAutospacing="0"/>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b/>
                <w:bCs/>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pPr>
            <w:r>
              <w:rPr>
                <w:sz w:val="20"/>
                <w:szCs w:val="20"/>
              </w:rPr>
              <w:t> </w:t>
            </w:r>
          </w:p>
        </w:tc>
        <w:tc>
          <w:tcPr>
            <w:tcW w:w="4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r>
      <w:tr w:rsidR="000167F6">
        <w:trPr>
          <w:divId w:val="397289341"/>
          <w:tblCellSpacing w:w="0" w:type="dxa"/>
        </w:trPr>
        <w:tc>
          <w:tcPr>
            <w:tcW w:w="0" w:type="auto"/>
            <w:shd w:val="clear" w:color="auto" w:fill="CCEEFF"/>
            <w:hideMark/>
          </w:tcPr>
          <w:p w:rsidR="000167F6" w:rsidRDefault="00DF66D7">
            <w:pPr>
              <w:pStyle w:val="NormalWeb"/>
              <w:spacing w:before="0" w:beforeAutospacing="0" w:after="0" w:afterAutospacing="0"/>
            </w:pPr>
            <w:r>
              <w:rPr>
                <w:sz w:val="20"/>
                <w:szCs w:val="20"/>
              </w:rPr>
              <w:t>Less Current Portion of Debt</w:t>
            </w:r>
          </w:p>
        </w:tc>
        <w:tc>
          <w:tcPr>
            <w:tcW w:w="50" w:type="pct"/>
            <w:shd w:val="clear" w:color="auto" w:fill="CCEEFF"/>
            <w:vAlign w:val="bottom"/>
            <w:hideMark/>
          </w:tcPr>
          <w:p w:rsidR="000167F6" w:rsidRDefault="00DF66D7">
            <w:pPr>
              <w:pStyle w:val="NormalWeb"/>
              <w:spacing w:before="0" w:beforeAutospacing="0" w:after="0" w:afterAutospacing="0"/>
              <w:jc w:val="right"/>
            </w:pPr>
            <w:r>
              <w:t> </w:t>
            </w:r>
          </w:p>
        </w:tc>
        <w:tc>
          <w:tcPr>
            <w:tcW w:w="50" w:type="pct"/>
            <w:shd w:val="clear" w:color="auto" w:fill="CCEEFF"/>
            <w:vAlign w:val="bottom"/>
            <w:hideMark/>
          </w:tcPr>
          <w:p w:rsidR="000167F6" w:rsidRDefault="00DF66D7">
            <w:pPr>
              <w:pStyle w:val="NormalWeb"/>
              <w:spacing w:before="0" w:beforeAutospacing="0" w:after="0" w:afterAutospacing="0"/>
              <w:jc w:val="right"/>
            </w:pPr>
            <w:r>
              <w:t> </w:t>
            </w:r>
          </w:p>
        </w:tc>
        <w:tc>
          <w:tcPr>
            <w:tcW w:w="450" w:type="pct"/>
            <w:shd w:val="clear" w:color="auto" w:fill="CCEEFF"/>
            <w:vAlign w:val="bottom"/>
            <w:hideMark/>
          </w:tcPr>
          <w:p w:rsidR="000167F6" w:rsidRDefault="00DF66D7">
            <w:pPr>
              <w:pStyle w:val="NormalWeb"/>
              <w:spacing w:before="0" w:beforeAutospacing="0" w:after="0" w:afterAutospacing="0"/>
              <w:jc w:val="right"/>
            </w:pPr>
            <w:r>
              <w:rPr>
                <w:sz w:val="20"/>
                <w:szCs w:val="20"/>
              </w:rPr>
              <w:t>(149,992)</w:t>
            </w:r>
          </w:p>
        </w:tc>
        <w:tc>
          <w:tcPr>
            <w:tcW w:w="50" w:type="pct"/>
            <w:shd w:val="clear" w:color="auto" w:fill="CCEEFF"/>
            <w:vAlign w:val="bottom"/>
            <w:hideMark/>
          </w:tcPr>
          <w:p w:rsidR="000167F6" w:rsidRDefault="00DF66D7">
            <w:pPr>
              <w:pStyle w:val="NormalWeb"/>
              <w:spacing w:before="0" w:beforeAutospacing="0" w:after="0" w:afterAutospacing="0"/>
              <w:jc w:val="right"/>
            </w:pPr>
            <w:r>
              <w:t> </w:t>
            </w:r>
          </w:p>
        </w:tc>
        <w:tc>
          <w:tcPr>
            <w:tcW w:w="50" w:type="pct"/>
            <w:shd w:val="clear" w:color="auto" w:fill="CCEEFF"/>
            <w:vAlign w:val="bottom"/>
            <w:hideMark/>
          </w:tcPr>
          <w:p w:rsidR="000167F6" w:rsidRDefault="00DF66D7">
            <w:pPr>
              <w:pStyle w:val="NormalWeb"/>
              <w:spacing w:before="0" w:beforeAutospacing="0" w:after="0" w:afterAutospacing="0"/>
              <w:jc w:val="right"/>
            </w:pPr>
            <w:r>
              <w:t> </w:t>
            </w:r>
          </w:p>
        </w:tc>
        <w:tc>
          <w:tcPr>
            <w:tcW w:w="50" w:type="pct"/>
            <w:shd w:val="clear" w:color="auto" w:fill="CCEEFF"/>
            <w:vAlign w:val="bottom"/>
            <w:hideMark/>
          </w:tcPr>
          <w:p w:rsidR="000167F6" w:rsidRDefault="00DF66D7">
            <w:pPr>
              <w:pStyle w:val="NormalWeb"/>
              <w:spacing w:before="0" w:beforeAutospacing="0" w:after="0" w:afterAutospacing="0"/>
            </w:pPr>
            <w:r>
              <w:rPr>
                <w:sz w:val="20"/>
                <w:szCs w:val="20"/>
              </w:rPr>
              <w:t> </w:t>
            </w:r>
          </w:p>
        </w:tc>
        <w:tc>
          <w:tcPr>
            <w:tcW w:w="450" w:type="pct"/>
            <w:shd w:val="clear" w:color="auto" w:fill="CCEEFF"/>
            <w:vAlign w:val="bottom"/>
            <w:hideMark/>
          </w:tcPr>
          <w:p w:rsidR="000167F6" w:rsidRDefault="00DF66D7">
            <w:pPr>
              <w:pStyle w:val="NormalWeb"/>
              <w:spacing w:before="0" w:beforeAutospacing="0" w:after="0" w:afterAutospacing="0"/>
              <w:jc w:val="right"/>
            </w:pPr>
            <w:r>
              <w:rPr>
                <w:sz w:val="20"/>
                <w:szCs w:val="20"/>
              </w:rPr>
              <w:t>(150,887)</w:t>
            </w:r>
          </w:p>
        </w:tc>
        <w:tc>
          <w:tcPr>
            <w:tcW w:w="50" w:type="pct"/>
            <w:shd w:val="clear" w:color="auto" w:fill="CCEEFF"/>
            <w:vAlign w:val="bottom"/>
            <w:hideMark/>
          </w:tcPr>
          <w:p w:rsidR="000167F6" w:rsidRDefault="00DF66D7">
            <w:pPr>
              <w:pStyle w:val="NormalWeb"/>
              <w:spacing w:before="0" w:beforeAutospacing="0" w:after="0" w:afterAutospacing="0"/>
              <w:jc w:val="right"/>
            </w:pPr>
            <w:r>
              <w:t> </w:t>
            </w:r>
          </w:p>
        </w:tc>
      </w:tr>
      <w:tr w:rsidR="000167F6">
        <w:trPr>
          <w:divId w:val="397289341"/>
          <w:tblCellSpacing w:w="0" w:type="dxa"/>
        </w:trPr>
        <w:tc>
          <w:tcPr>
            <w:tcW w:w="0" w:type="auto"/>
            <w:shd w:val="clear" w:color="auto" w:fill="FFFFFF"/>
            <w:hideMark/>
          </w:tcPr>
          <w:p w:rsidR="000167F6" w:rsidRDefault="00DF66D7">
            <w:pPr>
              <w:pStyle w:val="NormalWeb"/>
              <w:spacing w:before="0" w:beforeAutospacing="0" w:after="0" w:afterAutospacing="0"/>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right"/>
            </w:pPr>
            <w:r>
              <w:rPr>
                <w:sz w:val="20"/>
                <w:szCs w:val="20"/>
              </w:rPr>
              <w:t> </w:t>
            </w:r>
          </w:p>
        </w:tc>
        <w:tc>
          <w:tcPr>
            <w:tcW w:w="50" w:type="pct"/>
            <w:shd w:val="clear" w:color="auto" w:fill="FFFFFF"/>
            <w:vAlign w:val="bottom"/>
            <w:hideMark/>
          </w:tcPr>
          <w:p w:rsidR="000167F6" w:rsidRDefault="00DF66D7">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167F6" w:rsidRDefault="00DF66D7">
            <w:pPr>
              <w:pStyle w:val="NormalWeb"/>
              <w:spacing w:before="0" w:beforeAutospacing="0" w:after="0" w:afterAutospacing="0"/>
            </w:pPr>
            <w:r>
              <w:rPr>
                <w:sz w:val="20"/>
                <w:szCs w:val="20"/>
              </w:rPr>
              <w:t> </w:t>
            </w:r>
          </w:p>
        </w:tc>
        <w:tc>
          <w:tcPr>
            <w:tcW w:w="450" w:type="pct"/>
            <w:tcBorders>
              <w:bottom w:val="single" w:sz="6" w:space="0" w:color="000000"/>
            </w:tcBorders>
            <w:shd w:val="clear" w:color="auto" w:fill="FFFFFF"/>
            <w:vAlign w:val="bottom"/>
            <w:hideMark/>
          </w:tcPr>
          <w:p w:rsidR="000167F6" w:rsidRDefault="00DF66D7">
            <w:pPr>
              <w:jc w:val="right"/>
              <w:rPr>
                <w:rFonts w:eastAsia="Times New Roman"/>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167F6" w:rsidRDefault="00DF66D7">
            <w:pPr>
              <w:pStyle w:val="NormalWeb"/>
              <w:spacing w:before="0" w:beforeAutospacing="0" w:after="0" w:afterAutospacing="0"/>
              <w:jc w:val="right"/>
            </w:pPr>
            <w:r>
              <w:rPr>
                <w:sz w:val="20"/>
                <w:szCs w:val="20"/>
              </w:rPr>
              <w:t> </w:t>
            </w:r>
          </w:p>
        </w:tc>
      </w:tr>
      <w:tr w:rsidR="000167F6">
        <w:trPr>
          <w:divId w:val="397289341"/>
          <w:tblCellSpacing w:w="0" w:type="dxa"/>
        </w:trPr>
        <w:tc>
          <w:tcPr>
            <w:tcW w:w="0" w:type="auto"/>
            <w:shd w:val="clear" w:color="auto" w:fill="CCEEFF"/>
            <w:hideMark/>
          </w:tcPr>
          <w:p w:rsidR="000167F6" w:rsidRDefault="00DF66D7">
            <w:pPr>
              <w:pStyle w:val="NormalWeb"/>
              <w:spacing w:before="0" w:beforeAutospacing="0" w:after="0" w:afterAutospacing="0"/>
            </w:pPr>
            <w:r>
              <w:rPr>
                <w:sz w:val="20"/>
                <w:szCs w:val="20"/>
              </w:rPr>
              <w:t>Long-Term portion of Debt</w:t>
            </w:r>
          </w:p>
        </w:tc>
        <w:tc>
          <w:tcPr>
            <w:tcW w:w="50" w:type="pct"/>
            <w:shd w:val="clear" w:color="auto" w:fill="CCEEFF"/>
            <w:vAlign w:val="bottom"/>
            <w:hideMark/>
          </w:tcPr>
          <w:p w:rsidR="000167F6" w:rsidRDefault="00DF66D7">
            <w:pPr>
              <w:pStyle w:val="NormalWeb"/>
              <w:spacing w:before="0" w:beforeAutospacing="0" w:after="0" w:afterAutospacing="0"/>
              <w:jc w:val="right"/>
            </w:pPr>
            <w:r>
              <w:t> </w:t>
            </w:r>
          </w:p>
        </w:tc>
        <w:tc>
          <w:tcPr>
            <w:tcW w:w="50" w:type="pct"/>
            <w:shd w:val="clear" w:color="auto" w:fill="CCEEFF"/>
            <w:vAlign w:val="bottom"/>
            <w:hideMark/>
          </w:tcPr>
          <w:p w:rsidR="000167F6" w:rsidRDefault="00DF66D7">
            <w:pPr>
              <w:jc w:val="right"/>
              <w:rPr>
                <w:rFonts w:eastAsia="Times New Roman"/>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rPr>
            </w:pPr>
            <w:r>
              <w:rPr>
                <w:rFonts w:eastAsia="Times New Roman"/>
                <w:sz w:val="20"/>
                <w:szCs w:val="20"/>
              </w:rPr>
              <w:t>105,590</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right"/>
            </w:pPr>
            <w:r>
              <w:t> </w:t>
            </w:r>
          </w:p>
        </w:tc>
        <w:tc>
          <w:tcPr>
            <w:tcW w:w="50" w:type="pct"/>
            <w:shd w:val="clear" w:color="auto" w:fill="CCEEFF"/>
            <w:vAlign w:val="bottom"/>
            <w:hideMark/>
          </w:tcPr>
          <w:p w:rsidR="000167F6" w:rsidRDefault="00DF66D7">
            <w:pPr>
              <w:pStyle w:val="NormalWeb"/>
              <w:spacing w:before="0" w:beforeAutospacing="0" w:after="0" w:afterAutospacing="0"/>
              <w:jc w:val="right"/>
            </w:pPr>
            <w:r>
              <w:rPr>
                <w:sz w:val="20"/>
                <w:szCs w:val="20"/>
              </w:rPr>
              <w:t> </w:t>
            </w:r>
          </w:p>
        </w:tc>
        <w:tc>
          <w:tcPr>
            <w:tcW w:w="50" w:type="pct"/>
            <w:shd w:val="clear" w:color="auto" w:fill="CCEEFF"/>
            <w:vAlign w:val="bottom"/>
            <w:hideMark/>
          </w:tcPr>
          <w:p w:rsidR="000167F6" w:rsidRDefault="00DF66D7">
            <w:pPr>
              <w:jc w:val="right"/>
              <w:rPr>
                <w:rFonts w:eastAsia="Times New Roman"/>
              </w:rPr>
            </w:pPr>
            <w:r>
              <w:rPr>
                <w:rFonts w:eastAsia="Times New Roman"/>
                <w:sz w:val="20"/>
                <w:szCs w:val="20"/>
              </w:rPr>
              <w:t>$</w:t>
            </w:r>
          </w:p>
        </w:tc>
        <w:tc>
          <w:tcPr>
            <w:tcW w:w="450" w:type="pct"/>
            <w:shd w:val="clear" w:color="auto" w:fill="CCEEFF"/>
            <w:vAlign w:val="bottom"/>
            <w:hideMark/>
          </w:tcPr>
          <w:p w:rsidR="000167F6" w:rsidRDefault="00DF66D7">
            <w:pPr>
              <w:jc w:val="right"/>
              <w:rPr>
                <w:rFonts w:eastAsia="Times New Roman"/>
              </w:rPr>
            </w:pPr>
            <w:r>
              <w:rPr>
                <w:rFonts w:eastAsia="Times New Roman"/>
                <w:sz w:val="20"/>
                <w:szCs w:val="20"/>
              </w:rPr>
              <w:t>122,609</w:t>
            </w:r>
          </w:p>
        </w:tc>
        <w:tc>
          <w:tcPr>
            <w:tcW w:w="50" w:type="pct"/>
            <w:shd w:val="clear" w:color="auto" w:fill="CCEEFF"/>
            <w:tcMar>
              <w:top w:w="0" w:type="dxa"/>
              <w:left w:w="0" w:type="dxa"/>
              <w:bottom w:w="45" w:type="dxa"/>
              <w:right w:w="0" w:type="dxa"/>
            </w:tcMar>
            <w:vAlign w:val="bottom"/>
            <w:hideMark/>
          </w:tcPr>
          <w:p w:rsidR="000167F6" w:rsidRDefault="00DF66D7">
            <w:pPr>
              <w:pStyle w:val="NormalWeb"/>
              <w:spacing w:before="0" w:beforeAutospacing="0" w:after="0" w:afterAutospacing="0"/>
              <w:jc w:val="right"/>
            </w:pPr>
            <w:r>
              <w:t> </w:t>
            </w:r>
          </w:p>
        </w:tc>
      </w:tr>
      <w:tr w:rsidR="000167F6">
        <w:trPr>
          <w:divId w:val="397289341"/>
          <w:trHeight w:val="150"/>
          <w:tblCellSpacing w:w="0" w:type="dxa"/>
        </w:trPr>
        <w:tc>
          <w:tcPr>
            <w:tcW w:w="0" w:type="auto"/>
            <w:shd w:val="clear" w:color="auto" w:fill="FFFFFF"/>
            <w:vAlign w:val="center"/>
            <w:hideMark/>
          </w:tcPr>
          <w:p w:rsidR="000167F6" w:rsidRDefault="00DF66D7">
            <w:pPr>
              <w:pStyle w:val="NormalWeb"/>
              <w:spacing w:before="0" w:beforeAutospacing="0" w:after="0" w:afterAutospacing="0"/>
            </w:pPr>
            <w:r>
              <w:t> </w:t>
            </w:r>
          </w:p>
        </w:tc>
        <w:tc>
          <w:tcPr>
            <w:tcW w:w="0" w:type="auto"/>
            <w:shd w:val="clear" w:color="auto" w:fill="FFFFFF"/>
            <w:vAlign w:val="center"/>
            <w:hideMark/>
          </w:tcPr>
          <w:p w:rsidR="000167F6" w:rsidRDefault="00DF66D7">
            <w:pPr>
              <w:pStyle w:val="NormalWeb"/>
              <w:spacing w:before="0" w:beforeAutospacing="0" w:after="0" w:afterAutospacing="0"/>
              <w:jc w:val="right"/>
            </w:pPr>
            <w:r>
              <w:t> </w:t>
            </w:r>
          </w:p>
        </w:tc>
        <w:tc>
          <w:tcPr>
            <w:tcW w:w="0" w:type="auto"/>
            <w:shd w:val="clear" w:color="auto" w:fill="FFFFFF"/>
            <w:vAlign w:val="center"/>
            <w:hideMark/>
          </w:tcPr>
          <w:p w:rsidR="000167F6" w:rsidRDefault="00DF66D7">
            <w:pPr>
              <w:pStyle w:val="NormalWeb"/>
              <w:spacing w:before="0" w:beforeAutospacing="0" w:after="0" w:afterAutospacing="0"/>
              <w:jc w:val="right"/>
            </w:pPr>
            <w:r>
              <w:t> </w:t>
            </w:r>
          </w:p>
        </w:tc>
        <w:tc>
          <w:tcPr>
            <w:tcW w:w="0" w:type="auto"/>
            <w:shd w:val="clear" w:color="auto" w:fill="FFFFFF"/>
            <w:vAlign w:val="center"/>
            <w:hideMark/>
          </w:tcPr>
          <w:p w:rsidR="000167F6" w:rsidRDefault="00DF66D7">
            <w:pPr>
              <w:pStyle w:val="NormalWeb"/>
              <w:spacing w:before="0" w:beforeAutospacing="0" w:after="0" w:afterAutospacing="0"/>
              <w:jc w:val="right"/>
            </w:pPr>
            <w:r>
              <w:t> </w:t>
            </w:r>
          </w:p>
        </w:tc>
        <w:tc>
          <w:tcPr>
            <w:tcW w:w="0" w:type="auto"/>
            <w:shd w:val="clear" w:color="auto" w:fill="FFFFFF"/>
            <w:vAlign w:val="center"/>
            <w:hideMark/>
          </w:tcPr>
          <w:p w:rsidR="000167F6" w:rsidRDefault="00DF66D7">
            <w:pPr>
              <w:pStyle w:val="NormalWeb"/>
              <w:spacing w:before="0" w:beforeAutospacing="0" w:after="0" w:afterAutospacing="0"/>
              <w:jc w:val="right"/>
            </w:pPr>
            <w:r>
              <w:t> </w:t>
            </w:r>
          </w:p>
        </w:tc>
        <w:tc>
          <w:tcPr>
            <w:tcW w:w="0" w:type="auto"/>
            <w:shd w:val="clear" w:color="auto" w:fill="FFFFFF"/>
            <w:vAlign w:val="center"/>
            <w:hideMark/>
          </w:tcPr>
          <w:p w:rsidR="000167F6" w:rsidRDefault="00DF66D7">
            <w:pPr>
              <w:pStyle w:val="NormalWeb"/>
              <w:spacing w:before="0" w:beforeAutospacing="0" w:after="0" w:afterAutospacing="0"/>
              <w:jc w:val="right"/>
            </w:pPr>
            <w:r>
              <w:t> </w:t>
            </w:r>
          </w:p>
        </w:tc>
        <w:tc>
          <w:tcPr>
            <w:tcW w:w="0" w:type="auto"/>
            <w:shd w:val="clear" w:color="auto" w:fill="FFFFFF"/>
            <w:vAlign w:val="center"/>
            <w:hideMark/>
          </w:tcPr>
          <w:p w:rsidR="000167F6" w:rsidRDefault="00DF66D7">
            <w:pPr>
              <w:pStyle w:val="NormalWeb"/>
              <w:spacing w:before="0" w:beforeAutospacing="0" w:after="0" w:afterAutospacing="0"/>
            </w:pPr>
            <w:r>
              <w:t> </w:t>
            </w:r>
          </w:p>
        </w:tc>
        <w:tc>
          <w:tcPr>
            <w:tcW w:w="0" w:type="auto"/>
            <w:shd w:val="clear" w:color="auto" w:fill="FFFFFF"/>
            <w:vAlign w:val="center"/>
            <w:hideMark/>
          </w:tcPr>
          <w:p w:rsidR="000167F6" w:rsidRDefault="00DF66D7">
            <w:pPr>
              <w:pStyle w:val="NormalWeb"/>
              <w:spacing w:before="0" w:beforeAutospacing="0" w:after="0" w:afterAutospacing="0"/>
              <w:jc w:val="right"/>
            </w:pPr>
            <w:r>
              <w:t> </w:t>
            </w:r>
          </w:p>
        </w:tc>
        <w:tc>
          <w:tcPr>
            <w:tcW w:w="0" w:type="auto"/>
            <w:shd w:val="clear" w:color="auto" w:fill="FFFFFF"/>
            <w:vAlign w:val="center"/>
            <w:hideMark/>
          </w:tcPr>
          <w:p w:rsidR="000167F6" w:rsidRDefault="00DF66D7">
            <w:pPr>
              <w:pStyle w:val="NormalWeb"/>
              <w:spacing w:before="0" w:beforeAutospacing="0" w:after="0" w:afterAutospacing="0"/>
              <w:jc w:val="right"/>
            </w:pPr>
            <w:r>
              <w:t> </w:t>
            </w:r>
          </w:p>
        </w:tc>
      </w:tr>
    </w:tbl>
    <w:p w:rsidR="000167F6" w:rsidRDefault="00DF66D7">
      <w:pPr>
        <w:pStyle w:val="NormalWeb"/>
        <w:rPr>
          <w:rFonts w:ascii="were non-interest bearing and w" w:hAnsi="were non-interest bearing and w"/>
        </w:rPr>
      </w:pPr>
      <w:r>
        <w:rPr>
          <w:sz w:val="20"/>
          <w:szCs w:val="20"/>
        </w:rPr>
        <w:t xml:space="preserve">The Company has minimum yearly bank payments of $33,610 for 1.5 years, and $22,397 thereafter for another 5.2 years. </w:t>
      </w:r>
    </w:p>
    <w:p w:rsidR="000167F6" w:rsidRDefault="00DF66D7">
      <w:pPr>
        <w:pStyle w:val="NormalWeb"/>
        <w:rPr>
          <w:rFonts w:ascii="were non-interest bearing and w" w:hAnsi="were non-interest bearing and w"/>
        </w:rPr>
      </w:pPr>
      <w:r>
        <w:rPr>
          <w:sz w:val="20"/>
          <w:szCs w:val="20"/>
        </w:rPr>
        <w:t xml:space="preserve">The amounts stated in this note reflect the Company's commitments in the currencies that those commitments were made and the amounts are an estimate of what the US dollar amount would be if the currency rates did not change going forward.  </w:t>
      </w:r>
    </w:p>
    <w:p w:rsidR="000167F6" w:rsidRDefault="00DF66D7">
      <w:pPr>
        <w:pStyle w:val="NormalWeb"/>
        <w:rPr>
          <w:rFonts w:ascii="were non-interest bearing and w" w:hAnsi="were non-interest bearing and w"/>
        </w:rPr>
      </w:pPr>
      <w:r>
        <w:rPr>
          <w:b/>
          <w:bCs/>
          <w:sz w:val="20"/>
          <w:szCs w:val="20"/>
        </w:rPr>
        <w:t>NOTE 7 - SHAREHOLDERS' EQUITY:</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 xml:space="preserve">Common Stock: </w:t>
      </w:r>
    </w:p>
    <w:p w:rsidR="000167F6" w:rsidRDefault="00DF66D7">
      <w:pPr>
        <w:pStyle w:val="NormalWeb"/>
        <w:divId w:val="1285189527"/>
        <w:rPr>
          <w:rFonts w:ascii="were non-interest bearing and w" w:hAnsi="were non-interest bearing and w"/>
        </w:rPr>
      </w:pPr>
      <w:r>
        <w:rPr>
          <w:rFonts w:ascii="were non-interest bearing and w" w:hAnsi="were non-interest bearing and w"/>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0167F6" w:rsidRDefault="000B52F0">
      <w:pPr>
        <w:pStyle w:val="NormalWeb"/>
        <w:rPr>
          <w:rFonts w:ascii="were non-interest bearing and w" w:hAnsi="were non-interest bearing and w"/>
        </w:rPr>
      </w:pPr>
      <w:hyperlink w:anchor="toc" w:history="1">
        <w:r w:rsidR="00DF66D7">
          <w:rPr>
            <w:rStyle w:val="Hyperlink"/>
            <w:b/>
            <w:bCs/>
            <w:sz w:val="20"/>
            <w:szCs w:val="20"/>
          </w:rPr>
          <w:t>Return to Table of Contents</w:t>
        </w:r>
      </w:hyperlink>
    </w:p>
    <w:p w:rsidR="000167F6" w:rsidRDefault="000B52F0">
      <w:pPr>
        <w:rPr>
          <w:rFonts w:ascii="were non-interest bearing and w" w:eastAsia="Times New Roman" w:hAnsi="were non-interest bearing and w"/>
        </w:rPr>
      </w:pPr>
      <w:r>
        <w:rPr>
          <w:rFonts w:ascii="were non-interest bearing and w" w:eastAsia="Times New Roman" w:hAnsi="were non-interest bearing and w"/>
        </w:rPr>
        <w:pict>
          <v:rect id="_x0000_i1032" style="width:0;height:2pt" o:hralign="center" o:hrstd="t" o:hrnoshade="t" o:hr="t" fillcolor="black" stroked="f"/>
        </w:pict>
      </w:r>
    </w:p>
    <w:p w:rsidR="000167F6" w:rsidRDefault="00DF66D7">
      <w:pPr>
        <w:pStyle w:val="NormalWeb"/>
        <w:rPr>
          <w:rFonts w:ascii="were non-interest bearing and w" w:hAnsi="were non-interest bearing and w"/>
        </w:rPr>
      </w:pPr>
      <w:r>
        <w:rPr>
          <w:rFonts w:ascii="were non-interest bearing and w" w:hAnsi="were non-interest bearing and w"/>
        </w:rPr>
        <w:lastRenderedPageBreak/>
        <w:t> </w:t>
      </w:r>
      <w:r>
        <w:rPr>
          <w:sz w:val="20"/>
          <w:szCs w:val="20"/>
        </w:rPr>
        <w:t>Preferred Stock:</w:t>
      </w:r>
    </w:p>
    <w:p w:rsidR="000167F6" w:rsidRDefault="00DF66D7">
      <w:pPr>
        <w:pStyle w:val="NormalWeb"/>
        <w:rPr>
          <w:rFonts w:ascii="were non-interest bearing and w" w:hAnsi="were non-interest bearing and w"/>
        </w:rPr>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0167F6" w:rsidRDefault="00DF66D7">
      <w:pPr>
        <w:pStyle w:val="NormalWeb"/>
        <w:rPr>
          <w:rFonts w:ascii="were non-interest bearing and w" w:hAnsi="were non-interest bearing and w"/>
        </w:rPr>
      </w:pPr>
      <w:r>
        <w:rPr>
          <w:sz w:val="20"/>
          <w:szCs w:val="20"/>
        </w:rPr>
        <w:t>Series 2 Convertible Preferred Stock:</w:t>
      </w:r>
    </w:p>
    <w:p w:rsidR="000167F6" w:rsidRDefault="00DF66D7">
      <w:pPr>
        <w:pStyle w:val="NormalWeb"/>
        <w:rPr>
          <w:rFonts w:ascii="were non-interest bearing and w" w:hAnsi="were non-interest bearing and w"/>
        </w:rPr>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During November 1997, 172,000 shares of Series 2 preferred stock were converted into 344,000 shares of the Company's common stock. As of December 31, 2016, there were 5,000 shares issued, which are convertible into 2 common shares. There are no warrants outstanding that have been issued in connection with the preferred shares.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Series 3 Convertible Preferred Stock:</w:t>
      </w:r>
    </w:p>
    <w:p w:rsidR="000167F6" w:rsidRDefault="00DF66D7">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w:t>
      </w:r>
    </w:p>
    <w:p w:rsidR="000167F6" w:rsidRDefault="00DF66D7">
      <w:pPr>
        <w:pStyle w:val="NormalWeb"/>
        <w:rPr>
          <w:rFonts w:ascii="were non-interest bearing and w" w:hAnsi="were non-interest bearing and w"/>
        </w:rPr>
      </w:pPr>
      <w:r>
        <w:rPr>
          <w:sz w:val="20"/>
          <w:szCs w:val="20"/>
        </w:rPr>
        <w:t>Series 5 Convertible Preferred Stock:</w:t>
      </w:r>
    </w:p>
    <w:p w:rsidR="000167F6" w:rsidRDefault="00DF66D7">
      <w:pPr>
        <w:pStyle w:val="NormalWeb"/>
        <w:rPr>
          <w:rFonts w:ascii="were non-interest bearing and w" w:hAnsi="were non-interest bearing and w"/>
        </w:rPr>
      </w:pPr>
      <w:r>
        <w:rPr>
          <w:sz w:val="20"/>
          <w:szCs w:val="20"/>
        </w:rPr>
        <w:t xml:space="preserve">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ITEM 2: MANAGEMENT'S DISCUSSION AND ANALYSIS OF FINANCIAL CONDITION AND RESULTS OF OPERATIONS.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The following should be read in conjunction with our Consolidated Financial Statements and the notes thereto included in the Financial Statements.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 xml:space="preserve">FORWARD LOOKING STATEMENTS: </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0167F6" w:rsidRDefault="000B52F0">
      <w:pPr>
        <w:pStyle w:val="NormalWeb"/>
        <w:rPr>
          <w:rFonts w:ascii="were non-interest bearing and w" w:hAnsi="were non-interest bearing and w"/>
        </w:rPr>
      </w:pPr>
      <w:hyperlink w:anchor="toc" w:history="1">
        <w:r w:rsidR="00DF66D7">
          <w:rPr>
            <w:rStyle w:val="Hyperlink"/>
            <w:b/>
            <w:bCs/>
            <w:sz w:val="20"/>
            <w:szCs w:val="20"/>
          </w:rPr>
          <w:t>Return to Table of Contents</w:t>
        </w:r>
      </w:hyperlink>
    </w:p>
    <w:p w:rsidR="000167F6" w:rsidRDefault="000B52F0">
      <w:pPr>
        <w:rPr>
          <w:rFonts w:ascii="were non-interest bearing and w" w:eastAsia="Times New Roman" w:hAnsi="were non-interest bearing and w"/>
        </w:rPr>
      </w:pPr>
      <w:r>
        <w:rPr>
          <w:rFonts w:ascii="were non-interest bearing and w" w:eastAsia="Times New Roman" w:hAnsi="were non-interest bearing and w"/>
        </w:rPr>
        <w:pict>
          <v:rect id="_x0000_i1033" style="width:0;height:2pt" o:hralign="center" o:hrstd="t" o:hrnoshade="t" o:hr="t" fillcolor="black" stroked="f"/>
        </w:pict>
      </w:r>
    </w:p>
    <w:p w:rsidR="000167F6" w:rsidRDefault="00DF66D7">
      <w:pPr>
        <w:pStyle w:val="NormalWeb"/>
        <w:rPr>
          <w:rFonts w:ascii="were non-interest bearing and w" w:hAnsi="were non-interest bearing and w"/>
        </w:rPr>
      </w:pPr>
      <w:r>
        <w:rPr>
          <w:rFonts w:ascii="were non-interest bearing and w" w:hAnsi="were non-interest bearing and w"/>
        </w:rPr>
        <w:t> </w:t>
      </w:r>
    </w:p>
    <w:p w:rsidR="00423D3D" w:rsidRDefault="00423D3D">
      <w:pPr>
        <w:rPr>
          <w:rFonts w:ascii="were non-interest bearing and w" w:hAnsi="were non-interest bearing and w"/>
          <w:b/>
          <w:bCs/>
          <w:sz w:val="20"/>
          <w:szCs w:val="20"/>
        </w:rPr>
      </w:pPr>
      <w:r>
        <w:rPr>
          <w:rFonts w:ascii="were non-interest bearing and w" w:hAnsi="were non-interest bearing and w"/>
          <w:b/>
          <w:bCs/>
          <w:sz w:val="20"/>
          <w:szCs w:val="20"/>
        </w:rPr>
        <w:br w:type="page"/>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lastRenderedPageBreak/>
        <w:t>RESULTS OF OPERATIONS FOR THE THREE AND SIX MONTH PERIODS ENDING DECEMBER 31, 2016 COMPARED TO 2015:</w:t>
      </w:r>
    </w:p>
    <w:p w:rsidR="000167F6" w:rsidRDefault="00DF66D7">
      <w:pPr>
        <w:pStyle w:val="NormalWeb"/>
        <w:rPr>
          <w:rFonts w:ascii="were non-interest bearing and w" w:hAnsi="were non-interest bearing and w"/>
        </w:rPr>
      </w:pPr>
      <w:r>
        <w:rPr>
          <w:rFonts w:ascii="were non-interest bearing and w" w:hAnsi="were non-interest bearing and w"/>
          <w:i/>
          <w:iCs/>
          <w:sz w:val="20"/>
          <w:szCs w:val="20"/>
        </w:rPr>
        <w:t>Revenues:</w:t>
      </w:r>
      <w:r>
        <w:rPr>
          <w:rFonts w:ascii="were non-interest bearing and w" w:hAnsi="were non-interest bearing and w"/>
          <w:sz w:val="20"/>
          <w:szCs w:val="20"/>
        </w:rPr>
        <w:t xml:space="preserve"> Revenues from operations for the three month period ending December 31, 2016 and December 31, 2015 were $8,837 and $9,057 respectively, and the revenues from operations for the six month period ending December 31, 2016 and December 31, 2015 were $17,986 and $18,115 respectively. They were attributable to operations of the Company's wholly owned subsidiary Anton Nielsen Vojens. The fluctuation was due to currency fluctuations.  The fluctuations were due to currency </w:t>
      </w:r>
      <w:proofErr w:type="spellStart"/>
      <w:r>
        <w:rPr>
          <w:rFonts w:ascii="were non-interest bearing and w" w:hAnsi="were non-interest bearing and w"/>
          <w:sz w:val="20"/>
          <w:szCs w:val="20"/>
        </w:rPr>
        <w:t>flucuations</w:t>
      </w:r>
      <w:proofErr w:type="spellEnd"/>
      <w:r>
        <w:rPr>
          <w:rFonts w:ascii="were non-interest bearing and w" w:hAnsi="were non-interest bearing and w"/>
          <w:sz w:val="20"/>
          <w:szCs w:val="20"/>
        </w:rPr>
        <w:t xml:space="preserve">, as the revenues were the same for both </w:t>
      </w:r>
      <w:proofErr w:type="spellStart"/>
      <w:r>
        <w:rPr>
          <w:rFonts w:ascii="were non-interest bearing and w" w:hAnsi="were non-interest bearing and w"/>
          <w:sz w:val="20"/>
          <w:szCs w:val="20"/>
        </w:rPr>
        <w:t>comparitive</w:t>
      </w:r>
      <w:proofErr w:type="spellEnd"/>
      <w:r>
        <w:rPr>
          <w:rFonts w:ascii="were non-interest bearing and w" w:hAnsi="were non-interest bearing and w"/>
          <w:sz w:val="20"/>
          <w:szCs w:val="20"/>
        </w:rPr>
        <w:t xml:space="preserve"> periods.</w:t>
      </w:r>
    </w:p>
    <w:p w:rsidR="000167F6" w:rsidRDefault="00DF66D7">
      <w:pPr>
        <w:pStyle w:val="NormalWeb"/>
        <w:rPr>
          <w:rFonts w:ascii="were non-interest bearing and w" w:hAnsi="were non-interest bearing and w"/>
        </w:rPr>
      </w:pPr>
      <w:r>
        <w:rPr>
          <w:rFonts w:ascii="were non-interest bearing and w" w:hAnsi="were non-interest bearing and w"/>
          <w:i/>
          <w:iCs/>
          <w:sz w:val="20"/>
          <w:szCs w:val="20"/>
        </w:rPr>
        <w:t xml:space="preserve">Selling, general and administrative expenses: </w:t>
      </w:r>
      <w:proofErr w:type="spellStart"/>
      <w:r>
        <w:rPr>
          <w:rFonts w:ascii="were non-interest bearing and w" w:hAnsi="were non-interest bearing and w"/>
          <w:sz w:val="20"/>
          <w:szCs w:val="20"/>
        </w:rPr>
        <w:t>G&amp;A</w:t>
      </w:r>
      <w:proofErr w:type="spellEnd"/>
      <w:r>
        <w:rPr>
          <w:rFonts w:ascii="were non-interest bearing and w" w:hAnsi="were non-interest bearing and w"/>
          <w:sz w:val="20"/>
          <w:szCs w:val="20"/>
        </w:rPr>
        <w:t xml:space="preserve"> expenses for the three month period ending December 31, 2016 and December 31, 2015 were $9,413 and $7,151 respectively and the </w:t>
      </w:r>
      <w:proofErr w:type="spellStart"/>
      <w:r>
        <w:rPr>
          <w:rFonts w:ascii="were non-interest bearing and w" w:hAnsi="were non-interest bearing and w"/>
          <w:sz w:val="20"/>
          <w:szCs w:val="20"/>
        </w:rPr>
        <w:t>G&amp;A</w:t>
      </w:r>
      <w:proofErr w:type="spellEnd"/>
      <w:r>
        <w:rPr>
          <w:rFonts w:ascii="were non-interest bearing and w" w:hAnsi="were non-interest bearing and w"/>
          <w:sz w:val="20"/>
          <w:szCs w:val="20"/>
        </w:rPr>
        <w:t xml:space="preserve"> expenses for the six month period ending December 31, 2016 and December 31, 2015 were $15,650 and $7,374 respectively. The expenses are attributable to ANV's operations, the Company's SEC compliance and the new engagement of independent auditors.</w:t>
      </w:r>
    </w:p>
    <w:p w:rsidR="000167F6" w:rsidRDefault="00DF66D7">
      <w:pPr>
        <w:pStyle w:val="NormalWeb"/>
        <w:rPr>
          <w:rFonts w:ascii="were non-interest bearing and w" w:hAnsi="were non-interest bearing and w"/>
        </w:rPr>
      </w:pPr>
      <w:r>
        <w:rPr>
          <w:rFonts w:ascii="were non-interest bearing and w" w:hAnsi="were non-interest bearing and w"/>
          <w:i/>
          <w:iCs/>
          <w:sz w:val="20"/>
          <w:szCs w:val="20"/>
        </w:rPr>
        <w:t xml:space="preserve">Interest expense: </w:t>
      </w:r>
      <w:r>
        <w:rPr>
          <w:rFonts w:ascii="were non-interest bearing and w" w:hAnsi="were non-interest bearing and w"/>
          <w:sz w:val="20"/>
          <w:szCs w:val="20"/>
        </w:rPr>
        <w:t>Interest expense for the three month period ending December 31, 2016 and December 31, 2015 was $1,663 and $2,128 respectively. The changes in interest expenses for 2016 are primarily due to the currency fluctuations and the reduction of debt.</w:t>
      </w:r>
    </w:p>
    <w:p w:rsidR="000167F6" w:rsidRDefault="00DF66D7">
      <w:pPr>
        <w:pStyle w:val="NormalWeb"/>
        <w:rPr>
          <w:rFonts w:ascii="were non-interest bearing and w" w:hAnsi="were non-interest bearing and w"/>
        </w:rPr>
      </w:pPr>
      <w:r>
        <w:rPr>
          <w:rFonts w:ascii="were non-interest bearing and w" w:hAnsi="were non-interest bearing and w"/>
          <w:i/>
          <w:iCs/>
          <w:sz w:val="20"/>
          <w:szCs w:val="20"/>
        </w:rPr>
        <w:t xml:space="preserve">Net income (loss) attributed to common stockholders: </w:t>
      </w:r>
      <w:r>
        <w:rPr>
          <w:rFonts w:ascii="were non-interest bearing and w" w:hAnsi="were non-interest bearing and w"/>
          <w:sz w:val="20"/>
          <w:szCs w:val="20"/>
        </w:rPr>
        <w:t>Net income (loss) attributed to common stockholders was $(5,478) or $(0.0024) per share for the three month period ending December 31, 2016 as compared to $(222) or $0.0001 per share for December 31, 2015 and mainly attributable to the Company's engagement of new auditors and currency fluctuations.</w:t>
      </w:r>
    </w:p>
    <w:p w:rsidR="000167F6" w:rsidRDefault="00DF66D7">
      <w:pPr>
        <w:pStyle w:val="NormalWeb"/>
        <w:rPr>
          <w:rFonts w:ascii="were non-interest bearing and w" w:hAnsi="were non-interest bearing and w"/>
        </w:rPr>
      </w:pPr>
      <w:r>
        <w:rPr>
          <w:rFonts w:ascii="were non-interest bearing and w" w:hAnsi="were non-interest bearing and w"/>
          <w:i/>
          <w:iCs/>
          <w:sz w:val="20"/>
          <w:szCs w:val="20"/>
        </w:rPr>
        <w:t xml:space="preserve">Liquidity and capital resources:  </w:t>
      </w:r>
      <w:r>
        <w:rPr>
          <w:rFonts w:ascii="were non-interest bearing and w" w:hAnsi="were non-interest bearing and w"/>
          <w:sz w:val="20"/>
          <w:szCs w:val="20"/>
        </w:rPr>
        <w:t>At December 31, 2016 and June 30, 2016, the Company had cash and cash equivalents of $45,458 and $46,170 respectively. At December 31, 2016 and June 30, 2016, the Company had a working capital deficit of $219,107 and $208,433 respectively. The change in cash is primarily associated with currency fluctuations, and the decrease in the working capital deficit is primarily due to payment of debt and normal operations.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Net cash provided from (used for) operating activities for six month period ending December 31, 2016 and December 31, 2015 was $(885) and $(12,734), respectively. The net cash used by operating activities was primarily due to the operations of ANV and the payment of ANV taxes in 2015.</w:t>
      </w:r>
    </w:p>
    <w:p w:rsidR="000167F6" w:rsidRDefault="00DF66D7">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Net cash provided from (used for) financing activities for six month period ending December 31, 2016 and December 31, 2015 was $2,235 and $3,119 respectively. Net cash provided from or used for financing activities for both periods is related to the company's borrowings from banks, officers and directors, and the repayment of debt.</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OFF BALANCE SHEET ARRANGEMENTS: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We do not currently have any off balance sheet arrangements.</w:t>
      </w:r>
    </w:p>
    <w:p w:rsidR="000167F6" w:rsidRDefault="000B52F0">
      <w:pPr>
        <w:pStyle w:val="NormalWeb"/>
        <w:rPr>
          <w:rFonts w:ascii="were non-interest bearing and w" w:hAnsi="were non-interest bearing and w"/>
        </w:rPr>
      </w:pPr>
      <w:hyperlink w:anchor="toc" w:history="1">
        <w:r w:rsidR="00DF66D7">
          <w:rPr>
            <w:rStyle w:val="Hyperlink"/>
            <w:b/>
            <w:bCs/>
            <w:sz w:val="20"/>
            <w:szCs w:val="20"/>
          </w:rPr>
          <w:t>Return to Table of Contents</w:t>
        </w:r>
      </w:hyperlink>
    </w:p>
    <w:p w:rsidR="000167F6" w:rsidRDefault="000B52F0">
      <w:pPr>
        <w:rPr>
          <w:rFonts w:ascii="were non-interest bearing and w" w:eastAsia="Times New Roman" w:hAnsi="were non-interest bearing and w"/>
        </w:rPr>
      </w:pPr>
      <w:r>
        <w:rPr>
          <w:rFonts w:ascii="were non-interest bearing and w" w:eastAsia="Times New Roman" w:hAnsi="were non-interest bearing and w"/>
        </w:rPr>
        <w:pict>
          <v:rect id="_x0000_i1034" style="width:0;height:2pt" o:hralign="center" o:hrstd="t" o:hrnoshade="t" o:hr="t" fillcolor="black" stroked="f"/>
        </w:pict>
      </w:r>
    </w:p>
    <w:p w:rsidR="00423D3D" w:rsidRDefault="00DF66D7">
      <w:pPr>
        <w:pStyle w:val="NormalWeb"/>
        <w:rPr>
          <w:rFonts w:ascii="were non-interest bearing and w" w:hAnsi="were non-interest bearing and w"/>
        </w:rPr>
      </w:pPr>
      <w:r>
        <w:rPr>
          <w:rFonts w:ascii="were non-interest bearing and w" w:hAnsi="were non-interest bearing and w"/>
        </w:rPr>
        <w:t> </w:t>
      </w:r>
    </w:p>
    <w:p w:rsidR="00423D3D" w:rsidRDefault="00423D3D">
      <w:pPr>
        <w:rPr>
          <w:rFonts w:ascii="were non-interest bearing and w" w:hAnsi="were non-interest bearing and w"/>
        </w:rPr>
      </w:pPr>
      <w:r>
        <w:rPr>
          <w:rFonts w:ascii="were non-interest bearing and w" w:hAnsi="were non-interest bearing and w"/>
        </w:rPr>
        <w:br w:type="page"/>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lastRenderedPageBreak/>
        <w:t>ACQUISITION EFFORTS: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The Company continues its efforts to raise capital to support operations and growth, and is actively searching acquisition or merger with another company that would complement the Company or increase its earnings potential. During this period, the Company has been in discussion with Companies looking to be acquired. The Company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 xml:space="preserve">ITEM 3. Quantitative and Qualitative Disclosures </w:t>
      </w:r>
      <w:proofErr w:type="gramStart"/>
      <w:r>
        <w:rPr>
          <w:rFonts w:ascii="were non-interest bearing and w" w:hAnsi="were non-interest bearing and w"/>
          <w:b/>
          <w:bCs/>
          <w:sz w:val="20"/>
          <w:szCs w:val="20"/>
        </w:rPr>
        <w:t>About</w:t>
      </w:r>
      <w:proofErr w:type="gramEnd"/>
      <w:r>
        <w:rPr>
          <w:rFonts w:ascii="were non-interest bearing and w" w:hAnsi="were non-interest bearing and w"/>
          <w:b/>
          <w:bCs/>
          <w:sz w:val="20"/>
          <w:szCs w:val="20"/>
        </w:rPr>
        <w:t xml:space="preserve"> Market Risk:</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Smaller reporting companies are not required to provide the information required by this Item.</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ITEM 4. CONTROLS AND PROCEDURES: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EVALUATION OF DISCLOSURE CONTROLS AND PROCEDURES</w:t>
      </w:r>
    </w:p>
    <w:p w:rsidR="000167F6" w:rsidRDefault="00DF66D7">
      <w:pPr>
        <w:pStyle w:val="NormalWeb"/>
        <w:rPr>
          <w:rFonts w:ascii="were non-interest bearing and w" w:hAnsi="were non-interest bearing and w"/>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December 31, 2016 that our disclosure controls and procedures were not effective at ensuring that the material information required to be disclosed in the Exchange Act reports is recorded, processed, summarized and reported as required in applicable SEC rules and forms.</w:t>
      </w:r>
    </w:p>
    <w:p w:rsidR="000167F6" w:rsidRDefault="00DF66D7">
      <w:pPr>
        <w:pStyle w:val="NormalWeb"/>
        <w:rPr>
          <w:rFonts w:ascii="were non-interest bearing and w" w:hAnsi="were non-interest bearing and w"/>
        </w:rPr>
      </w:pPr>
      <w:r>
        <w:rPr>
          <w:sz w:val="20"/>
          <w:szCs w:val="20"/>
        </w:rPr>
        <w:t xml:space="preserve">During the six month period ended </w:t>
      </w:r>
      <w:r>
        <w:rPr>
          <w:rFonts w:ascii="were non-interest bearing and w" w:hAnsi="were non-interest bearing and w"/>
          <w:sz w:val="20"/>
          <w:szCs w:val="20"/>
        </w:rPr>
        <w:t>December 31</w:t>
      </w:r>
      <w:r>
        <w:rPr>
          <w:sz w:val="20"/>
          <w:szCs w:val="20"/>
        </w:rPr>
        <w:t>, 2016,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0167F6" w:rsidRDefault="00DF66D7">
      <w:pPr>
        <w:rPr>
          <w:rFonts w:ascii="were non-interest bearing and w" w:eastAsia="Times New Roman" w:hAnsi="were non-interest bearing and w"/>
        </w:rPr>
      </w:pPr>
      <w:r>
        <w:rPr>
          <w:rFonts w:eastAsia="Times New Roman"/>
          <w:b/>
          <w:bCs/>
          <w:sz w:val="20"/>
          <w:szCs w:val="20"/>
        </w:rPr>
        <w:t xml:space="preserve">PART II </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ITEM 1: LEGAL PROCEEDINGS:</w:t>
      </w:r>
    </w:p>
    <w:p w:rsidR="000167F6" w:rsidRDefault="00DF66D7">
      <w:pPr>
        <w:pStyle w:val="NormalWeb"/>
        <w:spacing w:after="240" w:afterAutospacing="0"/>
        <w:rPr>
          <w:rFonts w:ascii="were non-interest bearing and w" w:hAnsi="were non-interest bearing and w"/>
        </w:rPr>
      </w:pPr>
      <w:r>
        <w:rPr>
          <w:rFonts w:ascii="were non-interest bearing and w" w:hAnsi="were non-interest bearing and w"/>
          <w:sz w:val="20"/>
          <w:szCs w:val="20"/>
        </w:rPr>
        <w:t>None</w:t>
      </w:r>
    </w:p>
    <w:p w:rsidR="000167F6" w:rsidRDefault="000B52F0">
      <w:pPr>
        <w:pStyle w:val="NormalWeb"/>
        <w:rPr>
          <w:rFonts w:ascii="were non-interest bearing and w" w:hAnsi="were non-interest bearing and w"/>
        </w:rPr>
      </w:pPr>
      <w:hyperlink w:anchor="toc" w:history="1">
        <w:r w:rsidR="00DF66D7">
          <w:rPr>
            <w:rStyle w:val="Hyperlink"/>
            <w:rFonts w:ascii="were non-interest bearing and w" w:hAnsi="were non-interest bearing and w"/>
            <w:b/>
            <w:bCs/>
            <w:sz w:val="20"/>
            <w:szCs w:val="20"/>
          </w:rPr>
          <w:t>Return to Table of Contents</w:t>
        </w:r>
      </w:hyperlink>
    </w:p>
    <w:p w:rsidR="000167F6" w:rsidRDefault="000B52F0">
      <w:pPr>
        <w:rPr>
          <w:rFonts w:ascii="were non-interest bearing and w" w:eastAsia="Times New Roman" w:hAnsi="were non-interest bearing and w"/>
        </w:rPr>
      </w:pPr>
      <w:r>
        <w:rPr>
          <w:rFonts w:ascii="were non-interest bearing and w" w:eastAsia="Times New Roman" w:hAnsi="were non-interest bearing and w"/>
        </w:rPr>
        <w:pict>
          <v:rect id="_x0000_i1035" style="width:0;height:2pt" o:hralign="center" o:hrstd="t" o:hrnoshade="t" o:hr="t" fillcolor="black" stroked="f"/>
        </w:pict>
      </w:r>
    </w:p>
    <w:p w:rsidR="00423D3D" w:rsidRDefault="00423D3D">
      <w:pPr>
        <w:rPr>
          <w:rFonts w:ascii="were non-interest bearing and w" w:hAnsi="were non-interest bearing and w"/>
        </w:rPr>
      </w:pPr>
      <w:r>
        <w:rPr>
          <w:rFonts w:ascii="were non-interest bearing and w" w:hAnsi="were non-interest bearing and w"/>
        </w:rPr>
        <w:br w:type="page"/>
      </w:r>
    </w:p>
    <w:p w:rsidR="000167F6" w:rsidRDefault="00DF66D7">
      <w:pPr>
        <w:pStyle w:val="NormalWeb"/>
        <w:rPr>
          <w:rFonts w:ascii="were non-interest bearing and w" w:hAnsi="were non-interest bearing and w"/>
        </w:rPr>
      </w:pPr>
      <w:r>
        <w:rPr>
          <w:rFonts w:ascii="were non-interest bearing and w" w:hAnsi="were non-interest bearing and w"/>
        </w:rPr>
        <w:lastRenderedPageBreak/>
        <w:t> </w:t>
      </w:r>
      <w:r>
        <w:rPr>
          <w:rFonts w:ascii="were non-interest bearing and w" w:hAnsi="were non-interest bearing and w"/>
          <w:b/>
          <w:bCs/>
          <w:sz w:val="20"/>
          <w:szCs w:val="20"/>
        </w:rPr>
        <w:t>ITEM 2. UNREGISTERED SALES OF EQUITY SECURITIES AND USE OF PROCEEDS: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None</w:t>
      </w:r>
      <w:r>
        <w:rPr>
          <w:rFonts w:ascii="were non-interest bearing and w" w:hAnsi="were non-interest bearing and w"/>
          <w:sz w:val="20"/>
          <w:szCs w:val="20"/>
        </w:rPr>
        <w:br/>
      </w:r>
      <w:r>
        <w:rPr>
          <w:rFonts w:ascii="were non-interest bearing and w" w:hAnsi="were non-interest bearing and w"/>
          <w:sz w:val="20"/>
          <w:szCs w:val="20"/>
        </w:rPr>
        <w:br/>
      </w:r>
      <w:r>
        <w:rPr>
          <w:rFonts w:ascii="were non-interest bearing and w" w:hAnsi="were non-interest bearing and w"/>
          <w:b/>
          <w:bCs/>
          <w:sz w:val="20"/>
          <w:szCs w:val="20"/>
        </w:rPr>
        <w:t>ITEM 3. DEFAULTS UPON SENIOR SECURITIES: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None</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ITEM 4. MINE SAFETY DISCLOSURES: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None</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ITEM 5. OTHER INFORMATION:</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None</w:t>
      </w:r>
    </w:p>
    <w:p w:rsidR="000167F6" w:rsidRDefault="00DF66D7">
      <w:pPr>
        <w:pStyle w:val="NormalWeb"/>
        <w:rPr>
          <w:rFonts w:ascii="were non-interest bearing and w" w:hAnsi="were non-interest bearing and w"/>
        </w:rPr>
      </w:pPr>
      <w:r>
        <w:rPr>
          <w:rFonts w:ascii="were non-interest bearing and w" w:hAnsi="were non-interest bearing and w"/>
          <w:b/>
          <w:bCs/>
          <w:sz w:val="20"/>
          <w:szCs w:val="20"/>
        </w:rPr>
        <w:t>ITEM 6: EXHIBITS AND REPORTS ON FORM 8-K:</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During the six month period ending December 31, 2016, the Company filed the following report on Form 8-K</w:t>
      </w:r>
      <w:r>
        <w:rPr>
          <w:sz w:val="20"/>
          <w:szCs w:val="20"/>
        </w:rPr>
        <w:t>.</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On August 05, 2016 the Company has engaged Sadler, Gibb &amp; Associates, LLC, 2455 E. Parleys Way, Suite 320, Salt Lake City, UT 84109, (801)783-2960 ("New Accountants") as its certified accounting firm/outside auditor from its Danish auditors CHR. Mortensen Revisionsfirma.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tbl>
      <w:tblPr>
        <w:tblW w:w="5000" w:type="pct"/>
        <w:tblCellMar>
          <w:left w:w="0" w:type="dxa"/>
          <w:right w:w="0" w:type="dxa"/>
        </w:tblCellMar>
        <w:tblLook w:val="04A0" w:firstRow="1" w:lastRow="0" w:firstColumn="1" w:lastColumn="0" w:noHBand="0" w:noVBand="1"/>
      </w:tblPr>
      <w:tblGrid>
        <w:gridCol w:w="1091"/>
        <w:gridCol w:w="218"/>
        <w:gridCol w:w="9491"/>
      </w:tblGrid>
      <w:tr w:rsidR="000167F6">
        <w:tc>
          <w:tcPr>
            <w:tcW w:w="500" w:type="pct"/>
            <w:tcBorders>
              <w:top w:val="nil"/>
              <w:left w:val="nil"/>
              <w:bottom w:val="single" w:sz="8" w:space="0" w:color="auto"/>
              <w:right w:val="nil"/>
            </w:tcBorders>
            <w:shd w:val="clear" w:color="auto" w:fill="CCEEFF"/>
            <w:vAlign w:val="bottom"/>
            <w:hideMark/>
          </w:tcPr>
          <w:p w:rsidR="000167F6" w:rsidRDefault="00DF66D7">
            <w:pPr>
              <w:pStyle w:val="NormalWeb"/>
              <w:spacing w:before="0" w:beforeAutospacing="0" w:after="0" w:afterAutospacing="0"/>
            </w:pPr>
            <w:r>
              <w:rPr>
                <w:b/>
                <w:bCs/>
                <w:sz w:val="16"/>
                <w:szCs w:val="16"/>
              </w:rPr>
              <w:t>Exhibit</w:t>
            </w:r>
            <w:r>
              <w:rPr>
                <w:b/>
                <w:bCs/>
                <w:sz w:val="16"/>
                <w:szCs w:val="16"/>
              </w:rPr>
              <w:br/>
              <w:t>Number</w:t>
            </w:r>
          </w:p>
        </w:tc>
        <w:tc>
          <w:tcPr>
            <w:tcW w:w="100" w:type="pct"/>
            <w:shd w:val="clear" w:color="auto" w:fill="CCEEFF"/>
            <w:vAlign w:val="bottom"/>
            <w:hideMark/>
          </w:tcPr>
          <w:p w:rsidR="000167F6" w:rsidRDefault="00DF66D7">
            <w:pPr>
              <w:pStyle w:val="NormalWeb"/>
              <w:spacing w:before="0" w:beforeAutospacing="0" w:after="0" w:afterAutospacing="0"/>
              <w:jc w:val="center"/>
            </w:pPr>
            <w:r>
              <w:rPr>
                <w:b/>
                <w:bCs/>
                <w:sz w:val="2"/>
                <w:szCs w:val="2"/>
              </w:rPr>
              <w:t> </w:t>
            </w:r>
          </w:p>
        </w:tc>
        <w:tc>
          <w:tcPr>
            <w:tcW w:w="4350" w:type="pct"/>
            <w:tcBorders>
              <w:top w:val="nil"/>
              <w:left w:val="nil"/>
              <w:bottom w:val="single" w:sz="8" w:space="0" w:color="auto"/>
              <w:right w:val="nil"/>
            </w:tcBorders>
            <w:shd w:val="clear" w:color="auto" w:fill="CCEEFF"/>
            <w:vAlign w:val="bottom"/>
            <w:hideMark/>
          </w:tcPr>
          <w:p w:rsidR="000167F6" w:rsidRDefault="00DF66D7">
            <w:pPr>
              <w:pStyle w:val="NormalWeb"/>
              <w:spacing w:before="0" w:beforeAutospacing="0" w:after="0" w:afterAutospacing="0"/>
              <w:jc w:val="center"/>
            </w:pPr>
            <w:r>
              <w:rPr>
                <w:b/>
                <w:bCs/>
                <w:sz w:val="16"/>
                <w:szCs w:val="16"/>
              </w:rPr>
              <w:t>Description of the Document</w:t>
            </w:r>
          </w:p>
        </w:tc>
      </w:tr>
      <w:tr w:rsidR="000167F6">
        <w:tc>
          <w:tcPr>
            <w:tcW w:w="500" w:type="pct"/>
            <w:shd w:val="clear" w:color="auto" w:fill="FFFFFF"/>
            <w:hideMark/>
          </w:tcPr>
          <w:p w:rsidR="000167F6" w:rsidRDefault="00DF66D7">
            <w:pPr>
              <w:rPr>
                <w:rFonts w:eastAsia="Times New Roman"/>
              </w:rPr>
            </w:pPr>
            <w:r>
              <w:rPr>
                <w:rFonts w:eastAsia="Times New Roman"/>
                <w:sz w:val="20"/>
                <w:szCs w:val="20"/>
              </w:rPr>
              <w:t>3.1</w:t>
            </w:r>
          </w:p>
        </w:tc>
        <w:tc>
          <w:tcPr>
            <w:tcW w:w="100" w:type="pct"/>
            <w:shd w:val="clear" w:color="auto" w:fill="FFFFFF"/>
            <w:vAlign w:val="bottom"/>
            <w:hideMark/>
          </w:tcPr>
          <w:p w:rsidR="000167F6" w:rsidRDefault="00DF66D7">
            <w:pPr>
              <w:rPr>
                <w:rFonts w:eastAsia="Times New Roman"/>
              </w:rPr>
            </w:pPr>
            <w:r>
              <w:rPr>
                <w:rFonts w:eastAsia="Times New Roman"/>
              </w:rPr>
              <w:t> </w:t>
            </w:r>
          </w:p>
        </w:tc>
        <w:tc>
          <w:tcPr>
            <w:tcW w:w="4350" w:type="pct"/>
            <w:shd w:val="clear" w:color="auto" w:fill="FFFFFF"/>
            <w:hideMark/>
          </w:tcPr>
          <w:p w:rsidR="000167F6" w:rsidRDefault="00DF66D7">
            <w:pPr>
              <w:rPr>
                <w:rFonts w:eastAsia="Times New Roman"/>
              </w:rPr>
            </w:pPr>
            <w:r>
              <w:rPr>
                <w:rFonts w:eastAsia="Times New Roman"/>
                <w:sz w:val="20"/>
                <w:szCs w:val="20"/>
              </w:rPr>
              <w:t>Certificate of Incorporation as Amended and filed with the Secretary of State of Delaware effective on December 5, 2014(1)</w:t>
            </w:r>
          </w:p>
        </w:tc>
      </w:tr>
      <w:tr w:rsidR="000167F6">
        <w:tc>
          <w:tcPr>
            <w:tcW w:w="500" w:type="pct"/>
            <w:shd w:val="clear" w:color="auto" w:fill="CCEEFF"/>
            <w:hideMark/>
          </w:tcPr>
          <w:p w:rsidR="000167F6" w:rsidRDefault="00DF66D7">
            <w:pPr>
              <w:rPr>
                <w:rFonts w:eastAsia="Times New Roman"/>
              </w:rPr>
            </w:pPr>
            <w:r>
              <w:rPr>
                <w:rFonts w:eastAsia="Times New Roman"/>
                <w:sz w:val="20"/>
                <w:szCs w:val="20"/>
              </w:rPr>
              <w:t>3.2</w:t>
            </w:r>
          </w:p>
        </w:tc>
        <w:tc>
          <w:tcPr>
            <w:tcW w:w="100" w:type="pct"/>
            <w:shd w:val="clear" w:color="auto" w:fill="CCEEFF"/>
            <w:vAlign w:val="bottom"/>
            <w:hideMark/>
          </w:tcPr>
          <w:p w:rsidR="000167F6" w:rsidRDefault="00DF66D7">
            <w:pPr>
              <w:rPr>
                <w:rFonts w:eastAsia="Times New Roman"/>
              </w:rPr>
            </w:pPr>
            <w:r>
              <w:rPr>
                <w:rFonts w:eastAsia="Times New Roman"/>
              </w:rPr>
              <w:t> </w:t>
            </w:r>
          </w:p>
        </w:tc>
        <w:tc>
          <w:tcPr>
            <w:tcW w:w="4350" w:type="pct"/>
            <w:shd w:val="clear" w:color="auto" w:fill="CCEEFF"/>
            <w:hideMark/>
          </w:tcPr>
          <w:p w:rsidR="000167F6" w:rsidRDefault="00DF66D7">
            <w:pPr>
              <w:rPr>
                <w:rFonts w:eastAsia="Times New Roman"/>
              </w:rPr>
            </w:pPr>
            <w:r>
              <w:rPr>
                <w:rFonts w:eastAsia="Times New Roman"/>
                <w:sz w:val="20"/>
                <w:szCs w:val="20"/>
              </w:rPr>
              <w:t>Bylaws.(1)</w:t>
            </w:r>
          </w:p>
        </w:tc>
      </w:tr>
      <w:tr w:rsidR="000167F6">
        <w:tc>
          <w:tcPr>
            <w:tcW w:w="500" w:type="pct"/>
            <w:shd w:val="clear" w:color="auto" w:fill="FFFFFF"/>
            <w:hideMark/>
          </w:tcPr>
          <w:p w:rsidR="000167F6" w:rsidRDefault="00DF66D7">
            <w:pPr>
              <w:pStyle w:val="NormalWeb"/>
              <w:spacing w:before="0" w:beforeAutospacing="0" w:after="0" w:afterAutospacing="0"/>
            </w:pPr>
            <w:r>
              <w:rPr>
                <w:sz w:val="20"/>
                <w:szCs w:val="20"/>
              </w:rPr>
              <w:t>31.1</w:t>
            </w:r>
          </w:p>
        </w:tc>
        <w:tc>
          <w:tcPr>
            <w:tcW w:w="100" w:type="pct"/>
            <w:shd w:val="clear" w:color="auto" w:fill="FFFF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FFFFFF"/>
            <w:hideMark/>
          </w:tcPr>
          <w:p w:rsidR="000167F6" w:rsidRDefault="00DF66D7">
            <w:pPr>
              <w:pStyle w:val="NormalWeb"/>
              <w:spacing w:before="0" w:beforeAutospacing="0" w:after="0" w:afterAutospacing="0"/>
              <w:ind w:left="200" w:hanging="200"/>
            </w:pPr>
            <w:r>
              <w:rPr>
                <w:sz w:val="20"/>
                <w:szCs w:val="20"/>
              </w:rPr>
              <w:t>Certification of Chief Executive Officer pursuant to Exchange Act Rule 13a-14(a)/15d-14(a), as adopted pursuant to Section 302 of the Sarbanes-Oxley Act of 2002.</w:t>
            </w:r>
          </w:p>
        </w:tc>
      </w:tr>
      <w:tr w:rsidR="000167F6">
        <w:tc>
          <w:tcPr>
            <w:tcW w:w="500" w:type="pct"/>
            <w:shd w:val="clear" w:color="auto" w:fill="CCEEFF"/>
            <w:hideMark/>
          </w:tcPr>
          <w:p w:rsidR="000167F6" w:rsidRDefault="00DF66D7">
            <w:pPr>
              <w:pStyle w:val="NormalWeb"/>
              <w:spacing w:before="0" w:beforeAutospacing="0" w:after="0" w:afterAutospacing="0"/>
            </w:pPr>
            <w:r>
              <w:rPr>
                <w:sz w:val="20"/>
                <w:szCs w:val="20"/>
              </w:rPr>
              <w:t>31.2</w:t>
            </w:r>
          </w:p>
        </w:tc>
        <w:tc>
          <w:tcPr>
            <w:tcW w:w="100" w:type="pct"/>
            <w:shd w:val="clear" w:color="auto" w:fill="CCEE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CCEEFF"/>
            <w:hideMark/>
          </w:tcPr>
          <w:p w:rsidR="000167F6" w:rsidRDefault="00DF66D7">
            <w:pPr>
              <w:pStyle w:val="NormalWeb"/>
              <w:spacing w:before="0" w:beforeAutospacing="0" w:after="0" w:afterAutospacing="0"/>
              <w:ind w:left="200" w:hanging="200"/>
            </w:pPr>
            <w:r>
              <w:rPr>
                <w:sz w:val="20"/>
                <w:szCs w:val="20"/>
              </w:rPr>
              <w:t>Certification of Chief Financial Officer pursuant to Exchange Act Rule 13a-14(a)/15d-14(a), as adopted pursuant to Section 302 of the Sarbanes-Oxley Act of 2002.</w:t>
            </w:r>
          </w:p>
        </w:tc>
      </w:tr>
      <w:tr w:rsidR="000167F6">
        <w:tc>
          <w:tcPr>
            <w:tcW w:w="500" w:type="pct"/>
            <w:shd w:val="clear" w:color="auto" w:fill="FFFFFF"/>
            <w:hideMark/>
          </w:tcPr>
          <w:p w:rsidR="000167F6" w:rsidRDefault="00DF66D7">
            <w:pPr>
              <w:pStyle w:val="NormalWeb"/>
              <w:spacing w:before="0" w:beforeAutospacing="0" w:after="0" w:afterAutospacing="0"/>
            </w:pPr>
            <w:r>
              <w:rPr>
                <w:sz w:val="20"/>
                <w:szCs w:val="20"/>
              </w:rPr>
              <w:t>32.1</w:t>
            </w:r>
          </w:p>
        </w:tc>
        <w:tc>
          <w:tcPr>
            <w:tcW w:w="100" w:type="pct"/>
            <w:shd w:val="clear" w:color="auto" w:fill="FFFF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FFFFFF"/>
            <w:hideMark/>
          </w:tcPr>
          <w:p w:rsidR="000167F6" w:rsidRDefault="00DF66D7">
            <w:pPr>
              <w:pStyle w:val="NormalWeb"/>
              <w:spacing w:before="0" w:beforeAutospacing="0" w:after="0" w:afterAutospacing="0"/>
              <w:ind w:left="200" w:hanging="200"/>
            </w:pPr>
            <w:r>
              <w:rPr>
                <w:sz w:val="20"/>
                <w:szCs w:val="20"/>
              </w:rPr>
              <w:t>Certification of Chief Executive Officer in accordance with 18 U.S.C. Section 1350, as adopted pursuant to Section 906 of the Sarbanes-Oxley Act of 2002.</w:t>
            </w:r>
          </w:p>
        </w:tc>
      </w:tr>
      <w:tr w:rsidR="000167F6">
        <w:tc>
          <w:tcPr>
            <w:tcW w:w="500" w:type="pct"/>
            <w:shd w:val="clear" w:color="auto" w:fill="CCEEFF"/>
            <w:hideMark/>
          </w:tcPr>
          <w:p w:rsidR="000167F6" w:rsidRDefault="00DF66D7">
            <w:pPr>
              <w:pStyle w:val="NormalWeb"/>
              <w:spacing w:before="0" w:beforeAutospacing="0" w:after="0" w:afterAutospacing="0"/>
            </w:pPr>
            <w:r>
              <w:rPr>
                <w:sz w:val="20"/>
                <w:szCs w:val="20"/>
              </w:rPr>
              <w:t>32.2</w:t>
            </w:r>
          </w:p>
        </w:tc>
        <w:tc>
          <w:tcPr>
            <w:tcW w:w="100" w:type="pct"/>
            <w:shd w:val="clear" w:color="auto" w:fill="CCEE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CCEEFF"/>
            <w:hideMark/>
          </w:tcPr>
          <w:p w:rsidR="000167F6" w:rsidRDefault="00DF66D7">
            <w:pPr>
              <w:pStyle w:val="NormalWeb"/>
              <w:spacing w:before="0" w:beforeAutospacing="0" w:after="0" w:afterAutospacing="0"/>
              <w:ind w:left="200" w:hanging="200"/>
            </w:pPr>
            <w:r>
              <w:rPr>
                <w:sz w:val="20"/>
                <w:szCs w:val="20"/>
              </w:rPr>
              <w:t>Certification of Chief Financial Officer in accordance with 18 U.S.C. Section 1350, as adopted pursuant to Section 906 of the Sarbanes-Oxley Act of 2002.</w:t>
            </w:r>
          </w:p>
        </w:tc>
      </w:tr>
      <w:tr w:rsidR="000167F6">
        <w:tc>
          <w:tcPr>
            <w:tcW w:w="500" w:type="pct"/>
            <w:shd w:val="clear" w:color="auto" w:fill="FFFFFF"/>
            <w:hideMark/>
          </w:tcPr>
          <w:p w:rsidR="000167F6" w:rsidRDefault="00DF66D7">
            <w:pPr>
              <w:pStyle w:val="NormalWeb"/>
              <w:spacing w:before="0" w:beforeAutospacing="0" w:after="0" w:afterAutospacing="0"/>
            </w:pPr>
            <w:r>
              <w:rPr>
                <w:sz w:val="20"/>
                <w:szCs w:val="20"/>
              </w:rPr>
              <w:t>101.INS</w:t>
            </w:r>
          </w:p>
        </w:tc>
        <w:tc>
          <w:tcPr>
            <w:tcW w:w="100" w:type="pct"/>
            <w:shd w:val="clear" w:color="auto" w:fill="FFFF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FFFFFF"/>
            <w:hideMark/>
          </w:tcPr>
          <w:p w:rsidR="000167F6" w:rsidRDefault="00DF66D7">
            <w:pPr>
              <w:pStyle w:val="NormalWeb"/>
              <w:spacing w:before="0" w:beforeAutospacing="0" w:after="0" w:afterAutospacing="0"/>
              <w:ind w:left="200" w:hanging="200"/>
            </w:pPr>
            <w:r>
              <w:rPr>
                <w:sz w:val="20"/>
                <w:szCs w:val="20"/>
              </w:rPr>
              <w:t>XBRL Instance</w:t>
            </w:r>
          </w:p>
        </w:tc>
      </w:tr>
      <w:tr w:rsidR="000167F6">
        <w:tc>
          <w:tcPr>
            <w:tcW w:w="500" w:type="pct"/>
            <w:shd w:val="clear" w:color="auto" w:fill="CCEEFF"/>
            <w:hideMark/>
          </w:tcPr>
          <w:p w:rsidR="000167F6" w:rsidRDefault="00DF66D7">
            <w:pPr>
              <w:pStyle w:val="NormalWeb"/>
              <w:spacing w:before="0" w:beforeAutospacing="0" w:after="0" w:afterAutospacing="0"/>
            </w:pPr>
            <w:r>
              <w:rPr>
                <w:sz w:val="20"/>
                <w:szCs w:val="20"/>
              </w:rPr>
              <w:t>101.SCH</w:t>
            </w:r>
          </w:p>
        </w:tc>
        <w:tc>
          <w:tcPr>
            <w:tcW w:w="100" w:type="pct"/>
            <w:shd w:val="clear" w:color="auto" w:fill="CCEE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CCEEFF"/>
            <w:hideMark/>
          </w:tcPr>
          <w:p w:rsidR="000167F6" w:rsidRDefault="00DF66D7">
            <w:pPr>
              <w:pStyle w:val="NormalWeb"/>
              <w:spacing w:before="0" w:beforeAutospacing="0" w:after="0" w:afterAutospacing="0"/>
              <w:ind w:left="200" w:hanging="200"/>
            </w:pPr>
            <w:r>
              <w:rPr>
                <w:sz w:val="20"/>
                <w:szCs w:val="20"/>
              </w:rPr>
              <w:t>XBRL Taxonomy Extension Schema Document</w:t>
            </w:r>
          </w:p>
        </w:tc>
      </w:tr>
      <w:tr w:rsidR="000167F6">
        <w:tc>
          <w:tcPr>
            <w:tcW w:w="500" w:type="pct"/>
            <w:shd w:val="clear" w:color="auto" w:fill="FFFFFF"/>
            <w:hideMark/>
          </w:tcPr>
          <w:p w:rsidR="000167F6" w:rsidRDefault="00DF66D7">
            <w:pPr>
              <w:pStyle w:val="NormalWeb"/>
              <w:spacing w:before="0" w:beforeAutospacing="0" w:after="0" w:afterAutospacing="0"/>
            </w:pPr>
            <w:r>
              <w:rPr>
                <w:sz w:val="20"/>
                <w:szCs w:val="20"/>
              </w:rPr>
              <w:t>101.CAL</w:t>
            </w:r>
          </w:p>
        </w:tc>
        <w:tc>
          <w:tcPr>
            <w:tcW w:w="100" w:type="pct"/>
            <w:shd w:val="clear" w:color="auto" w:fill="FFFF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FFFFFF"/>
            <w:hideMark/>
          </w:tcPr>
          <w:p w:rsidR="000167F6" w:rsidRDefault="00DF66D7">
            <w:pPr>
              <w:pStyle w:val="NormalWeb"/>
              <w:spacing w:before="0" w:beforeAutospacing="0" w:after="0" w:afterAutospacing="0"/>
              <w:ind w:left="200" w:hanging="200"/>
            </w:pPr>
            <w:r>
              <w:rPr>
                <w:sz w:val="20"/>
                <w:szCs w:val="20"/>
              </w:rPr>
              <w:t>XBRL Taxonomy Extension Calculation Linkbase Document</w:t>
            </w:r>
          </w:p>
        </w:tc>
      </w:tr>
      <w:tr w:rsidR="000167F6">
        <w:tc>
          <w:tcPr>
            <w:tcW w:w="500" w:type="pct"/>
            <w:shd w:val="clear" w:color="auto" w:fill="CCEEFF"/>
            <w:hideMark/>
          </w:tcPr>
          <w:p w:rsidR="000167F6" w:rsidRDefault="00DF66D7">
            <w:pPr>
              <w:pStyle w:val="NormalWeb"/>
              <w:spacing w:before="0" w:beforeAutospacing="0" w:after="0" w:afterAutospacing="0"/>
            </w:pPr>
            <w:r>
              <w:rPr>
                <w:sz w:val="20"/>
                <w:szCs w:val="20"/>
              </w:rPr>
              <w:t>101.DEF</w:t>
            </w:r>
          </w:p>
        </w:tc>
        <w:tc>
          <w:tcPr>
            <w:tcW w:w="100" w:type="pct"/>
            <w:shd w:val="clear" w:color="auto" w:fill="CCEE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CCEEFF"/>
            <w:hideMark/>
          </w:tcPr>
          <w:p w:rsidR="000167F6" w:rsidRDefault="00DF66D7">
            <w:pPr>
              <w:pStyle w:val="NormalWeb"/>
              <w:spacing w:before="0" w:beforeAutospacing="0" w:after="0" w:afterAutospacing="0"/>
              <w:ind w:left="200" w:hanging="200"/>
            </w:pPr>
            <w:r>
              <w:rPr>
                <w:sz w:val="20"/>
                <w:szCs w:val="20"/>
              </w:rPr>
              <w:t>XBRL Taxonomy Extension Definition Linkbase Document</w:t>
            </w:r>
          </w:p>
        </w:tc>
      </w:tr>
      <w:tr w:rsidR="000167F6">
        <w:tc>
          <w:tcPr>
            <w:tcW w:w="500" w:type="pct"/>
            <w:shd w:val="clear" w:color="auto" w:fill="FFFFFF"/>
            <w:hideMark/>
          </w:tcPr>
          <w:p w:rsidR="000167F6" w:rsidRDefault="00DF66D7">
            <w:pPr>
              <w:pStyle w:val="NormalWeb"/>
              <w:spacing w:before="0" w:beforeAutospacing="0" w:after="0" w:afterAutospacing="0"/>
            </w:pPr>
            <w:r>
              <w:rPr>
                <w:sz w:val="20"/>
                <w:szCs w:val="20"/>
              </w:rPr>
              <w:t>101.LAB</w:t>
            </w:r>
          </w:p>
        </w:tc>
        <w:tc>
          <w:tcPr>
            <w:tcW w:w="100" w:type="pct"/>
            <w:shd w:val="clear" w:color="auto" w:fill="FFFF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FFFFFF"/>
            <w:hideMark/>
          </w:tcPr>
          <w:p w:rsidR="000167F6" w:rsidRDefault="00DF66D7">
            <w:pPr>
              <w:pStyle w:val="NormalWeb"/>
              <w:spacing w:before="0" w:beforeAutospacing="0" w:after="0" w:afterAutospacing="0"/>
              <w:ind w:left="200" w:hanging="200"/>
            </w:pPr>
            <w:r>
              <w:rPr>
                <w:sz w:val="20"/>
                <w:szCs w:val="20"/>
              </w:rPr>
              <w:t>XBRL Taxonomy Extension Labels Linkbase Document</w:t>
            </w:r>
          </w:p>
        </w:tc>
      </w:tr>
      <w:tr w:rsidR="000167F6">
        <w:tc>
          <w:tcPr>
            <w:tcW w:w="500" w:type="pct"/>
            <w:shd w:val="clear" w:color="auto" w:fill="CCEEFF"/>
            <w:hideMark/>
          </w:tcPr>
          <w:p w:rsidR="000167F6" w:rsidRDefault="00DF66D7">
            <w:pPr>
              <w:pStyle w:val="NormalWeb"/>
              <w:spacing w:before="0" w:beforeAutospacing="0" w:after="0" w:afterAutospacing="0"/>
            </w:pPr>
            <w:r>
              <w:rPr>
                <w:sz w:val="20"/>
                <w:szCs w:val="20"/>
              </w:rPr>
              <w:t>101.PRE</w:t>
            </w:r>
          </w:p>
        </w:tc>
        <w:tc>
          <w:tcPr>
            <w:tcW w:w="100" w:type="pct"/>
            <w:shd w:val="clear" w:color="auto" w:fill="CCEEFF"/>
            <w:vAlign w:val="bottom"/>
            <w:hideMark/>
          </w:tcPr>
          <w:p w:rsidR="000167F6" w:rsidRDefault="00DF66D7">
            <w:pPr>
              <w:pStyle w:val="NormalWeb"/>
              <w:spacing w:before="0" w:beforeAutospacing="0" w:after="0" w:afterAutospacing="0"/>
            </w:pPr>
            <w:r>
              <w:rPr>
                <w:sz w:val="2"/>
                <w:szCs w:val="2"/>
              </w:rPr>
              <w:t> </w:t>
            </w:r>
          </w:p>
        </w:tc>
        <w:tc>
          <w:tcPr>
            <w:tcW w:w="4350" w:type="pct"/>
            <w:shd w:val="clear" w:color="auto" w:fill="CCEEFF"/>
            <w:hideMark/>
          </w:tcPr>
          <w:p w:rsidR="000167F6" w:rsidRDefault="00DF66D7">
            <w:pPr>
              <w:pStyle w:val="NormalWeb"/>
              <w:spacing w:before="0" w:beforeAutospacing="0" w:after="0" w:afterAutospacing="0"/>
              <w:ind w:left="200" w:hanging="200"/>
            </w:pPr>
            <w:r>
              <w:rPr>
                <w:sz w:val="20"/>
                <w:szCs w:val="20"/>
              </w:rPr>
              <w:t>XBRL Taxonomy Extension Presentation Linkbase Document</w:t>
            </w:r>
          </w:p>
        </w:tc>
      </w:tr>
    </w:tbl>
    <w:p w:rsidR="000167F6" w:rsidRDefault="00DF66D7">
      <w:pPr>
        <w:pStyle w:val="NormalWeb"/>
        <w:spacing w:before="0" w:beforeAutospacing="0" w:after="0" w:afterAutospacing="0"/>
        <w:rPr>
          <w:color w:val="000000"/>
          <w:sz w:val="27"/>
          <w:szCs w:val="27"/>
        </w:rPr>
      </w:pPr>
      <w:r>
        <w:rPr>
          <w:color w:val="000000"/>
          <w:sz w:val="27"/>
          <w:szCs w:val="27"/>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5"/>
        <w:gridCol w:w="10490"/>
      </w:tblGrid>
      <w:tr w:rsidR="000167F6">
        <w:trPr>
          <w:tblCellSpacing w:w="0" w:type="dxa"/>
        </w:trPr>
        <w:tc>
          <w:tcPr>
            <w:tcW w:w="0" w:type="auto"/>
            <w:shd w:val="clear" w:color="auto" w:fill="auto"/>
            <w:hideMark/>
          </w:tcPr>
          <w:p w:rsidR="000167F6" w:rsidRDefault="00DF66D7">
            <w:pPr>
              <w:rPr>
                <w:rFonts w:eastAsia="Times New Roman"/>
                <w:sz w:val="20"/>
                <w:szCs w:val="20"/>
              </w:rPr>
            </w:pPr>
            <w:r>
              <w:rPr>
                <w:rFonts w:eastAsia="Times New Roman"/>
                <w:sz w:val="20"/>
                <w:szCs w:val="20"/>
              </w:rPr>
              <w:t>(1)</w:t>
            </w:r>
          </w:p>
        </w:tc>
        <w:tc>
          <w:tcPr>
            <w:tcW w:w="0" w:type="auto"/>
            <w:shd w:val="clear" w:color="auto" w:fill="auto"/>
            <w:hideMark/>
          </w:tcPr>
          <w:p w:rsidR="000167F6" w:rsidRDefault="00DF66D7">
            <w:pPr>
              <w:rPr>
                <w:rFonts w:eastAsia="Times New Roman"/>
                <w:sz w:val="20"/>
                <w:szCs w:val="20"/>
              </w:rPr>
            </w:pPr>
            <w:r>
              <w:rPr>
                <w:rFonts w:eastAsia="Times New Roman"/>
                <w:sz w:val="20"/>
                <w:szCs w:val="20"/>
              </w:rPr>
              <w:t> </w:t>
            </w:r>
          </w:p>
        </w:tc>
        <w:tc>
          <w:tcPr>
            <w:tcW w:w="0" w:type="auto"/>
            <w:shd w:val="clear" w:color="auto" w:fill="auto"/>
            <w:hideMark/>
          </w:tcPr>
          <w:p w:rsidR="000167F6" w:rsidRDefault="00DF66D7">
            <w:pPr>
              <w:spacing w:line="276" w:lineRule="auto"/>
              <w:jc w:val="both"/>
              <w:rPr>
                <w:rFonts w:eastAsia="Times New Roman"/>
                <w:sz w:val="20"/>
                <w:szCs w:val="20"/>
              </w:rPr>
            </w:pPr>
            <w:r>
              <w:rPr>
                <w:rFonts w:eastAsia="Times New Roman"/>
                <w:sz w:val="20"/>
                <w:szCs w:val="20"/>
              </w:rPr>
              <w:t>Filed as an exhibit to the Company's 8-K filed with the SEC on December 5, 2014 and incorporated herein by reference.</w:t>
            </w:r>
          </w:p>
        </w:tc>
      </w:tr>
    </w:tbl>
    <w:p w:rsidR="000167F6" w:rsidRDefault="00DF66D7">
      <w:pPr>
        <w:pStyle w:val="NormalWeb"/>
        <w:spacing w:before="0" w:beforeAutospacing="0" w:after="0" w:afterAutospacing="0"/>
        <w:rPr>
          <w:color w:val="000000"/>
          <w:sz w:val="27"/>
          <w:szCs w:val="27"/>
        </w:rPr>
      </w:pPr>
      <w:r>
        <w:rPr>
          <w:color w:val="000000"/>
          <w:sz w:val="20"/>
          <w:szCs w:val="20"/>
        </w:rPr>
        <w:t> </w:t>
      </w:r>
      <w:r>
        <w:rPr>
          <w:color w:val="000000"/>
          <w:sz w:val="27"/>
          <w:szCs w:val="27"/>
        </w:rPr>
        <w:t xml:space="preserve"> </w:t>
      </w:r>
    </w:p>
    <w:p w:rsidR="000167F6" w:rsidRDefault="000B52F0">
      <w:pPr>
        <w:pStyle w:val="NormalWeb"/>
        <w:rPr>
          <w:rFonts w:ascii="were non-interest bearing and w" w:hAnsi="were non-interest bearing and w"/>
        </w:rPr>
      </w:pPr>
      <w:hyperlink w:anchor="toc" w:history="1">
        <w:r w:rsidR="00DF66D7">
          <w:rPr>
            <w:rStyle w:val="Hyperlink"/>
            <w:rFonts w:ascii="were non-interest bearing and w" w:hAnsi="were non-interest bearing and w"/>
            <w:b/>
            <w:bCs/>
            <w:sz w:val="20"/>
            <w:szCs w:val="20"/>
          </w:rPr>
          <w:t>Return to Table of Contents</w:t>
        </w:r>
      </w:hyperlink>
    </w:p>
    <w:p w:rsidR="000167F6" w:rsidRDefault="000B52F0">
      <w:pPr>
        <w:rPr>
          <w:rFonts w:ascii="were non-interest bearing and w" w:eastAsia="Times New Roman" w:hAnsi="were non-interest bearing and w"/>
        </w:rPr>
      </w:pPr>
      <w:r>
        <w:rPr>
          <w:rFonts w:ascii="were non-interest bearing and w" w:eastAsia="Times New Roman" w:hAnsi="were non-interest bearing and w"/>
        </w:rPr>
        <w:pict>
          <v:rect id="_x0000_i1036" style="width:0;height:2pt" o:hralign="center" o:hrstd="t" o:hrnoshade="t" o:hr="t" fillcolor="black" stroked="f"/>
        </w:pict>
      </w:r>
    </w:p>
    <w:p w:rsidR="00AD378B" w:rsidRDefault="00AD378B">
      <w:pPr>
        <w:rPr>
          <w:rFonts w:ascii="were non-interest bearing and w" w:hAnsi="were non-interest bearing and w"/>
          <w:sz w:val="20"/>
          <w:szCs w:val="20"/>
        </w:rPr>
      </w:pPr>
      <w:r>
        <w:rPr>
          <w:rFonts w:ascii="were non-interest bearing and w" w:hAnsi="were non-interest bearing and w"/>
          <w:sz w:val="20"/>
          <w:szCs w:val="20"/>
        </w:rPr>
        <w:br w:type="page"/>
      </w:r>
    </w:p>
    <w:p w:rsidR="000167F6" w:rsidRDefault="00DF66D7">
      <w:pPr>
        <w:pStyle w:val="NormalWeb"/>
        <w:rPr>
          <w:rFonts w:ascii="were non-interest bearing and w" w:hAnsi="were non-interest bearing and w"/>
        </w:rPr>
      </w:pPr>
      <w:bookmarkStart w:id="2" w:name="_GoBack"/>
      <w:bookmarkEnd w:id="2"/>
      <w:r>
        <w:rPr>
          <w:rFonts w:ascii="were non-interest bearing and w" w:hAnsi="were non-interest bearing and w"/>
          <w:sz w:val="20"/>
          <w:szCs w:val="20"/>
        </w:rPr>
        <w:lastRenderedPageBreak/>
        <w:t xml:space="preserve">SIGNATURE </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 xml:space="preserve">In accordance with the requirements of the Exchange Act, the Registrant has caused this report to be signed on its behalf by the undersigned, thereunto duly authorized. </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Date: February 03, 2017</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 </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/s/ Robert E. Wolfe /s/</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w:t>
      </w:r>
      <w:r>
        <w:rPr>
          <w:rFonts w:ascii="were non-interest bearing and w" w:hAnsi="were non-interest bearing and w"/>
          <w:sz w:val="20"/>
          <w:szCs w:val="20"/>
        </w:rPr>
        <w:br/>
        <w:t xml:space="preserve">Robert E. Wolfe, </w:t>
      </w:r>
    </w:p>
    <w:p w:rsidR="000167F6" w:rsidRDefault="00DF66D7">
      <w:pPr>
        <w:pStyle w:val="NormalWeb"/>
        <w:rPr>
          <w:rFonts w:ascii="were non-interest bearing and w" w:hAnsi="were non-interest bearing and w"/>
        </w:rPr>
      </w:pPr>
      <w:r>
        <w:rPr>
          <w:rFonts w:ascii="were non-interest bearing and w" w:hAnsi="were non-interest bearing and w"/>
          <w:sz w:val="20"/>
          <w:szCs w:val="20"/>
        </w:rPr>
        <w:t xml:space="preserve">Chairman of the </w:t>
      </w:r>
      <w:proofErr w:type="gramStart"/>
      <w:r>
        <w:rPr>
          <w:rFonts w:ascii="were non-interest bearing and w" w:hAnsi="were non-interest bearing and w"/>
          <w:sz w:val="20"/>
          <w:szCs w:val="20"/>
        </w:rPr>
        <w:t>Board ,</w:t>
      </w:r>
      <w:proofErr w:type="gramEnd"/>
      <w:r>
        <w:rPr>
          <w:rFonts w:ascii="were non-interest bearing and w" w:hAnsi="were non-interest bearing and w"/>
          <w:sz w:val="20"/>
          <w:szCs w:val="20"/>
        </w:rPr>
        <w:t xml:space="preserve"> Chief Executive Officer and Principal Financial Officer </w:t>
      </w:r>
    </w:p>
    <w:p w:rsidR="00DF66D7" w:rsidRDefault="00DF66D7">
      <w:pPr>
        <w:pStyle w:val="NormalWeb"/>
        <w:rPr>
          <w:rFonts w:ascii="were non-interest bearing and w" w:hAnsi="were non-interest bearing and w"/>
        </w:rPr>
      </w:pPr>
      <w:r>
        <w:rPr>
          <w:rFonts w:ascii="were non-interest bearing and w" w:hAnsi="were non-interest bearing and w"/>
          <w:sz w:val="20"/>
          <w:szCs w:val="20"/>
        </w:rPr>
        <w:t> </w:t>
      </w:r>
    </w:p>
    <w:sectPr w:rsidR="00DF66D7" w:rsidSect="00AC10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re non-interest bearing and 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09"/>
    <w:rsid w:val="000167F6"/>
    <w:rsid w:val="000B52F0"/>
    <w:rsid w:val="00156AAF"/>
    <w:rsid w:val="00423D3D"/>
    <w:rsid w:val="005E69BC"/>
    <w:rsid w:val="007752D0"/>
    <w:rsid w:val="008D2BFE"/>
    <w:rsid w:val="00AC107F"/>
    <w:rsid w:val="00AD378B"/>
    <w:rsid w:val="00B161EB"/>
    <w:rsid w:val="00C14809"/>
    <w:rsid w:val="00DF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FD1A7-9480-422E-B0A5-9D24E2EE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7358">
      <w:marLeft w:val="0"/>
      <w:marRight w:val="0"/>
      <w:marTop w:val="0"/>
      <w:marBottom w:val="0"/>
      <w:divBdr>
        <w:top w:val="none" w:sz="0" w:space="0" w:color="auto"/>
        <w:left w:val="none" w:sz="0" w:space="0" w:color="auto"/>
        <w:bottom w:val="none" w:sz="0" w:space="0" w:color="auto"/>
        <w:right w:val="none" w:sz="0" w:space="0" w:color="auto"/>
      </w:divBdr>
      <w:divsChild>
        <w:div w:id="382758870">
          <w:marLeft w:val="0"/>
          <w:marRight w:val="0"/>
          <w:marTop w:val="0"/>
          <w:marBottom w:val="0"/>
          <w:divBdr>
            <w:top w:val="none" w:sz="0" w:space="0" w:color="auto"/>
            <w:left w:val="none" w:sz="0" w:space="0" w:color="auto"/>
            <w:bottom w:val="none" w:sz="0" w:space="0" w:color="auto"/>
            <w:right w:val="none" w:sz="0" w:space="0" w:color="auto"/>
          </w:divBdr>
        </w:div>
      </w:divsChild>
    </w:div>
    <w:div w:id="323120248">
      <w:marLeft w:val="0"/>
      <w:marRight w:val="0"/>
      <w:marTop w:val="0"/>
      <w:marBottom w:val="0"/>
      <w:divBdr>
        <w:top w:val="none" w:sz="0" w:space="0" w:color="auto"/>
        <w:left w:val="none" w:sz="0" w:space="0" w:color="auto"/>
        <w:bottom w:val="none" w:sz="0" w:space="0" w:color="auto"/>
        <w:right w:val="none" w:sz="0" w:space="0" w:color="auto"/>
      </w:divBdr>
      <w:divsChild>
        <w:div w:id="1285189527">
          <w:marLeft w:val="0"/>
          <w:marRight w:val="0"/>
          <w:marTop w:val="0"/>
          <w:marBottom w:val="0"/>
          <w:divBdr>
            <w:top w:val="none" w:sz="0" w:space="0" w:color="auto"/>
            <w:left w:val="none" w:sz="0" w:space="0" w:color="auto"/>
            <w:bottom w:val="none" w:sz="0" w:space="0" w:color="auto"/>
            <w:right w:val="none" w:sz="0" w:space="0" w:color="auto"/>
          </w:divBdr>
        </w:div>
      </w:divsChild>
    </w:div>
    <w:div w:id="605579711">
      <w:marLeft w:val="0"/>
      <w:marRight w:val="0"/>
      <w:marTop w:val="0"/>
      <w:marBottom w:val="0"/>
      <w:divBdr>
        <w:top w:val="none" w:sz="0" w:space="0" w:color="auto"/>
        <w:left w:val="none" w:sz="0" w:space="0" w:color="auto"/>
        <w:bottom w:val="none" w:sz="0" w:space="0" w:color="auto"/>
        <w:right w:val="none" w:sz="0" w:space="0" w:color="auto"/>
      </w:divBdr>
      <w:divsChild>
        <w:div w:id="1269198408">
          <w:marLeft w:val="0"/>
          <w:marRight w:val="0"/>
          <w:marTop w:val="0"/>
          <w:marBottom w:val="0"/>
          <w:divBdr>
            <w:top w:val="none" w:sz="0" w:space="0" w:color="auto"/>
            <w:left w:val="none" w:sz="0" w:space="0" w:color="auto"/>
            <w:bottom w:val="none" w:sz="0" w:space="0" w:color="auto"/>
            <w:right w:val="none" w:sz="0" w:space="0" w:color="auto"/>
          </w:divBdr>
        </w:div>
      </w:divsChild>
    </w:div>
    <w:div w:id="897130888">
      <w:marLeft w:val="0"/>
      <w:marRight w:val="0"/>
      <w:marTop w:val="0"/>
      <w:marBottom w:val="0"/>
      <w:divBdr>
        <w:top w:val="none" w:sz="0" w:space="0" w:color="auto"/>
        <w:left w:val="none" w:sz="0" w:space="0" w:color="auto"/>
        <w:bottom w:val="none" w:sz="0" w:space="0" w:color="auto"/>
        <w:right w:val="none" w:sz="0" w:space="0" w:color="auto"/>
      </w:divBdr>
    </w:div>
    <w:div w:id="1413504472">
      <w:marLeft w:val="0"/>
      <w:marRight w:val="0"/>
      <w:marTop w:val="0"/>
      <w:marBottom w:val="0"/>
      <w:divBdr>
        <w:top w:val="none" w:sz="0" w:space="0" w:color="auto"/>
        <w:left w:val="none" w:sz="0" w:space="0" w:color="auto"/>
        <w:bottom w:val="none" w:sz="0" w:space="0" w:color="auto"/>
        <w:right w:val="none" w:sz="0" w:space="0" w:color="auto"/>
      </w:divBdr>
      <w:divsChild>
        <w:div w:id="263269057">
          <w:marLeft w:val="0"/>
          <w:marRight w:val="0"/>
          <w:marTop w:val="0"/>
          <w:marBottom w:val="0"/>
          <w:divBdr>
            <w:top w:val="none" w:sz="0" w:space="0" w:color="auto"/>
            <w:left w:val="none" w:sz="0" w:space="0" w:color="auto"/>
            <w:bottom w:val="none" w:sz="0" w:space="0" w:color="auto"/>
            <w:right w:val="none" w:sz="0" w:space="0" w:color="auto"/>
          </w:divBdr>
        </w:div>
      </w:divsChild>
    </w:div>
    <w:div w:id="1693456077">
      <w:marLeft w:val="0"/>
      <w:marRight w:val="0"/>
      <w:marTop w:val="0"/>
      <w:marBottom w:val="0"/>
      <w:divBdr>
        <w:top w:val="none" w:sz="0" w:space="0" w:color="auto"/>
        <w:left w:val="none" w:sz="0" w:space="0" w:color="auto"/>
        <w:bottom w:val="none" w:sz="0" w:space="0" w:color="auto"/>
        <w:right w:val="none" w:sz="0" w:space="0" w:color="auto"/>
      </w:divBdr>
    </w:div>
    <w:div w:id="1811173590">
      <w:marLeft w:val="0"/>
      <w:marRight w:val="0"/>
      <w:marTop w:val="0"/>
      <w:marBottom w:val="0"/>
      <w:divBdr>
        <w:top w:val="none" w:sz="0" w:space="0" w:color="auto"/>
        <w:left w:val="none" w:sz="0" w:space="0" w:color="auto"/>
        <w:bottom w:val="none" w:sz="0" w:space="0" w:color="auto"/>
        <w:right w:val="none" w:sz="0" w:space="0" w:color="auto"/>
      </w:divBdr>
      <w:divsChild>
        <w:div w:id="3972893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5463</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December 31, 2016 10Q</vt:lpstr>
    </vt:vector>
  </TitlesOfParts>
  <Company/>
  <LinksUpToDate>false</LinksUpToDate>
  <CharactersWithSpaces>36535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31, 2016 10Q</dc:title>
  <dc:subject/>
  <dc:creator>Robert Wolfe</dc:creator>
  <cp:keywords/>
  <dc:description/>
  <cp:lastModifiedBy>Robert Wolfe</cp:lastModifiedBy>
  <cp:revision>2</cp:revision>
  <dcterms:created xsi:type="dcterms:W3CDTF">2017-02-06T13:50:00Z</dcterms:created>
  <dcterms:modified xsi:type="dcterms:W3CDTF">2017-02-06T13:50:00Z</dcterms:modified>
</cp:coreProperties>
</file>