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75" w:rsidRPr="00FB4E75" w:rsidRDefault="00EB2809">
      <w:pPr>
        <w:divId w:val="286276983"/>
        <w:rPr>
          <w:rFonts w:eastAsia="Times New Roman"/>
          <w:sz w:val="20"/>
          <w:szCs w:val="20"/>
        </w:rPr>
      </w:pPr>
      <w:r w:rsidRPr="00EB2809">
        <w:rPr>
          <w:rFonts w:eastAsia="Times New Roman"/>
          <w:sz w:val="20"/>
          <w:szCs w:val="20"/>
        </w:rPr>
        <w:pict>
          <v:rect id="_x0000_i1025" style="width:0;height:3pt" o:hralign="center" o:hrstd="t" o:hrnoshade="t" o:hr="t" fillcolor="black" stroked="f"/>
        </w:pict>
      </w:r>
    </w:p>
    <w:p w:rsidR="00FB4E75" w:rsidRPr="00FB4E75" w:rsidRDefault="00EB2809">
      <w:pPr>
        <w:divId w:val="286276983"/>
        <w:rPr>
          <w:rFonts w:eastAsia="Times New Roman"/>
          <w:sz w:val="20"/>
          <w:szCs w:val="20"/>
        </w:rPr>
      </w:pPr>
      <w:r w:rsidRPr="00EB2809">
        <w:rPr>
          <w:rFonts w:eastAsia="Times New Roman"/>
          <w:sz w:val="20"/>
          <w:szCs w:val="20"/>
        </w:rPr>
        <w:pict>
          <v:rect id="_x0000_i1026" style="width:0;height:.75pt" o:hralign="center" o:hrstd="t" o:hrnoshade="t" o:hr="t" fillcolor="black" stroked="f"/>
        </w:pict>
      </w:r>
    </w:p>
    <w:p w:rsidR="00FB4E75" w:rsidRPr="00FB4E75" w:rsidRDefault="00FB4E75" w:rsidP="00A62F9D">
      <w:pPr>
        <w:jc w:val="center"/>
        <w:rPr>
          <w:sz w:val="20"/>
          <w:szCs w:val="20"/>
        </w:rPr>
      </w:pPr>
      <w:r w:rsidRPr="00FB4E75">
        <w:rPr>
          <w:b/>
          <w:bCs/>
          <w:sz w:val="20"/>
          <w:szCs w:val="20"/>
        </w:rPr>
        <w:t>UNITED STATES</w:t>
      </w:r>
    </w:p>
    <w:p w:rsidR="00FB4E75" w:rsidRPr="00FB4E75" w:rsidRDefault="00FB4E75" w:rsidP="00A62F9D">
      <w:pPr>
        <w:pStyle w:val="NormalWeb"/>
        <w:spacing w:before="0" w:beforeAutospacing="0" w:after="0" w:afterAutospacing="0"/>
        <w:jc w:val="center"/>
        <w:rPr>
          <w:sz w:val="20"/>
          <w:szCs w:val="20"/>
        </w:rPr>
      </w:pPr>
      <w:r w:rsidRPr="00FB4E75">
        <w:rPr>
          <w:b/>
          <w:bCs/>
          <w:sz w:val="20"/>
          <w:szCs w:val="20"/>
        </w:rPr>
        <w:t>SECURITIES AND EXCHANGE COMMISSION</w:t>
      </w:r>
    </w:p>
    <w:p w:rsidR="00FB4E75" w:rsidRPr="00FB4E75" w:rsidRDefault="00FB4E75" w:rsidP="00A62F9D">
      <w:pPr>
        <w:pStyle w:val="NormalWeb"/>
        <w:spacing w:before="0" w:beforeAutospacing="0" w:after="0" w:afterAutospacing="0"/>
        <w:jc w:val="center"/>
        <w:rPr>
          <w:sz w:val="20"/>
          <w:szCs w:val="20"/>
        </w:rPr>
      </w:pPr>
      <w:r w:rsidRPr="00FB4E75">
        <w:rPr>
          <w:b/>
          <w:bCs/>
          <w:sz w:val="20"/>
          <w:szCs w:val="20"/>
        </w:rPr>
        <w:t>Washington, D.C. 20549</w:t>
      </w:r>
    </w:p>
    <w:p w:rsidR="00FB4E75" w:rsidRPr="00FB4E75" w:rsidRDefault="00FB4E75" w:rsidP="00A62F9D">
      <w:pPr>
        <w:pStyle w:val="NormalWeb"/>
        <w:spacing w:before="0" w:beforeAutospacing="0" w:after="0" w:afterAutospacing="0"/>
        <w:jc w:val="center"/>
        <w:rPr>
          <w:sz w:val="20"/>
          <w:szCs w:val="20"/>
        </w:rPr>
      </w:pPr>
      <w:r w:rsidRPr="00FB4E75">
        <w:rPr>
          <w:sz w:val="20"/>
          <w:szCs w:val="20"/>
        </w:rPr>
        <w:t>———————</w:t>
      </w:r>
    </w:p>
    <w:p w:rsidR="00FB4E75" w:rsidRPr="00FB4E75" w:rsidRDefault="00FB4E75" w:rsidP="00A62F9D">
      <w:pPr>
        <w:pStyle w:val="NormalWeb"/>
        <w:spacing w:before="0" w:beforeAutospacing="0" w:after="0" w:afterAutospacing="0"/>
        <w:jc w:val="center"/>
        <w:rPr>
          <w:sz w:val="20"/>
          <w:szCs w:val="20"/>
        </w:rPr>
      </w:pPr>
      <w:r w:rsidRPr="00FB4E75">
        <w:rPr>
          <w:b/>
          <w:bCs/>
          <w:sz w:val="20"/>
          <w:szCs w:val="20"/>
        </w:rPr>
        <w:t>FORM 10-Q</w:t>
      </w:r>
    </w:p>
    <w:p w:rsidR="00FB4E75" w:rsidRPr="00FB4E75" w:rsidRDefault="00FB4E75" w:rsidP="00A62F9D">
      <w:pPr>
        <w:pStyle w:val="NormalWeb"/>
        <w:spacing w:before="0" w:beforeAutospacing="0" w:after="0" w:afterAutospacing="0"/>
        <w:jc w:val="center"/>
        <w:rPr>
          <w:sz w:val="20"/>
          <w:szCs w:val="20"/>
        </w:rPr>
      </w:pPr>
      <w:r w:rsidRPr="00FB4E75">
        <w:rPr>
          <w:sz w:val="20"/>
          <w:szCs w:val="20"/>
        </w:rPr>
        <w:t>———————</w:t>
      </w:r>
    </w:p>
    <w:p w:rsidR="00FB4E75" w:rsidRPr="00FB4E75" w:rsidRDefault="00FB4E75" w:rsidP="00A62F9D">
      <w:pPr>
        <w:pStyle w:val="NormalWeb"/>
        <w:spacing w:before="0" w:beforeAutospacing="0" w:after="0" w:afterAutospacing="0"/>
        <w:jc w:val="center"/>
        <w:rPr>
          <w:sz w:val="20"/>
          <w:szCs w:val="20"/>
        </w:rPr>
      </w:pPr>
      <w:r w:rsidRPr="00FB4E75">
        <w:rPr>
          <w:sz w:val="20"/>
          <w:szCs w:val="20"/>
        </w:rPr>
        <w:t>(Mark One)</w:t>
      </w:r>
    </w:p>
    <w:tbl>
      <w:tblPr>
        <w:tblW w:w="0" w:type="auto"/>
        <w:jc w:val="center"/>
        <w:tblCellSpacing w:w="0" w:type="dxa"/>
        <w:tblCellMar>
          <w:top w:w="15" w:type="dxa"/>
          <w:left w:w="15" w:type="dxa"/>
          <w:bottom w:w="15" w:type="dxa"/>
          <w:right w:w="15" w:type="dxa"/>
        </w:tblCellMar>
        <w:tblLook w:val="04A0"/>
      </w:tblPr>
      <w:tblGrid>
        <w:gridCol w:w="285"/>
        <w:gridCol w:w="10515"/>
      </w:tblGrid>
      <w:tr w:rsidR="00FB4E75" w:rsidRPr="00FB4E75">
        <w:trPr>
          <w:tblCellSpacing w:w="0" w:type="dxa"/>
          <w:jc w:val="center"/>
        </w:trPr>
        <w:tc>
          <w:tcPr>
            <w:tcW w:w="285" w:type="dxa"/>
            <w:vAlign w:val="center"/>
            <w:hideMark/>
          </w:tcPr>
          <w:p w:rsidR="00FB4E75" w:rsidRPr="00FB4E75" w:rsidRDefault="00FB4E75" w:rsidP="00A62F9D">
            <w:pPr>
              <w:rPr>
                <w:rFonts w:eastAsia="Times New Roman"/>
                <w:sz w:val="20"/>
                <w:szCs w:val="20"/>
              </w:rPr>
            </w:pPr>
          </w:p>
        </w:tc>
        <w:tc>
          <w:tcPr>
            <w:tcW w:w="10500" w:type="dxa"/>
            <w:vAlign w:val="center"/>
            <w:hideMark/>
          </w:tcPr>
          <w:p w:rsidR="00FB4E75" w:rsidRPr="00FB4E75" w:rsidRDefault="00FB4E75" w:rsidP="00A62F9D">
            <w:pPr>
              <w:rPr>
                <w:rFonts w:eastAsia="Times New Roman"/>
                <w:sz w:val="20"/>
                <w:szCs w:val="20"/>
              </w:rPr>
            </w:pPr>
          </w:p>
        </w:tc>
      </w:tr>
      <w:tr w:rsidR="00FB4E75" w:rsidRPr="00FB4E75">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FB4E75" w:rsidRPr="00FB4E75" w:rsidRDefault="00FB4E75" w:rsidP="00A62F9D">
            <w:pPr>
              <w:pStyle w:val="NormalWeb"/>
              <w:spacing w:before="0" w:beforeAutospacing="0" w:after="0" w:afterAutospacing="0"/>
              <w:jc w:val="center"/>
              <w:rPr>
                <w:sz w:val="20"/>
                <w:szCs w:val="20"/>
              </w:rPr>
            </w:pPr>
            <w:r w:rsidRPr="00FB4E75">
              <w:rPr>
                <w:b/>
                <w:bCs/>
                <w:sz w:val="20"/>
                <w:szCs w:val="20"/>
              </w:rPr>
              <w:t>X</w:t>
            </w:r>
          </w:p>
        </w:tc>
        <w:tc>
          <w:tcPr>
            <w:tcW w:w="10500" w:type="dxa"/>
            <w:hideMark/>
          </w:tcPr>
          <w:p w:rsidR="00FB4E75" w:rsidRPr="00FB4E75" w:rsidRDefault="00FB4E75" w:rsidP="00A62F9D">
            <w:pPr>
              <w:pStyle w:val="NormalWeb"/>
              <w:spacing w:before="0" w:beforeAutospacing="0" w:after="0" w:afterAutospacing="0"/>
              <w:rPr>
                <w:sz w:val="20"/>
                <w:szCs w:val="20"/>
              </w:rPr>
            </w:pPr>
            <w:r w:rsidRPr="00FB4E75">
              <w:rPr>
                <w:b/>
                <w:bCs/>
                <w:sz w:val="20"/>
                <w:szCs w:val="20"/>
              </w:rPr>
              <w:t> QUARTERLY REPORT PURSUANT TO SECTION 13 OR 15(d) OF THE SECURITIES EXCHANGE ACT OF 1934</w:t>
            </w:r>
          </w:p>
        </w:tc>
      </w:tr>
      <w:tr w:rsidR="00FB4E75" w:rsidRPr="00FB4E75">
        <w:trPr>
          <w:tblCellSpacing w:w="0" w:type="dxa"/>
          <w:jc w:val="center"/>
        </w:trPr>
        <w:tc>
          <w:tcPr>
            <w:tcW w:w="10800" w:type="dxa"/>
            <w:gridSpan w:val="2"/>
            <w:hideMark/>
          </w:tcPr>
          <w:p w:rsidR="00FB4E75" w:rsidRPr="00FB4E75" w:rsidRDefault="00FB4E75" w:rsidP="00A62F9D">
            <w:pPr>
              <w:pStyle w:val="NormalWeb"/>
              <w:spacing w:before="0" w:beforeAutospacing="0" w:after="0" w:afterAutospacing="0"/>
              <w:jc w:val="center"/>
              <w:rPr>
                <w:sz w:val="20"/>
                <w:szCs w:val="20"/>
              </w:rPr>
            </w:pPr>
            <w:r w:rsidRPr="00FB4E75">
              <w:rPr>
                <w:sz w:val="20"/>
                <w:szCs w:val="20"/>
              </w:rPr>
              <w:t xml:space="preserve">For the quarterly period ended: </w:t>
            </w:r>
            <w:r w:rsidRPr="00FB4E75">
              <w:rPr>
                <w:b/>
                <w:bCs/>
                <w:sz w:val="20"/>
                <w:szCs w:val="20"/>
              </w:rPr>
              <w:t>March 31, 2015</w:t>
            </w:r>
          </w:p>
        </w:tc>
      </w:tr>
      <w:tr w:rsidR="00FB4E75" w:rsidRPr="00FB4E75">
        <w:trPr>
          <w:tblCellSpacing w:w="0" w:type="dxa"/>
          <w:jc w:val="center"/>
        </w:trPr>
        <w:tc>
          <w:tcPr>
            <w:tcW w:w="10800" w:type="dxa"/>
            <w:gridSpan w:val="2"/>
            <w:hideMark/>
          </w:tcPr>
          <w:p w:rsidR="00FB4E75" w:rsidRPr="00FB4E75" w:rsidRDefault="00FB4E75" w:rsidP="00A62F9D">
            <w:pPr>
              <w:pStyle w:val="NormalWeb"/>
              <w:spacing w:before="0" w:beforeAutospacing="0" w:after="0" w:afterAutospacing="0"/>
              <w:jc w:val="center"/>
              <w:rPr>
                <w:sz w:val="20"/>
                <w:szCs w:val="20"/>
              </w:rPr>
            </w:pPr>
            <w:r w:rsidRPr="00FB4E75">
              <w:rPr>
                <w:sz w:val="20"/>
                <w:szCs w:val="20"/>
              </w:rPr>
              <w:t>Or</w:t>
            </w:r>
          </w:p>
        </w:tc>
      </w:tr>
      <w:tr w:rsidR="00FB4E75" w:rsidRPr="00FB4E75">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FB4E75" w:rsidRPr="00FB4E75" w:rsidRDefault="00FB4E75" w:rsidP="00A62F9D">
            <w:pPr>
              <w:rPr>
                <w:rFonts w:eastAsia="Times New Roman"/>
                <w:sz w:val="20"/>
                <w:szCs w:val="20"/>
              </w:rPr>
            </w:pPr>
          </w:p>
        </w:tc>
        <w:tc>
          <w:tcPr>
            <w:tcW w:w="10500" w:type="dxa"/>
            <w:hideMark/>
          </w:tcPr>
          <w:p w:rsidR="00FB4E75" w:rsidRPr="00FB4E75" w:rsidRDefault="00FB4E75" w:rsidP="00A62F9D">
            <w:pPr>
              <w:pStyle w:val="NormalWeb"/>
              <w:spacing w:before="0" w:beforeAutospacing="0" w:after="0" w:afterAutospacing="0"/>
              <w:rPr>
                <w:sz w:val="20"/>
                <w:szCs w:val="20"/>
              </w:rPr>
            </w:pPr>
            <w:r w:rsidRPr="00FB4E75">
              <w:rPr>
                <w:b/>
                <w:bCs/>
                <w:sz w:val="20"/>
                <w:szCs w:val="20"/>
              </w:rPr>
              <w:t> TRANSITION REPORT PURSUANT TO SECTION 13 OR 15(d) OF THE SECURITIES EXCHANGE  ACT OF 1934</w:t>
            </w:r>
          </w:p>
        </w:tc>
      </w:tr>
      <w:tr w:rsidR="00FB4E75" w:rsidRPr="00FB4E75">
        <w:trPr>
          <w:tblCellSpacing w:w="0" w:type="dxa"/>
          <w:jc w:val="center"/>
        </w:trPr>
        <w:tc>
          <w:tcPr>
            <w:tcW w:w="10800" w:type="dxa"/>
            <w:gridSpan w:val="2"/>
            <w:hideMark/>
          </w:tcPr>
          <w:p w:rsidR="00FB4E75" w:rsidRPr="00FB4E75" w:rsidRDefault="00FB4E75" w:rsidP="00A62F9D">
            <w:pPr>
              <w:pStyle w:val="NormalWeb"/>
              <w:spacing w:before="0" w:beforeAutospacing="0" w:after="0" w:afterAutospacing="0"/>
              <w:jc w:val="center"/>
              <w:rPr>
                <w:sz w:val="20"/>
                <w:szCs w:val="20"/>
              </w:rPr>
            </w:pPr>
            <w:r w:rsidRPr="00FB4E75">
              <w:rPr>
                <w:sz w:val="20"/>
                <w:szCs w:val="20"/>
              </w:rPr>
              <w:t>For the transition period from: _____________ to _____________</w:t>
            </w:r>
          </w:p>
        </w:tc>
      </w:tr>
    </w:tbl>
    <w:p w:rsidR="00FB4E75" w:rsidRPr="00FB4E75" w:rsidRDefault="00FB4E75" w:rsidP="00A62F9D">
      <w:pPr>
        <w:pStyle w:val="NormalWeb"/>
        <w:spacing w:before="0" w:beforeAutospacing="0" w:after="0" w:afterAutospacing="0"/>
        <w:jc w:val="center"/>
        <w:rPr>
          <w:sz w:val="20"/>
          <w:szCs w:val="20"/>
        </w:rPr>
      </w:pPr>
      <w:r w:rsidRPr="00FB4E75">
        <w:rPr>
          <w:sz w:val="20"/>
          <w:szCs w:val="20"/>
        </w:rPr>
        <w:t>—————————————————————————————————————————————————</w:t>
      </w:r>
    </w:p>
    <w:p w:rsidR="00FB4E75" w:rsidRPr="00FB4E75" w:rsidRDefault="00FB4E75" w:rsidP="00A62F9D">
      <w:pPr>
        <w:jc w:val="center"/>
        <w:rPr>
          <w:rFonts w:eastAsia="Times New Roman"/>
          <w:sz w:val="20"/>
          <w:szCs w:val="20"/>
        </w:rPr>
      </w:pPr>
      <w:r w:rsidRPr="00FB4E75">
        <w:rPr>
          <w:rStyle w:val="Strong"/>
          <w:rFonts w:eastAsia="Times New Roman"/>
          <w:sz w:val="20"/>
          <w:szCs w:val="20"/>
        </w:rPr>
        <w:t>ADVANCED OXYGEN TECHNOLOGIES, INC.</w:t>
      </w:r>
    </w:p>
    <w:p w:rsidR="00FB4E75" w:rsidRPr="00FB4E75" w:rsidRDefault="00FB4E75" w:rsidP="00A62F9D">
      <w:pPr>
        <w:pStyle w:val="NormalWeb"/>
        <w:spacing w:before="0" w:beforeAutospacing="0" w:after="0" w:afterAutospacing="0"/>
        <w:jc w:val="center"/>
        <w:rPr>
          <w:sz w:val="20"/>
          <w:szCs w:val="20"/>
        </w:rPr>
      </w:pPr>
      <w:r w:rsidRPr="00FB4E75">
        <w:rPr>
          <w:sz w:val="20"/>
          <w:szCs w:val="20"/>
        </w:rPr>
        <w:t> (Exact name of registrant as specified in its charter)</w:t>
      </w:r>
    </w:p>
    <w:p w:rsidR="00FB4E75" w:rsidRPr="00FB4E75" w:rsidRDefault="00FB4E75" w:rsidP="00A62F9D">
      <w:pPr>
        <w:pStyle w:val="NormalWeb"/>
        <w:spacing w:before="0" w:beforeAutospacing="0" w:after="0" w:afterAutospacing="0"/>
        <w:jc w:val="center"/>
        <w:rPr>
          <w:sz w:val="20"/>
          <w:szCs w:val="20"/>
        </w:rPr>
      </w:pPr>
      <w:r w:rsidRPr="00FB4E75">
        <w:rPr>
          <w:sz w:val="20"/>
          <w:szCs w:val="20"/>
        </w:rPr>
        <w:t>——————————————————————————————————————————————————</w:t>
      </w: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FB4E75" w:rsidRPr="00FB4E75">
        <w:trPr>
          <w:tblCellSpacing w:w="0" w:type="dxa"/>
          <w:jc w:val="center"/>
        </w:trPr>
        <w:tc>
          <w:tcPr>
            <w:tcW w:w="3600" w:type="dxa"/>
            <w:hideMark/>
          </w:tcPr>
          <w:p w:rsidR="00FB4E75" w:rsidRPr="00FB4E75" w:rsidRDefault="00FB4E75" w:rsidP="00A62F9D">
            <w:pPr>
              <w:pStyle w:val="NormalWeb"/>
              <w:spacing w:before="0" w:beforeAutospacing="0" w:after="0" w:afterAutospacing="0"/>
              <w:jc w:val="center"/>
              <w:rPr>
                <w:sz w:val="20"/>
                <w:szCs w:val="20"/>
              </w:rPr>
            </w:pPr>
            <w:r w:rsidRPr="00FB4E75">
              <w:rPr>
                <w:b/>
                <w:bCs/>
                <w:sz w:val="20"/>
                <w:szCs w:val="20"/>
              </w:rPr>
              <w:t>Delaware</w:t>
            </w:r>
          </w:p>
        </w:tc>
        <w:tc>
          <w:tcPr>
            <w:tcW w:w="3600" w:type="dxa"/>
            <w:hideMark/>
          </w:tcPr>
          <w:p w:rsidR="00FB4E75" w:rsidRPr="00FB4E75" w:rsidRDefault="00FB4E75" w:rsidP="00A62F9D">
            <w:pPr>
              <w:pStyle w:val="NormalWeb"/>
              <w:spacing w:before="0" w:beforeAutospacing="0" w:after="0" w:afterAutospacing="0"/>
              <w:jc w:val="center"/>
              <w:rPr>
                <w:sz w:val="20"/>
                <w:szCs w:val="20"/>
              </w:rPr>
            </w:pPr>
            <w:r w:rsidRPr="00FB4E75">
              <w:rPr>
                <w:rStyle w:val="Strong"/>
                <w:sz w:val="20"/>
                <w:szCs w:val="20"/>
              </w:rPr>
              <w:t>0-9951</w:t>
            </w:r>
          </w:p>
        </w:tc>
        <w:tc>
          <w:tcPr>
            <w:tcW w:w="3585" w:type="dxa"/>
            <w:hideMark/>
          </w:tcPr>
          <w:p w:rsidR="00FB4E75" w:rsidRPr="00FB4E75" w:rsidRDefault="00FB4E75" w:rsidP="00A62F9D">
            <w:pPr>
              <w:pStyle w:val="NormalWeb"/>
              <w:spacing w:before="0" w:beforeAutospacing="0" w:after="0" w:afterAutospacing="0"/>
              <w:jc w:val="center"/>
              <w:rPr>
                <w:sz w:val="20"/>
                <w:szCs w:val="20"/>
              </w:rPr>
            </w:pPr>
            <w:r w:rsidRPr="00FB4E75">
              <w:rPr>
                <w:rStyle w:val="Strong"/>
                <w:sz w:val="20"/>
                <w:szCs w:val="20"/>
              </w:rPr>
              <w:t>91-1143622</w:t>
            </w:r>
          </w:p>
        </w:tc>
      </w:tr>
      <w:tr w:rsidR="00FB4E75" w:rsidRPr="00FB4E75">
        <w:trPr>
          <w:tblCellSpacing w:w="0" w:type="dxa"/>
          <w:jc w:val="center"/>
        </w:trPr>
        <w:tc>
          <w:tcPr>
            <w:tcW w:w="3600" w:type="dxa"/>
            <w:hideMark/>
          </w:tcPr>
          <w:p w:rsidR="00FB4E75" w:rsidRPr="00FB4E75" w:rsidRDefault="00FB4E75" w:rsidP="00A62F9D">
            <w:pPr>
              <w:pStyle w:val="NormalWeb"/>
              <w:spacing w:before="0" w:beforeAutospacing="0" w:after="0" w:afterAutospacing="0"/>
              <w:jc w:val="center"/>
              <w:rPr>
                <w:sz w:val="20"/>
                <w:szCs w:val="20"/>
              </w:rPr>
            </w:pPr>
            <w:r w:rsidRPr="00FB4E75">
              <w:rPr>
                <w:sz w:val="20"/>
                <w:szCs w:val="20"/>
              </w:rPr>
              <w:t xml:space="preserve">(State </w:t>
            </w:r>
            <w:r w:rsidR="00A62F9D" w:rsidRPr="00FB4E75">
              <w:rPr>
                <w:sz w:val="20"/>
                <w:szCs w:val="20"/>
              </w:rPr>
              <w:t>of Incorporation)</w:t>
            </w:r>
          </w:p>
        </w:tc>
        <w:tc>
          <w:tcPr>
            <w:tcW w:w="3600" w:type="dxa"/>
            <w:hideMark/>
          </w:tcPr>
          <w:p w:rsidR="00FB4E75" w:rsidRPr="00FB4E75" w:rsidRDefault="00FB4E75" w:rsidP="00A62F9D">
            <w:pPr>
              <w:pStyle w:val="NormalWeb"/>
              <w:spacing w:before="0" w:beforeAutospacing="0" w:after="0" w:afterAutospacing="0"/>
              <w:jc w:val="center"/>
              <w:rPr>
                <w:sz w:val="20"/>
                <w:szCs w:val="20"/>
              </w:rPr>
            </w:pPr>
            <w:r w:rsidRPr="00FB4E75">
              <w:rPr>
                <w:sz w:val="20"/>
                <w:szCs w:val="20"/>
              </w:rPr>
              <w:t>(Commission</w:t>
            </w:r>
            <w:r w:rsidR="00A62F9D">
              <w:rPr>
                <w:sz w:val="20"/>
                <w:szCs w:val="20"/>
              </w:rPr>
              <w:t xml:space="preserve"> </w:t>
            </w:r>
            <w:r w:rsidR="00A62F9D" w:rsidRPr="00FB4E75">
              <w:rPr>
                <w:sz w:val="20"/>
                <w:szCs w:val="20"/>
              </w:rPr>
              <w:t>File Number)</w:t>
            </w:r>
          </w:p>
        </w:tc>
        <w:tc>
          <w:tcPr>
            <w:tcW w:w="3585" w:type="dxa"/>
            <w:hideMark/>
          </w:tcPr>
          <w:p w:rsidR="00FB4E75" w:rsidRPr="00FB4E75" w:rsidRDefault="00FB4E75" w:rsidP="00A62F9D">
            <w:pPr>
              <w:pStyle w:val="NormalWeb"/>
              <w:spacing w:before="0" w:beforeAutospacing="0" w:after="0" w:afterAutospacing="0"/>
              <w:jc w:val="center"/>
              <w:rPr>
                <w:sz w:val="20"/>
                <w:szCs w:val="20"/>
              </w:rPr>
            </w:pPr>
            <w:r w:rsidRPr="00FB4E75">
              <w:rPr>
                <w:sz w:val="20"/>
                <w:szCs w:val="20"/>
              </w:rPr>
              <w:t>(I.R.S. Employer</w:t>
            </w:r>
            <w:r w:rsidR="00A62F9D">
              <w:rPr>
                <w:sz w:val="20"/>
                <w:szCs w:val="20"/>
              </w:rPr>
              <w:t xml:space="preserve"> </w:t>
            </w:r>
            <w:r w:rsidR="00A62F9D" w:rsidRPr="00FB4E75">
              <w:rPr>
                <w:sz w:val="20"/>
                <w:szCs w:val="20"/>
              </w:rPr>
              <w:t>Identification No.)</w:t>
            </w:r>
          </w:p>
        </w:tc>
      </w:tr>
      <w:tr w:rsidR="00FB4E75" w:rsidRPr="00FB4E75">
        <w:trPr>
          <w:tblCellSpacing w:w="0" w:type="dxa"/>
          <w:jc w:val="center"/>
        </w:trPr>
        <w:tc>
          <w:tcPr>
            <w:tcW w:w="3600" w:type="dxa"/>
            <w:hideMark/>
          </w:tcPr>
          <w:p w:rsidR="00FB4E75" w:rsidRPr="00FB4E75" w:rsidRDefault="00FB4E75" w:rsidP="00A62F9D">
            <w:pPr>
              <w:pStyle w:val="NormalWeb"/>
              <w:spacing w:before="0" w:beforeAutospacing="0" w:after="0" w:afterAutospacing="0"/>
              <w:jc w:val="center"/>
              <w:rPr>
                <w:sz w:val="20"/>
                <w:szCs w:val="20"/>
              </w:rPr>
            </w:pPr>
          </w:p>
        </w:tc>
        <w:tc>
          <w:tcPr>
            <w:tcW w:w="3600" w:type="dxa"/>
            <w:hideMark/>
          </w:tcPr>
          <w:p w:rsidR="00FB4E75" w:rsidRPr="00FB4E75" w:rsidRDefault="00FB4E75" w:rsidP="00A62F9D">
            <w:pPr>
              <w:pStyle w:val="NormalWeb"/>
              <w:spacing w:before="0" w:beforeAutospacing="0" w:after="0" w:afterAutospacing="0"/>
              <w:jc w:val="center"/>
              <w:rPr>
                <w:sz w:val="20"/>
                <w:szCs w:val="20"/>
              </w:rPr>
            </w:pPr>
          </w:p>
        </w:tc>
        <w:tc>
          <w:tcPr>
            <w:tcW w:w="3585" w:type="dxa"/>
            <w:hideMark/>
          </w:tcPr>
          <w:p w:rsidR="00FB4E75" w:rsidRPr="00FB4E75" w:rsidRDefault="00FB4E75" w:rsidP="00A62F9D">
            <w:pPr>
              <w:pStyle w:val="NormalWeb"/>
              <w:spacing w:before="0" w:beforeAutospacing="0" w:after="0" w:afterAutospacing="0"/>
              <w:jc w:val="center"/>
              <w:rPr>
                <w:sz w:val="20"/>
                <w:szCs w:val="20"/>
              </w:rPr>
            </w:pPr>
          </w:p>
        </w:tc>
      </w:tr>
    </w:tbl>
    <w:p w:rsidR="00FB4E75" w:rsidRPr="00FB4E75" w:rsidRDefault="00FB4E75" w:rsidP="00A62F9D">
      <w:pPr>
        <w:pStyle w:val="NormalWeb"/>
        <w:spacing w:before="0" w:beforeAutospacing="0" w:after="0" w:afterAutospacing="0"/>
        <w:jc w:val="center"/>
        <w:rPr>
          <w:sz w:val="20"/>
          <w:szCs w:val="20"/>
        </w:rPr>
      </w:pPr>
    </w:p>
    <w:p w:rsidR="00FB4E75" w:rsidRPr="00FB4E75" w:rsidRDefault="00FB4E75" w:rsidP="00A62F9D">
      <w:pPr>
        <w:pStyle w:val="NormalWeb"/>
        <w:spacing w:before="0" w:beforeAutospacing="0" w:after="0" w:afterAutospacing="0"/>
        <w:jc w:val="center"/>
        <w:rPr>
          <w:sz w:val="20"/>
          <w:szCs w:val="20"/>
        </w:rPr>
      </w:pPr>
      <w:r w:rsidRPr="00FB4E75">
        <w:rPr>
          <w:b/>
          <w:bCs/>
          <w:sz w:val="20"/>
          <w:szCs w:val="20"/>
        </w:rPr>
        <w:t xml:space="preserve">C/O Crossfield, Inc., 653 VT Route 12A, PO Box 189, Randolph, VT 05060 </w:t>
      </w:r>
    </w:p>
    <w:p w:rsidR="00FB4E75" w:rsidRPr="00FB4E75" w:rsidRDefault="00FB4E75" w:rsidP="00A62F9D">
      <w:pPr>
        <w:pStyle w:val="NormalWeb"/>
        <w:spacing w:before="0" w:beforeAutospacing="0" w:after="0" w:afterAutospacing="0"/>
        <w:jc w:val="center"/>
        <w:rPr>
          <w:sz w:val="20"/>
          <w:szCs w:val="20"/>
        </w:rPr>
      </w:pPr>
      <w:r w:rsidRPr="00FB4E75">
        <w:rPr>
          <w:sz w:val="20"/>
          <w:szCs w:val="20"/>
        </w:rPr>
        <w:t> (Address of Principal Executive Offices) (Zip Code)</w:t>
      </w:r>
    </w:p>
    <w:p w:rsidR="00FB4E75" w:rsidRPr="00FB4E75" w:rsidRDefault="00FB4E75" w:rsidP="00A62F9D">
      <w:pPr>
        <w:pStyle w:val="NormalWeb"/>
        <w:spacing w:before="0" w:beforeAutospacing="0" w:after="0" w:afterAutospacing="0"/>
        <w:jc w:val="center"/>
        <w:rPr>
          <w:sz w:val="20"/>
          <w:szCs w:val="20"/>
        </w:rPr>
      </w:pPr>
    </w:p>
    <w:p w:rsidR="00FB4E75" w:rsidRPr="00FB4E75" w:rsidRDefault="00FB4E75" w:rsidP="00A62F9D">
      <w:pPr>
        <w:pStyle w:val="NormalWeb"/>
        <w:spacing w:before="0" w:beforeAutospacing="0" w:after="0" w:afterAutospacing="0"/>
        <w:jc w:val="center"/>
        <w:rPr>
          <w:sz w:val="20"/>
          <w:szCs w:val="20"/>
        </w:rPr>
      </w:pPr>
      <w:r w:rsidRPr="00FB4E75">
        <w:rPr>
          <w:b/>
          <w:bCs/>
          <w:sz w:val="20"/>
          <w:szCs w:val="20"/>
        </w:rPr>
        <w:t>(212) 727-7085</w:t>
      </w:r>
    </w:p>
    <w:p w:rsidR="00FB4E75" w:rsidRPr="00FB4E75" w:rsidRDefault="00FB4E75" w:rsidP="00A62F9D">
      <w:pPr>
        <w:pStyle w:val="NormalWeb"/>
        <w:spacing w:before="0" w:beforeAutospacing="0" w:after="0" w:afterAutospacing="0"/>
        <w:jc w:val="center"/>
        <w:rPr>
          <w:sz w:val="20"/>
          <w:szCs w:val="20"/>
        </w:rPr>
      </w:pPr>
      <w:r w:rsidRPr="00FB4E75">
        <w:rPr>
          <w:sz w:val="20"/>
          <w:szCs w:val="20"/>
        </w:rPr>
        <w:t> (Registrant’s telephone number, including area code)</w:t>
      </w:r>
    </w:p>
    <w:tbl>
      <w:tblPr>
        <w:tblW w:w="4952" w:type="pct"/>
        <w:jc w:val="center"/>
        <w:tblCellSpacing w:w="0" w:type="dxa"/>
        <w:tblInd w:w="-5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8"/>
        <w:gridCol w:w="278"/>
        <w:gridCol w:w="4992"/>
        <w:gridCol w:w="738"/>
      </w:tblGrid>
      <w:tr w:rsidR="0043333B" w:rsidTr="005756F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43333B" w:rsidRDefault="0043333B" w:rsidP="00A62F9D">
            <w:pPr>
              <w:pStyle w:val="NormalWeb"/>
            </w:pPr>
            <w:r>
              <w:rPr>
                <w:sz w:val="20"/>
                <w:szCs w:val="20"/>
              </w:rPr>
              <w:t xml:space="preserve">Indicate by check mark if the registrant is a well-known seasoned issuer, as defined in Rule 405 of the Securities Act. Yes </w:t>
            </w:r>
            <w:r>
              <w:rPr>
                <w:b/>
                <w:bCs/>
                <w:sz w:val="20"/>
                <w:szCs w:val="20"/>
              </w:rPr>
              <w:t>o</w:t>
            </w:r>
            <w:r>
              <w:rPr>
                <w:sz w:val="20"/>
                <w:szCs w:val="20"/>
              </w:rPr>
              <w:t xml:space="preserve">  No </w:t>
            </w:r>
            <w:r>
              <w:rPr>
                <w:b/>
                <w:bCs/>
                <w:sz w:val="20"/>
                <w:szCs w:val="20"/>
              </w:rPr>
              <w:t>þ</w:t>
            </w:r>
            <w:r>
              <w:rPr>
                <w:sz w:val="20"/>
                <w:szCs w:val="20"/>
              </w:rPr>
              <w:t> </w:t>
            </w:r>
            <w:r>
              <w:t xml:space="preserve"> </w:t>
            </w:r>
          </w:p>
          <w:p w:rsidR="0043333B" w:rsidRDefault="0043333B" w:rsidP="00A62F9D">
            <w:pPr>
              <w:pStyle w:val="NormalWeb"/>
            </w:pPr>
            <w:r>
              <w:rPr>
                <w:sz w:val="20"/>
                <w:szCs w:val="20"/>
              </w:rPr>
              <w:t xml:space="preserve">Indicate by check mark if the registrant is not required to file reports pursuant to section 13 or Section 15(d) of the Act. Yes </w:t>
            </w:r>
            <w:r>
              <w:rPr>
                <w:rFonts w:ascii="Wingdings" w:hAnsi="Wingdings"/>
                <w:b/>
                <w:bCs/>
                <w:sz w:val="20"/>
                <w:szCs w:val="20"/>
              </w:rPr>
              <w:t></w:t>
            </w:r>
            <w:r>
              <w:rPr>
                <w:sz w:val="20"/>
                <w:szCs w:val="20"/>
              </w:rPr>
              <w:t>  No </w:t>
            </w:r>
            <w:r>
              <w:rPr>
                <w:rFonts w:ascii="Wingdings" w:hAnsi="Wingdings"/>
                <w:b/>
                <w:bCs/>
                <w:sz w:val="20"/>
                <w:szCs w:val="20"/>
              </w:rPr>
              <w:t></w:t>
            </w:r>
          </w:p>
          <w:p w:rsidR="0043333B" w:rsidRDefault="0043333B" w:rsidP="00A62F9D">
            <w:pPr>
              <w:pStyle w:val="NormalWeb"/>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43333B" w:rsidRDefault="0043333B" w:rsidP="00A62F9D">
            <w:pPr>
              <w:pStyle w:val="NormalWeb"/>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rsidR="0043333B" w:rsidRDefault="0043333B" w:rsidP="00A62F9D">
            <w:pPr>
              <w:pStyle w:val="NormalWeb"/>
            </w:pPr>
            <w:r>
              <w:rPr>
                <w:sz w:val="20"/>
                <w:szCs w:val="20"/>
              </w:rPr>
              <w:t xml:space="preserve">Indicate by check mark if disclosure of delinquent filers in response to Item 405 of Regulation S-K(§ 229.405 of this chapter) is not contained herein, and will not be contained, to the best of registrant's knowledge, in definitive proxy or information statements incorporated by reference in Part III of this Form 10-K or any amendment to this Form 10-K. Yes </w:t>
            </w:r>
            <w:r>
              <w:rPr>
                <w:rFonts w:ascii="Wingdings" w:hAnsi="Wingdings"/>
                <w:b/>
                <w:bCs/>
                <w:sz w:val="20"/>
                <w:szCs w:val="20"/>
              </w:rPr>
              <w:t></w:t>
            </w:r>
            <w:r>
              <w:rPr>
                <w:sz w:val="20"/>
                <w:szCs w:val="20"/>
              </w:rPr>
              <w:t>  No </w:t>
            </w:r>
            <w:r>
              <w:rPr>
                <w:rFonts w:ascii="Wingdings" w:hAnsi="Wingdings"/>
                <w:b/>
                <w:bCs/>
                <w:sz w:val="20"/>
                <w:szCs w:val="20"/>
              </w:rPr>
              <w:t></w:t>
            </w:r>
          </w:p>
          <w:p w:rsidR="0043333B" w:rsidRDefault="0043333B" w:rsidP="00A62F9D">
            <w:pPr>
              <w:pStyle w:val="NormalWeb"/>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43333B" w:rsidTr="005756F3">
        <w:trPr>
          <w:tblCellSpacing w:w="0" w:type="dxa"/>
          <w:jc w:val="center"/>
        </w:trPr>
        <w:tc>
          <w:tcPr>
            <w:tcW w:w="2199" w:type="pct"/>
            <w:tcBorders>
              <w:top w:val="outset" w:sz="6" w:space="0" w:color="auto"/>
              <w:left w:val="outset" w:sz="6" w:space="0" w:color="auto"/>
              <w:bottom w:val="outset" w:sz="6" w:space="0" w:color="auto"/>
              <w:right w:val="outset" w:sz="6" w:space="0" w:color="auto"/>
            </w:tcBorders>
            <w:vAlign w:val="center"/>
            <w:hideMark/>
          </w:tcPr>
          <w:p w:rsidR="0043333B" w:rsidRDefault="0043333B" w:rsidP="00A62F9D">
            <w:pPr>
              <w:pStyle w:val="NormalWeb"/>
            </w:pPr>
            <w:r>
              <w:rPr>
                <w:sz w:val="20"/>
                <w:szCs w:val="20"/>
              </w:rPr>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3333B" w:rsidRDefault="0043333B" w:rsidP="00A62F9D">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43333B" w:rsidRDefault="0043333B" w:rsidP="00A62F9D">
            <w:pPr>
              <w:pStyle w:val="NormalWeb"/>
            </w:pPr>
            <w:r>
              <w:rPr>
                <w:sz w:val="20"/>
                <w:szCs w:val="20"/>
              </w:rPr>
              <w:t>Accelerated Filer</w:t>
            </w:r>
          </w:p>
        </w:tc>
        <w:tc>
          <w:tcPr>
            <w:tcW w:w="344" w:type="pct"/>
            <w:tcBorders>
              <w:top w:val="outset" w:sz="6" w:space="0" w:color="auto"/>
              <w:left w:val="outset" w:sz="6" w:space="0" w:color="auto"/>
              <w:bottom w:val="outset" w:sz="6" w:space="0" w:color="auto"/>
              <w:right w:val="outset" w:sz="6" w:space="0" w:color="auto"/>
            </w:tcBorders>
            <w:vAlign w:val="center"/>
            <w:hideMark/>
          </w:tcPr>
          <w:p w:rsidR="0043333B" w:rsidRDefault="0043333B" w:rsidP="00A62F9D">
            <w:pPr>
              <w:pStyle w:val="NormalWeb"/>
            </w:pPr>
            <w:r>
              <w:rPr>
                <w:b/>
                <w:bCs/>
                <w:sz w:val="20"/>
                <w:szCs w:val="20"/>
              </w:rPr>
              <w:t>o</w:t>
            </w:r>
          </w:p>
        </w:tc>
      </w:tr>
      <w:tr w:rsidR="0043333B" w:rsidTr="005756F3">
        <w:trPr>
          <w:tblCellSpacing w:w="0" w:type="dxa"/>
          <w:jc w:val="center"/>
        </w:trPr>
        <w:tc>
          <w:tcPr>
            <w:tcW w:w="2199" w:type="pct"/>
            <w:tcBorders>
              <w:top w:val="outset" w:sz="6" w:space="0" w:color="auto"/>
              <w:left w:val="outset" w:sz="6" w:space="0" w:color="auto"/>
              <w:bottom w:val="outset" w:sz="6" w:space="0" w:color="auto"/>
              <w:right w:val="outset" w:sz="6" w:space="0" w:color="auto"/>
            </w:tcBorders>
            <w:vAlign w:val="center"/>
            <w:hideMark/>
          </w:tcPr>
          <w:p w:rsidR="0043333B" w:rsidRDefault="0043333B" w:rsidP="00A62F9D">
            <w:pPr>
              <w:pStyle w:val="NormalWeb"/>
            </w:pPr>
            <w:r>
              <w:rPr>
                <w:sz w:val="20"/>
                <w:szCs w:val="20"/>
              </w:rPr>
              <w:t>Non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3333B" w:rsidRDefault="0043333B" w:rsidP="00A62F9D">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43333B" w:rsidRDefault="0043333B" w:rsidP="00A62F9D">
            <w:pPr>
              <w:pStyle w:val="NormalWeb"/>
            </w:pPr>
            <w:r>
              <w:rPr>
                <w:sz w:val="20"/>
                <w:szCs w:val="20"/>
              </w:rPr>
              <w:t>Smaller Reporting Company</w:t>
            </w:r>
          </w:p>
        </w:tc>
        <w:tc>
          <w:tcPr>
            <w:tcW w:w="344" w:type="pct"/>
            <w:tcBorders>
              <w:top w:val="outset" w:sz="6" w:space="0" w:color="auto"/>
              <w:left w:val="outset" w:sz="6" w:space="0" w:color="auto"/>
              <w:bottom w:val="outset" w:sz="6" w:space="0" w:color="auto"/>
              <w:right w:val="outset" w:sz="6" w:space="0" w:color="auto"/>
            </w:tcBorders>
            <w:vAlign w:val="center"/>
            <w:hideMark/>
          </w:tcPr>
          <w:p w:rsidR="0043333B" w:rsidRDefault="0043333B" w:rsidP="00A62F9D">
            <w:pPr>
              <w:pStyle w:val="NormalWeb"/>
            </w:pPr>
            <w:r>
              <w:rPr>
                <w:b/>
                <w:bCs/>
                <w:sz w:val="20"/>
                <w:szCs w:val="20"/>
              </w:rPr>
              <w:t>þ</w:t>
            </w:r>
          </w:p>
        </w:tc>
      </w:tr>
      <w:tr w:rsidR="0043333B" w:rsidTr="005756F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43333B" w:rsidRDefault="0043333B" w:rsidP="00A62F9D">
            <w:pPr>
              <w:pStyle w:val="NormalWeb"/>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B16BA9" w:rsidRDefault="005756F3" w:rsidP="00A62F9D">
            <w:pPr>
              <w:pStyle w:val="NormalWeb"/>
            </w:pPr>
            <w:r>
              <w:rPr>
                <w:sz w:val="20"/>
                <w:szCs w:val="20"/>
              </w:rPr>
              <w:t>Indicate the nu</w:t>
            </w:r>
            <w:r w:rsidR="0043333B">
              <w:rPr>
                <w:sz w:val="20"/>
                <w:szCs w:val="20"/>
              </w:rPr>
              <w:t xml:space="preserve">mber of shares outstanding of each of the issuer's classes of common stock, as of the last practicable date: As of </w:t>
            </w:r>
            <w:r>
              <w:rPr>
                <w:sz w:val="20"/>
                <w:szCs w:val="20"/>
              </w:rPr>
              <w:t>May</w:t>
            </w:r>
            <w:r w:rsidR="0043333B">
              <w:rPr>
                <w:sz w:val="20"/>
                <w:szCs w:val="20"/>
              </w:rPr>
              <w:t xml:space="preserve"> 6, 2015, there were 2,292,945 issued shares and outstanding shares of the registrant's Common Stock, $.01 par value.</w:t>
            </w:r>
          </w:p>
          <w:p w:rsidR="0043333B" w:rsidRDefault="0043333B" w:rsidP="00A62F9D">
            <w:pPr>
              <w:pStyle w:val="NormalWeb"/>
            </w:pPr>
            <w:r>
              <w:rPr>
                <w:sz w:val="20"/>
                <w:szCs w:val="20"/>
              </w:rPr>
              <w:t>Documents incorporated by reference: None.</w:t>
            </w:r>
          </w:p>
        </w:tc>
      </w:tr>
    </w:tbl>
    <w:p w:rsidR="00FB4E75" w:rsidRPr="00FB4E75" w:rsidRDefault="00EB2809">
      <w:pPr>
        <w:rPr>
          <w:rFonts w:eastAsia="Times New Roman"/>
          <w:sz w:val="20"/>
          <w:szCs w:val="20"/>
        </w:rPr>
      </w:pPr>
      <w:r w:rsidRPr="00EB2809">
        <w:rPr>
          <w:rFonts w:eastAsia="Times New Roman"/>
          <w:sz w:val="20"/>
          <w:szCs w:val="20"/>
        </w:rPr>
        <w:pict>
          <v:rect id="_x0000_i1027" style="width:0;height:.75pt" o:hralign="center" o:hrstd="t" o:hrnoshade="t" o:hr="t" fillcolor="black" stroked="f"/>
        </w:pict>
      </w:r>
    </w:p>
    <w:p w:rsidR="00FB4E75" w:rsidRPr="00FB4E75" w:rsidRDefault="00EB2809">
      <w:pPr>
        <w:rPr>
          <w:rFonts w:eastAsia="Times New Roman"/>
          <w:sz w:val="20"/>
          <w:szCs w:val="20"/>
        </w:rPr>
      </w:pPr>
      <w:r w:rsidRPr="00EB2809">
        <w:rPr>
          <w:rFonts w:eastAsia="Times New Roman"/>
          <w:sz w:val="20"/>
          <w:szCs w:val="20"/>
        </w:rPr>
        <w:lastRenderedPageBreak/>
        <w:pict>
          <v:rect id="_x0000_i1028" style="width:0;height:3pt" o:hralign="center" o:hrstd="t" o:hrnoshade="t" o:hr="t" fillcolor="black" stroked="f"/>
        </w:pict>
      </w:r>
    </w:p>
    <w:p w:rsidR="00FB4E75" w:rsidRPr="00FB4E75" w:rsidRDefault="00FB4E75">
      <w:pPr>
        <w:pStyle w:val="NormalWeb"/>
        <w:jc w:val="center"/>
        <w:rPr>
          <w:sz w:val="20"/>
          <w:szCs w:val="20"/>
        </w:rPr>
      </w:pPr>
      <w:r w:rsidRPr="00FB4E75">
        <w:rPr>
          <w:b/>
          <w:bCs/>
          <w:sz w:val="20"/>
          <w:szCs w:val="20"/>
        </w:rPr>
        <w:t>ADVANCED OXYGEN TECHNOLOGIES, INC.</w:t>
      </w:r>
    </w:p>
    <w:p w:rsidR="00FB4E75" w:rsidRPr="00FB4E75" w:rsidRDefault="00FB4E75">
      <w:pPr>
        <w:pStyle w:val="NormalWeb"/>
        <w:jc w:val="center"/>
        <w:rPr>
          <w:sz w:val="20"/>
          <w:szCs w:val="20"/>
        </w:rPr>
      </w:pPr>
      <w:bookmarkStart w:id="0" w:name="toc"/>
      <w:bookmarkEnd w:id="0"/>
      <w:r w:rsidRPr="00FB4E75">
        <w:rPr>
          <w:sz w:val="20"/>
          <w:szCs w:val="20"/>
        </w:rPr>
        <w:t> Table of Contents</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
        <w:gridCol w:w="195"/>
        <w:gridCol w:w="8187"/>
        <w:gridCol w:w="585"/>
        <w:gridCol w:w="585"/>
      </w:tblGrid>
      <w:tr w:rsidR="00FB4E75" w:rsidRPr="00FB4E75">
        <w:trPr>
          <w:tblCellSpacing w:w="0" w:type="dxa"/>
          <w:jc w:val="center"/>
        </w:trPr>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pStyle w:val="NormalWeb"/>
              <w:jc w:val="center"/>
              <w:rPr>
                <w:sz w:val="20"/>
                <w:szCs w:val="20"/>
              </w:rPr>
            </w:pPr>
            <w:r w:rsidRPr="00FB4E75">
              <w:rPr>
                <w:b/>
                <w:bCs/>
                <w:sz w:val="20"/>
                <w:szCs w:val="20"/>
              </w:rPr>
              <w:t>INDEX</w:t>
            </w:r>
          </w:p>
        </w:tc>
      </w:tr>
      <w:tr w:rsidR="00FB4E75" w:rsidRPr="00FB4E7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b/>
                <w:bCs/>
                <w:sz w:val="20"/>
                <w:szCs w:val="20"/>
              </w:rPr>
              <w:t>PART I</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 xml:space="preserve">Item I: Financial Statements (unaudited)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Page</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Unaudited consolidated Balance Sheet as of March 31, 2015, June 30, 2014 and June 30, 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1</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cente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Unaudited Consolidated Statement of Operations and Changes in Accumulated Deficit for the three months and nine months ended March 31, 2015 and March 31, 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3</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Unaudited Consolidated Statement of Changes in Stockholders’ Equity and (Capital Deficiency) for the three months ended March 31, 2015 and March 31,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4</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Unaudited Consolidated Statement of Cash Flow for the three months and nine months ended March 31, 2015 and March 31, 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5</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Notes to the Consolidated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6</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 xml:space="preserve">Item 2: Management's Discussion and Analysis of Financial Condition and Results of Operations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11</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 xml:space="preserve">Item 3: Quantitative and Qualitative Disclosures about Market Risk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16</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Item 4: Controls and Procedures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16</w:t>
            </w:r>
          </w:p>
        </w:tc>
      </w:tr>
      <w:tr w:rsidR="00FB4E75" w:rsidRPr="00FB4E7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PART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 xml:space="preserve">Item 1: Legal Proceedings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18</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 xml:space="preserve">Item 2: Unregistered Sales of Equity Securities and Use of Proceeds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18</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Item 3: Defaults Upon Senior Securities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18</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Item 4: Mine Safety Disclosures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18</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 xml:space="preserve">Item 5: Other Information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18</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 xml:space="preserve">Item 6. Exhibits and Reports on Form 8-K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18</w:t>
            </w:r>
          </w:p>
        </w:tc>
      </w:tr>
      <w:tr w:rsidR="00FB4E75" w:rsidRPr="00FB4E7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Signature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19</w:t>
            </w:r>
          </w:p>
        </w:tc>
      </w:tr>
      <w:tr w:rsidR="00FB4E75" w:rsidRPr="00FB4E7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EXHIBIT 99.1 (A), 99.1(B) Certifications of Officers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EX 31</w:t>
            </w:r>
          </w:p>
        </w:tc>
      </w:tr>
      <w:tr w:rsidR="00FB4E75" w:rsidRPr="00FB4E7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b/>
                <w:bCs/>
                <w:sz w:val="20"/>
                <w:szCs w:val="20"/>
              </w:rPr>
              <w:t>EXHIBIT 99.1 (C), 99.1(D) Certifications of Officers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b/>
                <w:bCs/>
                <w:sz w:val="20"/>
                <w:szCs w:val="20"/>
              </w:rPr>
              <w:t>EX 32</w:t>
            </w:r>
          </w:p>
        </w:tc>
      </w:tr>
      <w:tr w:rsidR="00FB4E75" w:rsidRPr="00FB4E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 </w:t>
            </w:r>
          </w:p>
        </w:tc>
      </w:tr>
    </w:tbl>
    <w:p w:rsidR="00FB4E75" w:rsidRPr="00FB4E75" w:rsidRDefault="00EB2809">
      <w:pPr>
        <w:rPr>
          <w:rFonts w:eastAsia="Times New Roman"/>
          <w:sz w:val="20"/>
          <w:szCs w:val="20"/>
        </w:rPr>
      </w:pPr>
      <w:r w:rsidRPr="00EB2809">
        <w:rPr>
          <w:rFonts w:eastAsia="Times New Roman"/>
          <w:sz w:val="20"/>
          <w:szCs w:val="20"/>
        </w:rPr>
        <w:pict>
          <v:rect id="_x0000_i1029" style="width:0;height:3pt" o:hralign="center" o:hrstd="t" o:hrnoshade="t" o:hr="t" fillcolor="black" stroked="f"/>
        </w:pict>
      </w:r>
    </w:p>
    <w:p w:rsidR="00FB4E75" w:rsidRPr="00021976" w:rsidRDefault="00021976" w:rsidP="00021976">
      <w:pPr>
        <w:rPr>
          <w:b/>
          <w:bCs/>
          <w:sz w:val="20"/>
          <w:szCs w:val="20"/>
        </w:rPr>
      </w:pPr>
      <w:r>
        <w:rPr>
          <w:b/>
          <w:bCs/>
          <w:sz w:val="20"/>
          <w:szCs w:val="20"/>
        </w:rPr>
        <w:br w:type="page"/>
      </w:r>
      <w:r w:rsidR="00FB4E75" w:rsidRPr="00FB4E75">
        <w:rPr>
          <w:b/>
          <w:bCs/>
          <w:sz w:val="20"/>
          <w:szCs w:val="20"/>
        </w:rPr>
        <w:lastRenderedPageBreak/>
        <w:t xml:space="preserve">PART 1: FINANCIAL INFORMATION </w:t>
      </w:r>
    </w:p>
    <w:p w:rsidR="00FB4E75" w:rsidRPr="00FB4E75" w:rsidRDefault="00FB4E75">
      <w:pPr>
        <w:pStyle w:val="NormalWeb"/>
        <w:rPr>
          <w:sz w:val="20"/>
          <w:szCs w:val="20"/>
        </w:rPr>
      </w:pPr>
      <w:r w:rsidRPr="00FB4E75">
        <w:rPr>
          <w:b/>
          <w:bCs/>
          <w:sz w:val="20"/>
          <w:szCs w:val="20"/>
        </w:rPr>
        <w:t>Item I</w:t>
      </w:r>
      <w:r w:rsidRPr="00FB4E75">
        <w:rPr>
          <w:sz w:val="20"/>
          <w:szCs w:val="20"/>
        </w:rPr>
        <w:t>: Consolidated Financial Statements for the three months ending March 31, 2015 (unaudited).</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5"/>
        <w:gridCol w:w="1384"/>
        <w:gridCol w:w="1384"/>
        <w:gridCol w:w="1384"/>
      </w:tblGrid>
      <w:tr w:rsidR="00FB4E75" w:rsidRPr="00FB4E75">
        <w:trPr>
          <w:divId w:val="160783560"/>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rsidP="00E7268E">
            <w:pPr>
              <w:pStyle w:val="NormalWeb"/>
              <w:spacing w:before="0" w:beforeAutospacing="0" w:after="0" w:afterAutospacing="0"/>
              <w:jc w:val="center"/>
              <w:rPr>
                <w:sz w:val="20"/>
                <w:szCs w:val="20"/>
              </w:rPr>
            </w:pPr>
            <w:bookmarkStart w:id="1" w:name="bs"/>
            <w:bookmarkEnd w:id="1"/>
            <w:r w:rsidRPr="00FB4E75">
              <w:rPr>
                <w:b/>
                <w:bCs/>
                <w:sz w:val="20"/>
                <w:szCs w:val="20"/>
              </w:rPr>
              <w:t xml:space="preserve"> ADVANCED OXYGEN TECHNOLOGIES, INC. </w:t>
            </w:r>
          </w:p>
          <w:p w:rsidR="00FB4E75" w:rsidRPr="00FB4E75" w:rsidRDefault="00FB4E75" w:rsidP="00E7268E">
            <w:pPr>
              <w:pStyle w:val="NormalWeb"/>
              <w:spacing w:before="0" w:beforeAutospacing="0" w:after="0" w:afterAutospacing="0"/>
              <w:jc w:val="center"/>
              <w:rPr>
                <w:sz w:val="20"/>
                <w:szCs w:val="20"/>
              </w:rPr>
            </w:pPr>
            <w:r w:rsidRPr="00FB4E75">
              <w:rPr>
                <w:b/>
                <w:bCs/>
                <w:sz w:val="20"/>
                <w:szCs w:val="20"/>
              </w:rPr>
              <w:t>AND SUBSIDIARY</w:t>
            </w:r>
          </w:p>
          <w:p w:rsidR="00FB4E75" w:rsidRPr="00FB4E75" w:rsidRDefault="00FB4E75" w:rsidP="00E7268E">
            <w:pPr>
              <w:pStyle w:val="NormalWeb"/>
              <w:spacing w:before="0" w:beforeAutospacing="0" w:after="0" w:afterAutospacing="0"/>
              <w:jc w:val="center"/>
              <w:rPr>
                <w:sz w:val="20"/>
                <w:szCs w:val="20"/>
              </w:rPr>
            </w:pPr>
            <w:r w:rsidRPr="00FB4E75">
              <w:rPr>
                <w:b/>
                <w:bCs/>
                <w:sz w:val="20"/>
                <w:szCs w:val="20"/>
              </w:rPr>
              <w:t>CONSOLATED BALANCE SHEETS</w:t>
            </w:r>
          </w:p>
        </w:tc>
      </w:tr>
      <w:tr w:rsidR="00FB4E75" w:rsidRPr="00FB4E75" w:rsidTr="00021976">
        <w:trPr>
          <w:divId w:val="160783560"/>
          <w:tblCellSpacing w:w="0" w:type="dxa"/>
        </w:trPr>
        <w:tc>
          <w:tcPr>
            <w:tcW w:w="287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center"/>
              <w:rPr>
                <w:sz w:val="20"/>
                <w:szCs w:val="20"/>
              </w:rPr>
            </w:pPr>
            <w:r w:rsidRPr="00FB4E75">
              <w:rPr>
                <w:b/>
                <w:bCs/>
                <w:sz w:val="20"/>
                <w:szCs w:val="20"/>
              </w:rPr>
              <w:t>As of March 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center"/>
              <w:rPr>
                <w:sz w:val="20"/>
                <w:szCs w:val="20"/>
              </w:rPr>
            </w:pPr>
            <w:r w:rsidRPr="00FB4E75">
              <w:rPr>
                <w:b/>
                <w:bCs/>
                <w:sz w:val="20"/>
                <w:szCs w:val="20"/>
              </w:rPr>
              <w:t>As of June 30,</w:t>
            </w:r>
          </w:p>
        </w:tc>
      </w:tr>
      <w:tr w:rsidR="00FB4E75" w:rsidRPr="00FB4E75" w:rsidTr="00021976">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rPr>
                <w:sz w:val="20"/>
                <w:szCs w:val="20"/>
              </w:rPr>
            </w:pPr>
            <w:r w:rsidRPr="00FB4E75">
              <w:rPr>
                <w:b/>
                <w:bCs/>
                <w:sz w:val="20"/>
                <w:szCs w:val="20"/>
              </w:rPr>
              <w:t>ASSETS</w:t>
            </w:r>
          </w:p>
        </w:tc>
        <w:tc>
          <w:tcPr>
            <w:tcW w:w="71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center"/>
              <w:rPr>
                <w:sz w:val="20"/>
                <w:szCs w:val="20"/>
              </w:rPr>
            </w:pPr>
            <w:r w:rsidRPr="00FB4E75">
              <w:rPr>
                <w:b/>
                <w:bCs/>
                <w:sz w:val="20"/>
                <w:szCs w:val="20"/>
              </w:rPr>
              <w:t>2015</w:t>
            </w:r>
          </w:p>
          <w:p w:rsidR="00FB4E75" w:rsidRPr="00FB4E75" w:rsidRDefault="00FB4E75">
            <w:pPr>
              <w:pStyle w:val="NormalWeb"/>
              <w:jc w:val="center"/>
              <w:rPr>
                <w:sz w:val="20"/>
                <w:szCs w:val="20"/>
              </w:rPr>
            </w:pPr>
            <w:r w:rsidRPr="00FB4E75">
              <w:rPr>
                <w:b/>
                <w:bCs/>
                <w:sz w:val="20"/>
                <w:szCs w:val="20"/>
              </w:rPr>
              <w:t>(unaudited)</w:t>
            </w:r>
          </w:p>
          <w:p w:rsidR="00FB4E75" w:rsidRPr="00FB4E75" w:rsidRDefault="00EB2809">
            <w:pPr>
              <w:rPr>
                <w:rFonts w:eastAsia="Times New Roman"/>
                <w:sz w:val="20"/>
                <w:szCs w:val="20"/>
              </w:rPr>
            </w:pPr>
            <w:r w:rsidRPr="00EB2809">
              <w:rPr>
                <w:rFonts w:eastAsia="Times New Roman"/>
                <w:sz w:val="20"/>
                <w:szCs w:val="20"/>
              </w:rPr>
              <w:pict>
                <v:rect id="_x0000_i1030" style="width:468pt;height:1.5pt" o:hralign="center" o:hrstd="t" o:hr="t" fillcolor="#a0a0a0" stroked="f"/>
              </w:pict>
            </w:r>
          </w:p>
        </w:tc>
        <w:tc>
          <w:tcPr>
            <w:tcW w:w="71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center"/>
              <w:rPr>
                <w:sz w:val="20"/>
                <w:szCs w:val="20"/>
              </w:rPr>
            </w:pPr>
            <w:r w:rsidRPr="00FB4E75">
              <w:rPr>
                <w:b/>
                <w:bCs/>
                <w:sz w:val="20"/>
                <w:szCs w:val="20"/>
              </w:rPr>
              <w:t>2014 </w:t>
            </w:r>
          </w:p>
          <w:p w:rsidR="00FB4E75" w:rsidRPr="00FB4E75" w:rsidRDefault="00EB2809">
            <w:pPr>
              <w:jc w:val="center"/>
              <w:rPr>
                <w:rFonts w:eastAsia="Times New Roman"/>
                <w:sz w:val="20"/>
                <w:szCs w:val="20"/>
              </w:rPr>
            </w:pPr>
            <w:r w:rsidRPr="00EB2809">
              <w:rPr>
                <w:rFonts w:eastAsia="Times New Roman"/>
                <w:sz w:val="20"/>
                <w:szCs w:val="20"/>
              </w:rPr>
              <w:pict>
                <v:rect id="_x0000_i1031" style="width:468pt;height:1.5pt" o:hralign="center" o:hrstd="t" o:hr="t" fillcolor="#a0a0a0" stroked="f"/>
              </w:pict>
            </w:r>
          </w:p>
        </w:tc>
        <w:tc>
          <w:tcPr>
            <w:tcW w:w="71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center"/>
              <w:rPr>
                <w:sz w:val="20"/>
                <w:szCs w:val="20"/>
              </w:rPr>
            </w:pPr>
            <w:r w:rsidRPr="00FB4E75">
              <w:rPr>
                <w:b/>
                <w:bCs/>
                <w:sz w:val="20"/>
                <w:szCs w:val="20"/>
              </w:rPr>
              <w:t>2013  </w:t>
            </w:r>
          </w:p>
          <w:p w:rsidR="00FB4E75" w:rsidRPr="00FB4E75" w:rsidRDefault="00EB2809">
            <w:pPr>
              <w:jc w:val="center"/>
              <w:rPr>
                <w:rFonts w:eastAsia="Times New Roman"/>
                <w:sz w:val="20"/>
                <w:szCs w:val="20"/>
              </w:rPr>
            </w:pPr>
            <w:r w:rsidRPr="00EB2809">
              <w:rPr>
                <w:rFonts w:eastAsia="Times New Roman"/>
                <w:sz w:val="20"/>
                <w:szCs w:val="20"/>
              </w:rPr>
              <w:pict>
                <v:rect id="_x0000_i1032" style="width:468pt;height:1.5pt" o:hralign="center" o:hrstd="t" o:hr="t" fillcolor="#a0a0a0" stroked="f"/>
              </w:pic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rPr>
                <w:sz w:val="20"/>
                <w:szCs w:val="20"/>
              </w:rPr>
            </w:pPr>
            <w:r w:rsidRPr="00FB4E75">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rPr>
                <w:rFonts w:eastAsia="Times New Roman"/>
                <w:sz w:val="20"/>
                <w:szCs w:val="20"/>
              </w:rPr>
            </w:pPr>
            <w:r w:rsidRPr="00FB4E75">
              <w:rPr>
                <w:rFonts w:eastAsia="Times New Roman"/>
                <w:sz w:val="20"/>
                <w:szCs w:val="20"/>
              </w:rPr>
              <w:t> </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rPr>
                <w:sz w:val="20"/>
                <w:szCs w:val="20"/>
              </w:rPr>
            </w:pPr>
            <w:r w:rsidRPr="00FB4E75">
              <w:rPr>
                <w:sz w:val="20"/>
                <w:szCs w:val="20"/>
              </w:rPr>
              <w:t>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rPr>
                <w:rFonts w:eastAsia="Times New Roman"/>
                <w:sz w:val="20"/>
                <w:szCs w:val="20"/>
              </w:rPr>
            </w:pPr>
            <w:r w:rsidRPr="00FB4E75">
              <w:rPr>
                <w:rFonts w:eastAsia="Times New Roman"/>
                <w:sz w:val="20"/>
                <w:szCs w:val="20"/>
              </w:rPr>
              <w:t> </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rPr>
                <w:sz w:val="20"/>
                <w:szCs w:val="20"/>
              </w:rPr>
            </w:pPr>
            <w:r w:rsidRPr="00FB4E75">
              <w:rPr>
                <w:sz w:val="20"/>
                <w:szCs w:val="20"/>
              </w:rPr>
              <w:t>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     87,545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     100,825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     5,775</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rPr>
                <w:sz w:val="20"/>
                <w:szCs w:val="20"/>
              </w:rPr>
            </w:pPr>
            <w:r w:rsidRPr="00FB4E75">
              <w:rPr>
                <w:sz w:val="20"/>
                <w:szCs w:val="20"/>
              </w:rPr>
              <w:t>   Deferred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jc w:val="right"/>
              <w:rPr>
                <w:rFonts w:eastAsia="Times New Roman"/>
                <w:sz w:val="20"/>
                <w:szCs w:val="20"/>
              </w:rPr>
            </w:pPr>
            <w:r w:rsidRPr="00FB4E75">
              <w:rPr>
                <w:rFonts w:eastAsia="Times New Roman"/>
                <w:sz w:val="20"/>
                <w:szCs w:val="20"/>
              </w:rPr>
              <w:t>1,644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jc w:val="right"/>
              <w:rPr>
                <w:rFonts w:eastAsia="Times New Roman"/>
                <w:sz w:val="20"/>
                <w:szCs w:val="20"/>
              </w:rPr>
            </w:pPr>
            <w:r w:rsidRPr="00FB4E75">
              <w:rPr>
                <w:rFonts w:eastAsia="Times New Roman"/>
                <w:sz w:val="20"/>
                <w:szCs w:val="20"/>
              </w:rPr>
              <w:t>1,644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rPr>
                <w:sz w:val="20"/>
                <w:szCs w:val="20"/>
              </w:rPr>
            </w:pPr>
            <w:r w:rsidRPr="00FB4E75">
              <w:rPr>
                <w:sz w:val="20"/>
                <w:szCs w:val="20"/>
              </w:rPr>
              <w:t>   Total 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89,189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102,469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5,775</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rPr>
                <w:sz w:val="20"/>
                <w:szCs w:val="20"/>
              </w:rPr>
            </w:pPr>
            <w:r w:rsidRPr="00FB4E75">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rPr>
                <w:rFonts w:eastAsia="Times New Roman"/>
                <w:sz w:val="20"/>
                <w:szCs w:val="20"/>
              </w:rPr>
            </w:pPr>
            <w:r w:rsidRPr="00FB4E75">
              <w:rPr>
                <w:rFonts w:eastAsia="Times New Roman"/>
                <w:sz w:val="20"/>
                <w:szCs w:val="20"/>
              </w:rPr>
              <w:t> </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rPr>
                <w:sz w:val="20"/>
                <w:szCs w:val="20"/>
              </w:rPr>
            </w:pPr>
            <w:r w:rsidRPr="00FB4E75">
              <w:rPr>
                <w:sz w:val="20"/>
                <w:szCs w:val="20"/>
              </w:rPr>
              <w:t>FIXED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rPr>
                <w:rFonts w:eastAsia="Times New Roman"/>
                <w:sz w:val="20"/>
                <w:szCs w:val="20"/>
              </w:rPr>
            </w:pPr>
            <w:r w:rsidRPr="00FB4E75">
              <w:rPr>
                <w:rFonts w:eastAsia="Times New Roman"/>
                <w:sz w:val="20"/>
                <w:szCs w:val="20"/>
              </w:rPr>
              <w:t> </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rPr>
                <w:sz w:val="20"/>
                <w:szCs w:val="20"/>
              </w:rPr>
            </w:pPr>
            <w:r w:rsidRPr="00FB4E75">
              <w:rPr>
                <w:sz w:val="20"/>
                <w:szCs w:val="20"/>
              </w:rPr>
              <w:t>Land and buildings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578,704</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rPr>
                <w:sz w:val="20"/>
                <w:szCs w:val="20"/>
              </w:rPr>
            </w:pPr>
            <w:r w:rsidRPr="00FB4E75">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rPr>
                <w:sz w:val="20"/>
                <w:szCs w:val="20"/>
              </w:rPr>
            </w:pPr>
            <w:r w:rsidRPr="00FB4E75">
              <w:rPr>
                <w:sz w:val="20"/>
                <w:szCs w:val="20"/>
              </w:rPr>
              <w:t>TOTAL ASSETS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    695,149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    708,429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FB4E75" w:rsidRDefault="00FB4E75">
            <w:pPr>
              <w:pStyle w:val="NormalWeb"/>
              <w:jc w:val="right"/>
              <w:rPr>
                <w:sz w:val="20"/>
                <w:szCs w:val="20"/>
              </w:rPr>
            </w:pPr>
            <w:r w:rsidRPr="00FB4E75">
              <w:rPr>
                <w:sz w:val="20"/>
                <w:szCs w:val="20"/>
              </w:rPr>
              <w:t>$    584,479</w:t>
            </w:r>
          </w:p>
        </w:tc>
      </w:tr>
      <w:tr w:rsidR="00FB4E75" w:rsidRPr="00FB4E75">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center"/>
              <w:rPr>
                <w:sz w:val="20"/>
                <w:szCs w:val="20"/>
              </w:rPr>
            </w:pPr>
            <w:r w:rsidRPr="00FB4E75">
              <w:rPr>
                <w:sz w:val="20"/>
                <w:szCs w:val="20"/>
              </w:rPr>
              <w:t> </w:t>
            </w:r>
            <w:r w:rsidRPr="00FB4E75">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FB4E75" w:rsidRDefault="00FB4E75">
            <w:pPr>
              <w:pStyle w:val="NormalWeb"/>
              <w:jc w:val="right"/>
              <w:rPr>
                <w:sz w:val="20"/>
                <w:szCs w:val="20"/>
              </w:rPr>
            </w:pPr>
            <w:r w:rsidRPr="00FB4E75">
              <w:rPr>
                <w:sz w:val="20"/>
                <w:szCs w:val="20"/>
              </w:rPr>
              <w:t>============</w:t>
            </w:r>
          </w:p>
        </w:tc>
      </w:tr>
    </w:tbl>
    <w:p w:rsidR="0054277E" w:rsidRDefault="0054277E">
      <w:pPr>
        <w:divId w:val="160783560"/>
      </w:pPr>
      <w:r>
        <w:br w:type="page"/>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0"/>
        <w:gridCol w:w="1249"/>
        <w:gridCol w:w="1249"/>
        <w:gridCol w:w="1249"/>
      </w:tblGrid>
      <w:tr w:rsidR="00B71ED4" w:rsidRPr="00B71ED4" w:rsidTr="00B71ED4">
        <w:trPr>
          <w:divId w:val="160783560"/>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bottom"/>
            <w:hideMark/>
          </w:tcPr>
          <w:p w:rsidR="00B71ED4" w:rsidRPr="00B71ED4" w:rsidRDefault="00B71ED4" w:rsidP="00973C12">
            <w:pPr>
              <w:pStyle w:val="NormalWeb"/>
              <w:spacing w:before="0" w:beforeAutospacing="0" w:after="0" w:afterAutospacing="0"/>
              <w:jc w:val="center"/>
              <w:rPr>
                <w:sz w:val="18"/>
                <w:szCs w:val="18"/>
              </w:rPr>
            </w:pPr>
            <w:r w:rsidRPr="00B71ED4">
              <w:rPr>
                <w:b/>
                <w:bCs/>
                <w:sz w:val="18"/>
                <w:szCs w:val="18"/>
              </w:rPr>
              <w:lastRenderedPageBreak/>
              <w:t xml:space="preserve"> ADVANCED OXYGEN TECHNOLOGIES, INC. </w:t>
            </w:r>
          </w:p>
          <w:p w:rsidR="00B71ED4" w:rsidRPr="00B71ED4" w:rsidRDefault="00B71ED4" w:rsidP="00973C12">
            <w:pPr>
              <w:pStyle w:val="NormalWeb"/>
              <w:spacing w:before="0" w:beforeAutospacing="0" w:after="0" w:afterAutospacing="0"/>
              <w:jc w:val="center"/>
              <w:rPr>
                <w:sz w:val="18"/>
                <w:szCs w:val="18"/>
              </w:rPr>
            </w:pPr>
            <w:r w:rsidRPr="00B71ED4">
              <w:rPr>
                <w:b/>
                <w:bCs/>
                <w:sz w:val="18"/>
                <w:szCs w:val="18"/>
              </w:rPr>
              <w:t>AND SUBSIDIARY</w:t>
            </w:r>
          </w:p>
          <w:p w:rsidR="00B71ED4" w:rsidRPr="00B71ED4" w:rsidRDefault="00B71ED4" w:rsidP="00973C12">
            <w:pPr>
              <w:pStyle w:val="NormalWeb"/>
              <w:spacing w:before="0" w:beforeAutospacing="0" w:after="0" w:afterAutospacing="0"/>
              <w:jc w:val="center"/>
              <w:rPr>
                <w:sz w:val="18"/>
                <w:szCs w:val="18"/>
              </w:rPr>
            </w:pPr>
            <w:r w:rsidRPr="00B71ED4">
              <w:rPr>
                <w:b/>
                <w:bCs/>
                <w:sz w:val="18"/>
                <w:szCs w:val="18"/>
              </w:rPr>
              <w:t>CONSOLATED BALANCE SHEETS (Continued)</w:t>
            </w:r>
          </w:p>
        </w:tc>
      </w:tr>
      <w:tr w:rsidR="00E7268E" w:rsidRPr="00B71ED4" w:rsidTr="008D0866">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7268E" w:rsidRPr="00B71ED4" w:rsidRDefault="00E7268E">
            <w:pPr>
              <w:pStyle w:val="NormalWeb"/>
              <w:rPr>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7268E" w:rsidRPr="00B71ED4" w:rsidRDefault="00E7268E">
            <w:pPr>
              <w:rPr>
                <w:rFonts w:eastAsia="Times New Roman"/>
                <w:sz w:val="18"/>
                <w:szCs w:val="18"/>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E7268E" w:rsidRPr="00B71ED4" w:rsidRDefault="00E7268E" w:rsidP="00021976">
            <w:pPr>
              <w:jc w:val="center"/>
              <w:rPr>
                <w:b/>
                <w:bCs/>
                <w:sz w:val="18"/>
                <w:szCs w:val="18"/>
              </w:rPr>
            </w:pPr>
          </w:p>
        </w:tc>
      </w:tr>
      <w:tr w:rsidR="00021976" w:rsidRPr="00B71ED4" w:rsidTr="008D0866">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21976" w:rsidRPr="00B71ED4" w:rsidRDefault="00021976">
            <w:pPr>
              <w:pStyle w:val="NormalWeb"/>
              <w:rPr>
                <w:sz w:val="18"/>
                <w:szCs w:val="18"/>
              </w:rPr>
            </w:pPr>
            <w:r w:rsidRPr="00B71ED4">
              <w:rPr>
                <w:b/>
                <w:bCs/>
                <w:sz w:val="18"/>
                <w:szCs w:val="18"/>
              </w:rPr>
              <w:t>            LIABILITIES AND STOCKHOLDERS' EQUITY              </w:t>
            </w: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21976" w:rsidRPr="00B71ED4" w:rsidRDefault="00021976">
            <w:pPr>
              <w:rPr>
                <w:rFonts w:eastAsia="Times New Roman"/>
                <w:sz w:val="18"/>
                <w:szCs w:val="18"/>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021976" w:rsidRPr="00B71ED4" w:rsidRDefault="00021976" w:rsidP="00021976">
            <w:pPr>
              <w:jc w:val="center"/>
              <w:rPr>
                <w:rFonts w:eastAsia="Times New Roman"/>
                <w:sz w:val="18"/>
                <w:szCs w:val="18"/>
              </w:rPr>
            </w:pPr>
            <w:r w:rsidRPr="00B71ED4">
              <w:rPr>
                <w:b/>
                <w:bCs/>
                <w:sz w:val="18"/>
                <w:szCs w:val="18"/>
              </w:rPr>
              <w:t>As of June 30,</w:t>
            </w:r>
          </w:p>
          <w:p w:rsidR="00021976" w:rsidRPr="00B71ED4" w:rsidRDefault="00021976" w:rsidP="00021976">
            <w:pPr>
              <w:jc w:val="center"/>
              <w:rPr>
                <w:rFonts w:eastAsia="Times New Roman"/>
                <w:sz w:val="18"/>
                <w:szCs w:val="18"/>
              </w:rPr>
            </w:pP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21976" w:rsidRPr="00B71ED4" w:rsidRDefault="00021976" w:rsidP="00B71ED4">
            <w:pPr>
              <w:pStyle w:val="NormalWeb"/>
              <w:spacing w:before="0" w:beforeAutospacing="0" w:after="0" w:afterAutospacing="0"/>
              <w:jc w:val="center"/>
              <w:rPr>
                <w:sz w:val="18"/>
                <w:szCs w:val="18"/>
              </w:rPr>
            </w:pPr>
            <w:r w:rsidRPr="00B71ED4">
              <w:rPr>
                <w:b/>
                <w:bCs/>
                <w:sz w:val="18"/>
                <w:szCs w:val="18"/>
              </w:rPr>
              <w:t>2015</w:t>
            </w:r>
          </w:p>
          <w:p w:rsidR="00021976" w:rsidRPr="00B71ED4" w:rsidRDefault="00021976" w:rsidP="00B71ED4">
            <w:pPr>
              <w:pStyle w:val="NormalWeb"/>
              <w:spacing w:before="0" w:beforeAutospacing="0" w:after="0" w:afterAutospacing="0"/>
              <w:jc w:val="center"/>
              <w:rPr>
                <w:sz w:val="18"/>
                <w:szCs w:val="18"/>
              </w:rPr>
            </w:pPr>
            <w:r w:rsidRPr="00B71ED4">
              <w:rPr>
                <w:b/>
                <w:bCs/>
                <w:sz w:val="18"/>
                <w:szCs w:val="18"/>
              </w:rPr>
              <w:t>(unaudited)</w:t>
            </w:r>
          </w:p>
          <w:p w:rsidR="00FB4E75" w:rsidRPr="00B71ED4" w:rsidRDefault="00EB2809" w:rsidP="00B71ED4">
            <w:pPr>
              <w:rPr>
                <w:rFonts w:eastAsia="Times New Roman"/>
                <w:sz w:val="18"/>
                <w:szCs w:val="18"/>
              </w:rPr>
            </w:pPr>
            <w:r w:rsidRPr="00EB2809">
              <w:rPr>
                <w:rFonts w:eastAsia="Times New Roman"/>
                <w:sz w:val="18"/>
                <w:szCs w:val="18"/>
              </w:rPr>
              <w:pict>
                <v:rect id="_x0000_i1033" style="width:468pt;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21976" w:rsidRPr="00B71ED4" w:rsidRDefault="00FB4E75" w:rsidP="00B71ED4">
            <w:pPr>
              <w:pStyle w:val="NormalWeb"/>
              <w:spacing w:before="0" w:beforeAutospacing="0" w:after="0" w:afterAutospacing="0"/>
              <w:jc w:val="center"/>
              <w:rPr>
                <w:sz w:val="18"/>
                <w:szCs w:val="18"/>
              </w:rPr>
            </w:pPr>
            <w:r w:rsidRPr="00B71ED4">
              <w:rPr>
                <w:rFonts w:eastAsia="Times New Roman"/>
                <w:sz w:val="18"/>
                <w:szCs w:val="18"/>
              </w:rPr>
              <w:t> </w:t>
            </w:r>
            <w:r w:rsidR="00021976" w:rsidRPr="00B71ED4">
              <w:rPr>
                <w:b/>
                <w:bCs/>
                <w:sz w:val="18"/>
                <w:szCs w:val="18"/>
              </w:rPr>
              <w:t>2014</w:t>
            </w:r>
          </w:p>
          <w:p w:rsidR="00FB4E75" w:rsidRPr="00B71ED4" w:rsidRDefault="00EB2809" w:rsidP="00B71ED4">
            <w:pPr>
              <w:rPr>
                <w:rFonts w:eastAsia="Times New Roman"/>
                <w:sz w:val="18"/>
                <w:szCs w:val="18"/>
              </w:rPr>
            </w:pPr>
            <w:r w:rsidRPr="00EB2809">
              <w:rPr>
                <w:rFonts w:eastAsia="Times New Roman"/>
                <w:sz w:val="18"/>
                <w:szCs w:val="18"/>
              </w:rPr>
              <w:pict>
                <v:rect id="_x0000_i1034" style="width:468pt;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21976" w:rsidRPr="00B71ED4" w:rsidRDefault="00FB4E75" w:rsidP="00B71ED4">
            <w:pPr>
              <w:pStyle w:val="NormalWeb"/>
              <w:spacing w:before="0" w:beforeAutospacing="0" w:after="0" w:afterAutospacing="0"/>
              <w:jc w:val="center"/>
              <w:rPr>
                <w:sz w:val="18"/>
                <w:szCs w:val="18"/>
              </w:rPr>
            </w:pPr>
            <w:r w:rsidRPr="00B71ED4">
              <w:rPr>
                <w:rFonts w:eastAsia="Times New Roman"/>
                <w:sz w:val="18"/>
                <w:szCs w:val="18"/>
              </w:rPr>
              <w:t> </w:t>
            </w:r>
            <w:r w:rsidR="00021976" w:rsidRPr="00B71ED4">
              <w:rPr>
                <w:b/>
                <w:bCs/>
                <w:sz w:val="18"/>
                <w:szCs w:val="18"/>
              </w:rPr>
              <w:t>2013</w:t>
            </w:r>
          </w:p>
          <w:p w:rsidR="00FB4E75" w:rsidRPr="00B71ED4" w:rsidRDefault="00EB2809" w:rsidP="00B71ED4">
            <w:pPr>
              <w:rPr>
                <w:rFonts w:eastAsia="Times New Roman"/>
                <w:sz w:val="18"/>
                <w:szCs w:val="18"/>
              </w:rPr>
            </w:pPr>
            <w:r w:rsidRPr="00EB2809">
              <w:rPr>
                <w:rFonts w:eastAsia="Times New Roman"/>
                <w:sz w:val="18"/>
                <w:szCs w:val="18"/>
              </w:rPr>
              <w:pict>
                <v:rect id="_x0000_i1035" style="width:468pt;height:1.5pt" o:hralign="center" o:hrstd="t" o:hr="t" fillcolor="#a0a0a0" stroked="f"/>
              </w:pic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Accounts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  9,111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  9,261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    22,591</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35,985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35,985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7,386</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Note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126,174</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Taxes payable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57,898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58,026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61,476</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Total 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230,023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230,301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217,627</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Long Term Debt,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194,189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213,900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47,560</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Due to affiliate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58,509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56,259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46,400</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Total 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252,698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270,159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93,960</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Total Liabilities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482,721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500,460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311,587</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STOCKHOLDERS' 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Convertible preferred stock, Series 2, par value $0.01; authorized  10,000,000 shares; issued and outstanding 5,000 shares liquidating preference $25,000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50</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Convertible preferred stock, Series 3, par value $0.01; authorized and issued, 1,670,000 shares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16,700</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Convertible preferred stock, Series 4; issued and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b/>
                <w:bCs/>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b/>
                <w:bCs/>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b/>
                <w:bCs/>
                <w:sz w:val="18"/>
                <w:szCs w:val="18"/>
              </w:rPr>
              <w:t>-</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b/>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Convertible preferred stock, Series 5; issued, 1 share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b/>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b/>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b/>
                <w:bCs/>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Common stock, par value $0.01; authorized, 60,000,000 shares; issued and outstanding 2,292,945 shares at March 31, 2015 and par value $0.01; authorized, 90,000,000 shares; issued and outstanding 46,973,585 shares at June 30, 2014 and 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22,929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469,736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469,736</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Additional paid-in capital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20,944,575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20,497,769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20,497,769</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(20,764,542)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(20,769,002)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(20,704,078)</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Less treasury stock, at cost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1,670,000 shares of convertible preferred   stock, Series 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(7,284)</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1,120,000 shares of common stock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rPr>
                <w:sz w:val="18"/>
                <w:szCs w:val="18"/>
              </w:rPr>
            </w:pPr>
            <w:r w:rsidRPr="00B71ED4">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sz w:val="18"/>
                <w:szCs w:val="18"/>
              </w:rPr>
              <w:t>  TOTAL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212,428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207,969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sz w:val="18"/>
                <w:szCs w:val="18"/>
              </w:rPr>
              <w:t>272,893</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rPr>
                <w:sz w:val="18"/>
                <w:szCs w:val="18"/>
              </w:rPr>
            </w:pPr>
            <w:r w:rsidRPr="00B71ED4">
              <w:rPr>
                <w:b/>
                <w:bCs/>
                <w:sz w:val="18"/>
                <w:szCs w:val="18"/>
              </w:rPr>
              <w:t>  TOTAL LIABILITIES AND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b/>
                <w:bCs/>
                <w:sz w:val="18"/>
                <w:szCs w:val="18"/>
              </w:rPr>
              <w:t>$   695,149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b/>
                <w:bCs/>
                <w:sz w:val="18"/>
                <w:szCs w:val="18"/>
              </w:rPr>
              <w:t>$   708,429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right"/>
              <w:rPr>
                <w:sz w:val="18"/>
                <w:szCs w:val="18"/>
              </w:rPr>
            </w:pPr>
            <w:r w:rsidRPr="00B71ED4">
              <w:rPr>
                <w:b/>
                <w:bCs/>
                <w:sz w:val="18"/>
                <w:szCs w:val="18"/>
              </w:rPr>
              <w:t>$   584,479</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rPr>
                <w:rFonts w:eastAsia="Times New Roman"/>
                <w:sz w:val="18"/>
                <w:szCs w:val="18"/>
              </w:rPr>
            </w:pPr>
            <w:r w:rsidRPr="00B71ED4">
              <w:rPr>
                <w:rFonts w:eastAsia="Times New Roman"/>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FB4E75" w:rsidRPr="00B71ED4" w:rsidRDefault="00FB4E75">
            <w:pPr>
              <w:pStyle w:val="NormalWeb"/>
              <w:jc w:val="right"/>
              <w:rPr>
                <w:sz w:val="18"/>
                <w:szCs w:val="18"/>
              </w:rPr>
            </w:pPr>
            <w:r w:rsidRPr="00B71ED4">
              <w:rPr>
                <w:sz w:val="18"/>
                <w:szCs w:val="18"/>
              </w:rPr>
              <w:t>============</w:t>
            </w:r>
          </w:p>
        </w:tc>
      </w:tr>
      <w:tr w:rsidR="00FB4E75" w:rsidRPr="00B71ED4">
        <w:trPr>
          <w:divId w:val="16078356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B4E75" w:rsidRPr="00B71ED4" w:rsidRDefault="00FB4E75">
            <w:pPr>
              <w:pStyle w:val="NormalWeb"/>
              <w:jc w:val="center"/>
              <w:rPr>
                <w:sz w:val="18"/>
                <w:szCs w:val="18"/>
              </w:rPr>
            </w:pPr>
            <w:r w:rsidRPr="00B71ED4">
              <w:rPr>
                <w:b/>
                <w:bCs/>
                <w:sz w:val="18"/>
                <w:szCs w:val="18"/>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B71ED4"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B71ED4" w:rsidRDefault="00FB4E75">
            <w:pPr>
              <w:rPr>
                <w:rFonts w:eastAsia="Times New Roman"/>
                <w:sz w:val="18"/>
                <w:szCs w:val="18"/>
              </w:rPr>
            </w:pPr>
          </w:p>
        </w:tc>
      </w:tr>
    </w:tbl>
    <w:p w:rsidR="00FB4E75" w:rsidRPr="00B71ED4" w:rsidRDefault="00EB2809">
      <w:pPr>
        <w:pStyle w:val="NormalWeb"/>
        <w:divId w:val="160783560"/>
        <w:rPr>
          <w:sz w:val="18"/>
          <w:szCs w:val="18"/>
        </w:rPr>
      </w:pPr>
      <w:hyperlink r:id="rId6" w:anchor="toc" w:history="1">
        <w:r w:rsidR="00FB4E75" w:rsidRPr="00B71ED4">
          <w:rPr>
            <w:rStyle w:val="Hyperlink"/>
            <w:b/>
            <w:bCs/>
            <w:sz w:val="18"/>
            <w:szCs w:val="18"/>
          </w:rPr>
          <w:t>Return to Table of Contents</w:t>
        </w:r>
      </w:hyperlink>
    </w:p>
    <w:p w:rsidR="00FB4E75" w:rsidRPr="00B71ED4" w:rsidRDefault="00FB4E75">
      <w:pPr>
        <w:divId w:val="415252175"/>
        <w:rPr>
          <w:rFonts w:eastAsia="Times New Roman"/>
          <w:sz w:val="18"/>
          <w:szCs w:val="18"/>
        </w:rPr>
      </w:pPr>
      <w:r w:rsidRPr="00B71ED4">
        <w:rPr>
          <w:rFonts w:eastAsia="Times New Roman"/>
          <w:sz w:val="18"/>
          <w:szCs w:val="18"/>
        </w:rPr>
        <w:t>   </w:t>
      </w:r>
    </w:p>
    <w:p w:rsidR="00FB4E75" w:rsidRDefault="00EB2809">
      <w:pPr>
        <w:rPr>
          <w:rFonts w:eastAsia="Times New Roman"/>
          <w:sz w:val="18"/>
          <w:szCs w:val="18"/>
        </w:rPr>
      </w:pPr>
      <w:r w:rsidRPr="00EB2809">
        <w:rPr>
          <w:rFonts w:eastAsia="Times New Roman"/>
          <w:sz w:val="18"/>
          <w:szCs w:val="18"/>
        </w:rPr>
        <w:pict>
          <v:rect id="_x0000_i1036" style="width:0;height:3pt" o:hralign="center" o:hrstd="t" o:hrnoshade="t" o:hr="t" fillcolor="black" stroked="f"/>
        </w:pict>
      </w:r>
    </w:p>
    <w:p w:rsidR="00B71ED4" w:rsidRPr="00B71ED4" w:rsidRDefault="00B71ED4">
      <w:pPr>
        <w:rPr>
          <w:rFonts w:eastAsia="Times New Roman"/>
          <w:sz w:val="18"/>
          <w:szCs w:val="18"/>
        </w:rPr>
      </w:pPr>
    </w:p>
    <w:p w:rsidR="00FB4E75" w:rsidRPr="00FB4E75" w:rsidRDefault="00FB4E75">
      <w:pPr>
        <w:rPr>
          <w:rFonts w:eastAsia="Times New Roman"/>
          <w:sz w:val="20"/>
          <w:szCs w:val="20"/>
        </w:rPr>
      </w:pPr>
      <w:r w:rsidRPr="00FB4E75">
        <w:rPr>
          <w:rFonts w:eastAsia="Times New Roman"/>
          <w:sz w:val="20"/>
          <w:szCs w:val="20"/>
        </w:rPr>
        <w:t xml:space="preserve">  </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7"/>
        <w:gridCol w:w="1064"/>
        <w:gridCol w:w="1064"/>
        <w:gridCol w:w="1064"/>
        <w:gridCol w:w="1064"/>
        <w:gridCol w:w="1064"/>
      </w:tblGrid>
      <w:tr w:rsidR="00FB4E75" w:rsidRPr="00FB4E7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pStyle w:val="NormalWeb"/>
              <w:jc w:val="center"/>
              <w:rPr>
                <w:sz w:val="20"/>
                <w:szCs w:val="20"/>
              </w:rPr>
            </w:pPr>
            <w:r w:rsidRPr="00FB4E75">
              <w:rPr>
                <w:b/>
                <w:bCs/>
                <w:sz w:val="20"/>
                <w:szCs w:val="20"/>
              </w:rPr>
              <w:lastRenderedPageBreak/>
              <w:t>ADVANCED OXYGEN TECHNOLOGIES, INC.</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r>
      <w:tr w:rsidR="00FB4E75" w:rsidRPr="00FB4E7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center"/>
              <w:rPr>
                <w:rFonts w:eastAsia="Times New Roman"/>
                <w:sz w:val="20"/>
                <w:szCs w:val="20"/>
              </w:rPr>
            </w:pPr>
            <w:r w:rsidRPr="00FB4E75">
              <w:rPr>
                <w:rFonts w:eastAsia="Times New Roman"/>
                <w:b/>
                <w:bCs/>
                <w:sz w:val="20"/>
                <w:szCs w:val="20"/>
              </w:rPr>
              <w:t>Consolidated Statement of Operations and Changes in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p>
        </w:tc>
      </w:tr>
      <w:tr w:rsidR="00FB4E75" w:rsidRPr="00FB4E75">
        <w:trPr>
          <w:tblCellSpacing w:w="0" w:type="dxa"/>
        </w:trPr>
        <w:tc>
          <w:tcPr>
            <w:tcW w:w="30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center"/>
              <w:rPr>
                <w:sz w:val="20"/>
                <w:szCs w:val="20"/>
              </w:rPr>
            </w:pPr>
            <w:r w:rsidRPr="00FB4E75">
              <w:rPr>
                <w:sz w:val="20"/>
                <w:szCs w:val="20"/>
              </w:rPr>
              <w:t>3 Month Period Ending March, 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center"/>
              <w:rPr>
                <w:sz w:val="20"/>
                <w:szCs w:val="20"/>
              </w:rPr>
            </w:pPr>
            <w:r w:rsidRPr="00FB4E75">
              <w:rPr>
                <w:sz w:val="20"/>
                <w:szCs w:val="20"/>
              </w:rPr>
              <w:t>9 Month Period Ending March 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center"/>
              <w:rPr>
                <w:sz w:val="20"/>
                <w:szCs w:val="20"/>
              </w:rPr>
            </w:pPr>
            <w:r w:rsidRPr="00FB4E75">
              <w:rPr>
                <w:sz w:val="20"/>
                <w:szCs w:val="20"/>
              </w:rPr>
              <w:t>12 Month Period Ending</w:t>
            </w:r>
            <w:r w:rsidRPr="00FB4E75">
              <w:rPr>
                <w:sz w:val="20"/>
                <w:szCs w:val="20"/>
              </w:rPr>
              <w:br/>
              <w:t>June 30,</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pStyle w:val="NormalWeb"/>
              <w:jc w:val="center"/>
              <w:rPr>
                <w:sz w:val="20"/>
                <w:szCs w:val="20"/>
              </w:rPr>
            </w:pPr>
            <w:r w:rsidRPr="00FB4E75">
              <w:rPr>
                <w:b/>
                <w:bCs/>
                <w:sz w:val="20"/>
                <w:szCs w:val="20"/>
              </w:rPr>
              <w:t>(Unaudited)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pStyle w:val="NormalWeb"/>
              <w:jc w:val="center"/>
              <w:rPr>
                <w:sz w:val="20"/>
                <w:szCs w:val="20"/>
              </w:rPr>
            </w:pPr>
            <w:r w:rsidRPr="00FB4E75">
              <w:rPr>
                <w:b/>
                <w:bCs/>
                <w:sz w:val="20"/>
                <w:szCs w:val="20"/>
              </w:rPr>
              <w:t>(Unaudited)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pStyle w:val="NormalWeb"/>
              <w:jc w:val="center"/>
              <w:rPr>
                <w:sz w:val="20"/>
                <w:szCs w:val="20"/>
              </w:rPr>
            </w:pPr>
            <w:r w:rsidRPr="00FB4E75">
              <w:rPr>
                <w:b/>
                <w:bCs/>
                <w:sz w:val="20"/>
                <w:szCs w:val="20"/>
              </w:rPr>
              <w:t>(Audited)</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b/>
                <w:bCs/>
                <w:sz w:val="20"/>
                <w:szCs w:val="20"/>
              </w:rPr>
              <w:t>20155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b/>
                <w:bCs/>
                <w:sz w:val="20"/>
                <w:szCs w:val="20"/>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b/>
                <w:bCs/>
                <w:sz w:val="20"/>
                <w:szCs w:val="20"/>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b/>
                <w:bCs/>
                <w:sz w:val="20"/>
                <w:szCs w:val="20"/>
              </w:rPr>
              <w:t>2014</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Revenues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Real Estate Rental Income,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8,669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11,193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28,724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26,730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44,830</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Total Revenues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8,669</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11,193</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28,724</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26,730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44,830</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Cost of Sales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Cost of Sales,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Gross Profit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8,669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11,193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28,724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26,730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44,830</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Accounting Expense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6,757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1,640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12,474</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Interest Expense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2,260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4,350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8,053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6,377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25,045</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General &amp; Administrative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94</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5,805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7,355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18,114</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5,657</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Foreign Exchange Expense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6,116</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Taxes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38,855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84,745</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Transfer Agent 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2,100</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Total 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4,454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10,155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24,265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67,086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136,137</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b/>
                <w:bCs/>
                <w:sz w:val="20"/>
                <w:szCs w:val="20"/>
              </w:rPr>
              <w:t>Income (loss) from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4,215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1,038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4,459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(40,356)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(92,180)</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b/>
                <w:bCs/>
                <w:sz w:val="20"/>
                <w:szCs w:val="20"/>
              </w:rPr>
              <w:t>Income Taxes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Other Income (Expense)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sz w:val="20"/>
                <w:szCs w:val="20"/>
              </w:rPr>
              <w:t>Foreign Exchange gain (loss) of Land and Buildings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r w:rsidRPr="00FB4E75">
              <w:rPr>
                <w:rFonts w:eastAsia="Times New Roman"/>
                <w:sz w:val="20"/>
                <w:szCs w:val="20"/>
              </w:rPr>
              <w:t>27,256</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Total Other Income (Expense)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jc w:val="right"/>
              <w:rPr>
                <w:rFonts w:eastAsia="Times New Roman"/>
                <w:sz w:val="20"/>
                <w:szCs w:val="20"/>
              </w:rPr>
            </w:pPr>
            <w:r w:rsidRPr="00FB4E75">
              <w:rPr>
                <w:rFonts w:eastAsia="Times New Roman"/>
                <w:sz w:val="20"/>
                <w:szCs w:val="20"/>
              </w:rPr>
              <w:t>27,256</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b/>
                <w:bCs/>
                <w:sz w:val="20"/>
                <w:szCs w:val="20"/>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4,215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1,038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4,459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(40,356)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(64,924)</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Beginning of Period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(20,768,757)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(20,745,472)</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(20,769,002)</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(20,704,078)</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(20,704,078)</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End of Period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sz w:val="20"/>
                <w:szCs w:val="20"/>
              </w:rPr>
              <w:t>(20,764,542)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(20,744,435)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sz w:val="20"/>
                <w:szCs w:val="20"/>
              </w:rPr>
              <w:t>(20,764,542)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(20,744,435)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(20,769,002)</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r w:rsidRPr="00FB4E75">
              <w:rPr>
                <w:rFonts w:eastAsia="Times New Roman"/>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rPr>
                <w:rFonts w:eastAsia="Times New Roman"/>
                <w:sz w:val="20"/>
                <w:szCs w:val="20"/>
              </w:rPr>
            </w:pPr>
            <w:r w:rsidRPr="00FB4E75">
              <w:rPr>
                <w:rFonts w:eastAsia="Times New Roman"/>
                <w:sz w:val="20"/>
                <w:szCs w:val="20"/>
              </w:rPr>
              <w:t>Earnings per Share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pStyle w:val="NormalWeb"/>
              <w:jc w:val="right"/>
              <w:rPr>
                <w:sz w:val="20"/>
                <w:szCs w:val="20"/>
              </w:rPr>
            </w:pPr>
            <w:r w:rsidRPr="00FB4E75">
              <w:rPr>
                <w:sz w:val="20"/>
                <w:szCs w:val="20"/>
              </w:rPr>
              <w:t>0.0018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pStyle w:val="NormalWeb"/>
              <w:jc w:val="right"/>
              <w:rPr>
                <w:sz w:val="20"/>
                <w:szCs w:val="20"/>
              </w:rPr>
            </w:pPr>
            <w:r w:rsidRPr="00FB4E75">
              <w:rPr>
                <w:sz w:val="20"/>
                <w:szCs w:val="20"/>
              </w:rPr>
              <w:t>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pStyle w:val="NormalWeb"/>
              <w:jc w:val="right"/>
              <w:rPr>
                <w:sz w:val="20"/>
                <w:szCs w:val="20"/>
              </w:rPr>
            </w:pPr>
            <w:r w:rsidRPr="00FB4E75">
              <w:rPr>
                <w:sz w:val="20"/>
                <w:szCs w:val="20"/>
              </w:rPr>
              <w:t>0.0019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pStyle w:val="NormalWeb"/>
              <w:jc w:val="right"/>
              <w:rPr>
                <w:sz w:val="20"/>
                <w:szCs w:val="20"/>
              </w:rPr>
            </w:pPr>
            <w:r w:rsidRPr="00FB4E75">
              <w:rPr>
                <w:sz w:val="20"/>
                <w:szCs w:val="20"/>
              </w:rPr>
              <w:t>$(0.0009)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B4E75" w:rsidRDefault="00FB4E75">
            <w:pPr>
              <w:pStyle w:val="NormalWeb"/>
              <w:jc w:val="right"/>
              <w:rPr>
                <w:sz w:val="20"/>
                <w:szCs w:val="20"/>
              </w:rPr>
            </w:pPr>
            <w:r w:rsidRPr="00FB4E75">
              <w:rPr>
                <w:sz w:val="20"/>
                <w:szCs w:val="20"/>
              </w:rPr>
              <w:t>$(0.0014)</w:t>
            </w:r>
          </w:p>
        </w:tc>
      </w:tr>
      <w:tr w:rsidR="00FB4E75" w:rsidRPr="00FB4E7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jc w:val="center"/>
              <w:rPr>
                <w:rFonts w:eastAsia="Times New Roman"/>
                <w:sz w:val="20"/>
                <w:szCs w:val="20"/>
              </w:rPr>
            </w:pPr>
            <w:r w:rsidRPr="00FB4E75">
              <w:rPr>
                <w:rFonts w:eastAsia="Times New Roman"/>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B4E75" w:rsidRDefault="00FB4E75">
            <w:pPr>
              <w:rPr>
                <w:rFonts w:eastAsia="Times New Roman"/>
                <w:sz w:val="20"/>
                <w:szCs w:val="20"/>
              </w:rPr>
            </w:pPr>
          </w:p>
        </w:tc>
      </w:tr>
    </w:tbl>
    <w:p w:rsidR="00FB4E75" w:rsidRPr="00FB4E75" w:rsidRDefault="00EB2809">
      <w:pPr>
        <w:pStyle w:val="NormalWeb"/>
        <w:rPr>
          <w:sz w:val="20"/>
          <w:szCs w:val="20"/>
        </w:rPr>
      </w:pPr>
      <w:hyperlink w:anchor="toc" w:history="1">
        <w:r w:rsidR="00FB4E75" w:rsidRPr="00FB4E75">
          <w:rPr>
            <w:rStyle w:val="Hyperlink"/>
            <w:b/>
            <w:bCs/>
            <w:sz w:val="20"/>
            <w:szCs w:val="20"/>
          </w:rPr>
          <w:t>Return to Table of Contents</w:t>
        </w:r>
      </w:hyperlink>
    </w:p>
    <w:p w:rsidR="00BC4C4C" w:rsidRDefault="00EB2809">
      <w:pPr>
        <w:rPr>
          <w:rFonts w:eastAsia="Times New Roman"/>
          <w:sz w:val="20"/>
          <w:szCs w:val="20"/>
        </w:rPr>
        <w:sectPr w:rsidR="00BC4C4C" w:rsidSect="00B16BA9">
          <w:headerReference w:type="even" r:id="rId7"/>
          <w:headerReference w:type="default" r:id="rId8"/>
          <w:footerReference w:type="even" r:id="rId9"/>
          <w:footerReference w:type="default" r:id="rId10"/>
          <w:headerReference w:type="first" r:id="rId11"/>
          <w:footerReference w:type="first" r:id="rId12"/>
          <w:pgSz w:w="12240" w:h="15840"/>
          <w:pgMar w:top="270" w:right="720" w:bottom="270" w:left="720" w:header="720" w:footer="720" w:gutter="0"/>
          <w:cols w:space="720"/>
          <w:docGrid w:linePitch="360"/>
        </w:sectPr>
      </w:pPr>
      <w:r w:rsidRPr="00EB2809">
        <w:rPr>
          <w:rFonts w:eastAsia="Times New Roman"/>
          <w:sz w:val="20"/>
          <w:szCs w:val="20"/>
        </w:rPr>
        <w:pict>
          <v:rect id="_x0000_i1037" style="width:0;height:3pt" o:hralign="center" o:hrstd="t" o:hrnoshade="t" o:hr="t" fillcolor="black" stroked="f"/>
        </w:pict>
      </w:r>
    </w:p>
    <w:p w:rsidR="00FB4E75" w:rsidRPr="00FB4E75" w:rsidRDefault="00FB4E75">
      <w:pPr>
        <w:rPr>
          <w:rFonts w:eastAsia="Times New Roman"/>
          <w:sz w:val="20"/>
          <w:szCs w:val="20"/>
        </w:rPr>
      </w:pPr>
    </w:p>
    <w:tbl>
      <w:tblPr>
        <w:tblW w:w="4782"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89"/>
        <w:gridCol w:w="50"/>
        <w:gridCol w:w="548"/>
        <w:gridCol w:w="94"/>
        <w:gridCol w:w="138"/>
        <w:gridCol w:w="634"/>
        <w:gridCol w:w="78"/>
        <w:gridCol w:w="710"/>
        <w:gridCol w:w="78"/>
        <w:gridCol w:w="120"/>
        <w:gridCol w:w="590"/>
        <w:gridCol w:w="78"/>
        <w:gridCol w:w="710"/>
        <w:gridCol w:w="78"/>
        <w:gridCol w:w="120"/>
        <w:gridCol w:w="632"/>
        <w:gridCol w:w="78"/>
        <w:gridCol w:w="977"/>
        <w:gridCol w:w="84"/>
        <w:gridCol w:w="175"/>
        <w:gridCol w:w="751"/>
        <w:gridCol w:w="84"/>
        <w:gridCol w:w="174"/>
        <w:gridCol w:w="1492"/>
        <w:gridCol w:w="83"/>
        <w:gridCol w:w="174"/>
        <w:gridCol w:w="1238"/>
        <w:gridCol w:w="307"/>
        <w:gridCol w:w="174"/>
        <w:gridCol w:w="1492"/>
        <w:gridCol w:w="83"/>
        <w:gridCol w:w="174"/>
        <w:gridCol w:w="1492"/>
        <w:gridCol w:w="53"/>
        <w:gridCol w:w="30"/>
      </w:tblGrid>
      <w:tr w:rsidR="00FB4E75" w:rsidRPr="00FB4E75" w:rsidTr="00E7268E">
        <w:trPr>
          <w:gridAfter w:val="1"/>
          <w:wAfter w:w="30" w:type="dxa"/>
          <w:tblCellSpacing w:w="0" w:type="dxa"/>
        </w:trPr>
        <w:tc>
          <w:tcPr>
            <w:tcW w:w="14631" w:type="dxa"/>
            <w:gridSpan w:val="34"/>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BC4C4C" w:rsidRDefault="00FB4E75" w:rsidP="00E7268E">
            <w:pPr>
              <w:jc w:val="center"/>
              <w:rPr>
                <w:rFonts w:eastAsia="Times New Roman"/>
                <w:sz w:val="18"/>
                <w:szCs w:val="18"/>
              </w:rPr>
            </w:pPr>
            <w:r w:rsidRPr="00BC4C4C">
              <w:rPr>
                <w:rFonts w:eastAsia="Times New Roman"/>
                <w:b/>
                <w:bCs/>
                <w:sz w:val="18"/>
                <w:szCs w:val="18"/>
              </w:rPr>
              <w:t>ADVANCED OXYGEN TECHNOLOGIES, INC.</w:t>
            </w:r>
          </w:p>
          <w:p w:rsidR="00FB4E75" w:rsidRPr="00BC4C4C" w:rsidRDefault="00FB4E75" w:rsidP="00E7268E">
            <w:pPr>
              <w:pStyle w:val="NormalWeb"/>
              <w:spacing w:before="0" w:beforeAutospacing="0" w:after="0" w:afterAutospacing="0"/>
              <w:jc w:val="center"/>
              <w:rPr>
                <w:sz w:val="18"/>
                <w:szCs w:val="18"/>
              </w:rPr>
            </w:pPr>
            <w:r w:rsidRPr="00BC4C4C">
              <w:rPr>
                <w:b/>
                <w:bCs/>
                <w:sz w:val="18"/>
                <w:szCs w:val="18"/>
              </w:rPr>
              <w:t>AND SUBSIDIARY</w:t>
            </w:r>
          </w:p>
          <w:p w:rsidR="00FB4E75" w:rsidRPr="00BC4C4C" w:rsidRDefault="00FB4E75" w:rsidP="00E7268E">
            <w:pPr>
              <w:pStyle w:val="NormalWeb"/>
              <w:spacing w:before="0" w:beforeAutospacing="0" w:after="0" w:afterAutospacing="0"/>
              <w:jc w:val="center"/>
              <w:rPr>
                <w:sz w:val="18"/>
                <w:szCs w:val="18"/>
              </w:rPr>
            </w:pPr>
            <w:r w:rsidRPr="00BC4C4C">
              <w:rPr>
                <w:b/>
                <w:bCs/>
                <w:sz w:val="18"/>
                <w:szCs w:val="18"/>
              </w:rPr>
              <w:t>CONSOLIDATED STATEMENTS OF STOCKHOLDERS' EQUITY (DEFICIENCY)</w:t>
            </w:r>
          </w:p>
        </w:tc>
      </w:tr>
      <w:tr w:rsidR="00FB4E75" w:rsidRPr="00FB4E75"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BC4C4C" w:rsidRDefault="00FB4E75">
            <w:pPr>
              <w:rPr>
                <w:rFonts w:eastAsia="Times New Roman"/>
                <w:sz w:val="18"/>
                <w:szCs w:val="18"/>
              </w:rPr>
            </w:pPr>
            <w:r w:rsidRPr="00BC4C4C">
              <w:rPr>
                <w:rFonts w:eastAsia="Times New Roman"/>
                <w:sz w:val="18"/>
                <w:szCs w:val="18"/>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BC4C4C" w:rsidRDefault="00FB4E75">
            <w:pPr>
              <w:rPr>
                <w:rFonts w:eastAsia="Times New Roman"/>
                <w:sz w:val="18"/>
                <w:szCs w:val="18"/>
              </w:rPr>
            </w:pPr>
            <w:r w:rsidRPr="00BC4C4C">
              <w:rPr>
                <w:rFonts w:eastAsia="Times New Roman"/>
                <w:sz w:val="18"/>
                <w:szCs w:val="18"/>
              </w:rPr>
              <w:t> </w:t>
            </w:r>
          </w:p>
        </w:tc>
        <w:tc>
          <w:tcPr>
            <w:tcW w:w="4608" w:type="dxa"/>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BC4C4C" w:rsidRDefault="00FB4E75">
            <w:pPr>
              <w:jc w:val="center"/>
              <w:rPr>
                <w:rFonts w:eastAsia="Times New Roman"/>
                <w:sz w:val="18"/>
                <w:szCs w:val="18"/>
              </w:rPr>
            </w:pPr>
            <w:r w:rsidRPr="00BC4C4C">
              <w:rPr>
                <w:rFonts w:eastAsia="Times New Roman"/>
                <w:b/>
                <w:bCs/>
                <w:sz w:val="18"/>
                <w:szCs w:val="18"/>
              </w:rPr>
              <w:t>Preferred Stock</w:t>
            </w:r>
            <w:r w:rsidRPr="00BC4C4C">
              <w:rPr>
                <w:rFonts w:eastAsia="Times New Roman"/>
                <w:sz w:val="18"/>
                <w:szCs w:val="18"/>
              </w:rPr>
              <w:t xml:space="preserve"> </w:t>
            </w:r>
          </w:p>
          <w:p w:rsidR="00FB4E75" w:rsidRPr="00BC4C4C" w:rsidRDefault="00EB2809">
            <w:pPr>
              <w:jc w:val="center"/>
              <w:rPr>
                <w:rFonts w:eastAsia="Times New Roman"/>
                <w:sz w:val="18"/>
                <w:szCs w:val="18"/>
              </w:rPr>
            </w:pPr>
            <w:r w:rsidRPr="00EB2809">
              <w:rPr>
                <w:rFonts w:eastAsia="Times New Roman"/>
                <w:sz w:val="18"/>
                <w:szCs w:val="18"/>
              </w:rPr>
              <w:pict>
                <v:rect id="_x0000_i1038" style="width:0;height:1.5pt" o:hralign="center" o:hrstd="t" o:hr="t" fillcolor="#a0a0a0" stroked="f"/>
              </w:pic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BC4C4C" w:rsidRDefault="00FB4E75">
            <w:pPr>
              <w:rPr>
                <w:rFonts w:eastAsia="Times New Roman"/>
                <w:sz w:val="18"/>
                <w:szCs w:val="18"/>
              </w:rPr>
            </w:pPr>
            <w:r w:rsidRPr="00BC4C4C">
              <w:rPr>
                <w:rFonts w:eastAsia="Times New Roman"/>
                <w:sz w:val="18"/>
                <w:szCs w:val="18"/>
              </w:rPr>
              <w:t> </w:t>
            </w:r>
          </w:p>
        </w:tc>
        <w:tc>
          <w:tcPr>
            <w:tcW w:w="9037" w:type="dxa"/>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BC4C4C" w:rsidRDefault="00FB4E75">
            <w:pPr>
              <w:rPr>
                <w:rFonts w:eastAsia="Times New Roman"/>
                <w:sz w:val="18"/>
                <w:szCs w:val="18"/>
              </w:rPr>
            </w:pPr>
            <w:r w:rsidRPr="00BC4C4C">
              <w:rPr>
                <w:rFonts w:eastAsia="Times New Roman"/>
                <w:sz w:val="18"/>
                <w:szCs w:val="18"/>
              </w:rPr>
              <w:t> </w:t>
            </w: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14" w:type="dxa"/>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b/>
                <w:bCs/>
                <w:sz w:val="16"/>
                <w:szCs w:val="16"/>
              </w:rPr>
              <w:t> Convertible Series 2,</w:t>
            </w:r>
            <w:r w:rsidRPr="00E7268E">
              <w:rPr>
                <w:rFonts w:eastAsia="Times New Roman"/>
                <w:b/>
                <w:bCs/>
                <w:sz w:val="16"/>
                <w:szCs w:val="16"/>
              </w:rPr>
              <w:br/>
              <w:t>par value $0.01,</w:t>
            </w:r>
            <w:r w:rsidRPr="00E7268E">
              <w:rPr>
                <w:rFonts w:eastAsia="Times New Roman"/>
                <w:b/>
                <w:bCs/>
                <w:sz w:val="16"/>
                <w:szCs w:val="16"/>
              </w:rPr>
              <w:br/>
              <w:t>$25,000 liquidating Preference</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498" w:type="dxa"/>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 </w:t>
            </w:r>
            <w:r w:rsidRPr="00E7268E">
              <w:rPr>
                <w:rFonts w:eastAsia="Times New Roman"/>
                <w:b/>
                <w:bCs/>
                <w:sz w:val="16"/>
                <w:szCs w:val="16"/>
              </w:rPr>
              <w:t>Convertible</w:t>
            </w:r>
            <w:r w:rsidRPr="00E7268E">
              <w:rPr>
                <w:rFonts w:eastAsia="Times New Roman"/>
                <w:sz w:val="16"/>
                <w:szCs w:val="16"/>
              </w:rPr>
              <w:br/>
            </w:r>
            <w:r w:rsidRPr="00E7268E">
              <w:rPr>
                <w:rFonts w:eastAsia="Times New Roman"/>
                <w:b/>
                <w:bCs/>
                <w:sz w:val="16"/>
                <w:szCs w:val="16"/>
              </w:rPr>
              <w:t xml:space="preserve">Series 3, </w:t>
            </w:r>
            <w:r w:rsidRPr="00E7268E">
              <w:rPr>
                <w:rFonts w:eastAsia="Times New Roman"/>
                <w:sz w:val="16"/>
                <w:szCs w:val="16"/>
              </w:rPr>
              <w:br/>
            </w:r>
            <w:r w:rsidRPr="00E7268E">
              <w:rPr>
                <w:rFonts w:eastAsia="Times New Roman"/>
                <w:b/>
                <w:bCs/>
                <w:sz w:val="16"/>
                <w:szCs w:val="16"/>
              </w:rPr>
              <w:t>par value $0.01</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 </w:t>
            </w:r>
          </w:p>
        </w:tc>
        <w:tc>
          <w:tcPr>
            <w:tcW w:w="1540" w:type="dxa"/>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 </w:t>
            </w:r>
            <w:r w:rsidRPr="00E7268E">
              <w:rPr>
                <w:rFonts w:eastAsia="Times New Roman"/>
                <w:b/>
                <w:bCs/>
                <w:sz w:val="16"/>
                <w:szCs w:val="16"/>
              </w:rPr>
              <w:t xml:space="preserve">Treasury, </w:t>
            </w:r>
            <w:r w:rsidRPr="00E7268E">
              <w:rPr>
                <w:rFonts w:eastAsia="Times New Roman"/>
                <w:sz w:val="16"/>
                <w:szCs w:val="16"/>
              </w:rPr>
              <w:br/>
            </w:r>
            <w:r w:rsidRPr="00E7268E">
              <w:rPr>
                <w:rFonts w:eastAsia="Times New Roman"/>
                <w:b/>
                <w:bCs/>
                <w:sz w:val="16"/>
                <w:szCs w:val="16"/>
              </w:rPr>
              <w:t xml:space="preserve">Convertible Series 3 </w:t>
            </w:r>
            <w:r w:rsidRPr="00E7268E">
              <w:rPr>
                <w:rFonts w:eastAsia="Times New Roman"/>
                <w:sz w:val="16"/>
                <w:szCs w:val="16"/>
              </w:rPr>
              <w:br/>
            </w:r>
            <w:r w:rsidRPr="00E7268E">
              <w:rPr>
                <w:rFonts w:eastAsia="Times New Roman"/>
                <w:b/>
                <w:bCs/>
                <w:sz w:val="16"/>
                <w:szCs w:val="16"/>
              </w:rPr>
              <w:t>(at cost)</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987" w:type="dxa"/>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b/>
                <w:bCs/>
                <w:sz w:val="16"/>
                <w:szCs w:val="16"/>
              </w:rPr>
              <w:t>Common Stock</w:t>
            </w:r>
            <w:r w:rsidRPr="00E7268E">
              <w:rPr>
                <w:rFonts w:eastAsia="Times New Roman"/>
                <w:sz w:val="16"/>
                <w:szCs w:val="16"/>
              </w:rPr>
              <w:t xml:space="preserve">  </w:t>
            </w: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b/>
                <w:bCs/>
                <w:sz w:val="16"/>
                <w:szCs w:val="16"/>
              </w:rPr>
              <w:t xml:space="preserve">Additional Paid </w:t>
            </w:r>
            <w:r w:rsidRPr="00E7268E">
              <w:rPr>
                <w:rFonts w:eastAsia="Times New Roman"/>
                <w:sz w:val="16"/>
                <w:szCs w:val="16"/>
              </w:rPr>
              <w:br/>
            </w:r>
            <w:r w:rsidRPr="00E7268E">
              <w:rPr>
                <w:rFonts w:eastAsia="Times New Roman"/>
                <w:b/>
                <w:bCs/>
                <w:sz w:val="16"/>
                <w:szCs w:val="16"/>
              </w:rPr>
              <w:t>In Capital</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2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b/>
                <w:bCs/>
                <w:sz w:val="16"/>
                <w:szCs w:val="16"/>
              </w:rPr>
              <w:t xml:space="preserve">Accumulated Other </w:t>
            </w:r>
            <w:r w:rsidRPr="00E7268E">
              <w:rPr>
                <w:rFonts w:eastAsia="Times New Roman"/>
                <w:sz w:val="16"/>
                <w:szCs w:val="16"/>
              </w:rPr>
              <w:br/>
            </w:r>
            <w:r w:rsidRPr="00E7268E">
              <w:rPr>
                <w:rFonts w:eastAsia="Times New Roman"/>
                <w:b/>
                <w:bCs/>
                <w:sz w:val="16"/>
                <w:szCs w:val="16"/>
              </w:rPr>
              <w:t xml:space="preserve">Comprehensive </w:t>
            </w:r>
            <w:r w:rsidRPr="00E7268E">
              <w:rPr>
                <w:rFonts w:eastAsia="Times New Roman"/>
                <w:sz w:val="16"/>
                <w:szCs w:val="16"/>
              </w:rPr>
              <w:br/>
            </w:r>
            <w:r w:rsidRPr="00E7268E">
              <w:rPr>
                <w:rFonts w:eastAsia="Times New Roman"/>
                <w:b/>
                <w:bCs/>
                <w:sz w:val="16"/>
                <w:szCs w:val="16"/>
              </w:rPr>
              <w:t>Income(Loss)</w:t>
            </w:r>
          </w:p>
        </w:tc>
        <w:tc>
          <w:tcPr>
            <w:tcW w:w="30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b/>
                <w:bCs/>
                <w:sz w:val="16"/>
                <w:szCs w:val="16"/>
              </w:rPr>
              <w:t>Accumulated</w:t>
            </w:r>
            <w:r w:rsidRPr="00E7268E">
              <w:rPr>
                <w:rFonts w:eastAsia="Times New Roman"/>
                <w:sz w:val="16"/>
                <w:szCs w:val="16"/>
              </w:rPr>
              <w:br/>
            </w:r>
            <w:r w:rsidRPr="00E7268E">
              <w:rPr>
                <w:rFonts w:eastAsia="Times New Roman"/>
                <w:b/>
                <w:bCs/>
                <w:sz w:val="16"/>
                <w:szCs w:val="16"/>
              </w:rPr>
              <w:t>Deficit</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 </w:t>
            </w:r>
            <w:r w:rsidRPr="00E7268E">
              <w:rPr>
                <w:rFonts w:eastAsia="Times New Roman"/>
                <w:b/>
                <w:bCs/>
                <w:sz w:val="16"/>
                <w:szCs w:val="16"/>
              </w:rPr>
              <w:t xml:space="preserve">Total </w:t>
            </w:r>
            <w:r w:rsidRPr="00E7268E">
              <w:rPr>
                <w:rFonts w:eastAsia="Times New Roman"/>
                <w:sz w:val="16"/>
                <w:szCs w:val="16"/>
              </w:rPr>
              <w:br/>
            </w:r>
            <w:r w:rsidRPr="00E7268E">
              <w:rPr>
                <w:rFonts w:eastAsia="Times New Roman"/>
                <w:b/>
                <w:bCs/>
                <w:sz w:val="16"/>
                <w:szCs w:val="16"/>
              </w:rPr>
              <w:t>Stockholders'</w:t>
            </w:r>
            <w:r w:rsidRPr="00E7268E">
              <w:rPr>
                <w:rFonts w:eastAsia="Times New Roman"/>
                <w:sz w:val="16"/>
                <w:szCs w:val="16"/>
              </w:rPr>
              <w:br/>
            </w:r>
            <w:r w:rsidRPr="00E7268E">
              <w:rPr>
                <w:rFonts w:eastAsia="Times New Roman"/>
                <w:b/>
                <w:bCs/>
                <w:sz w:val="16"/>
                <w:szCs w:val="16"/>
              </w:rPr>
              <w:t>Equity</w:t>
            </w:r>
          </w:p>
        </w:tc>
        <w:tc>
          <w:tcPr>
            <w:tcW w:w="83" w:type="dxa"/>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1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EB2809">
            <w:pPr>
              <w:rPr>
                <w:rFonts w:eastAsia="Times New Roman"/>
                <w:sz w:val="16"/>
                <w:szCs w:val="16"/>
              </w:rPr>
            </w:pPr>
            <w:r w:rsidRPr="00EB2809">
              <w:rPr>
                <w:rFonts w:eastAsia="Times New Roman"/>
                <w:sz w:val="16"/>
                <w:szCs w:val="16"/>
              </w:rPr>
              <w:pict>
                <v:rect id="_x0000_i1039" style="width:0;height:1.5pt" o:hralign="center" o:hrstd="t" o:hr="t" fillcolor="#a0a0a0" stroked="f"/>
              </w:pic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EB2809">
            <w:pPr>
              <w:rPr>
                <w:rFonts w:eastAsia="Times New Roman"/>
                <w:sz w:val="16"/>
                <w:szCs w:val="16"/>
              </w:rPr>
            </w:pPr>
            <w:r w:rsidRPr="00EB2809">
              <w:rPr>
                <w:rFonts w:eastAsia="Times New Roman"/>
                <w:sz w:val="16"/>
                <w:szCs w:val="16"/>
              </w:rPr>
              <w:pict>
                <v:rect id="_x0000_i1040" style="width:0;height:1.5pt" o:hralign="center" o:hrstd="t" o:hr="t" fillcolor="#a0a0a0" stroked="f"/>
              </w:pic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54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EB2809">
            <w:pPr>
              <w:rPr>
                <w:rFonts w:eastAsia="Times New Roman"/>
                <w:sz w:val="16"/>
                <w:szCs w:val="16"/>
              </w:rPr>
            </w:pPr>
            <w:r w:rsidRPr="00EB2809">
              <w:rPr>
                <w:rFonts w:eastAsia="Times New Roman"/>
                <w:sz w:val="16"/>
                <w:szCs w:val="16"/>
              </w:rPr>
              <w:pict>
                <v:rect id="_x0000_i1041" style="width:0;height:1.5pt" o:hralign="center" o:hrstd="t" o:hr="t" fillcolor="#a0a0a0" stroked="f"/>
              </w:pic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987"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EB2809">
            <w:pPr>
              <w:rPr>
                <w:rFonts w:eastAsia="Times New Roman"/>
                <w:sz w:val="16"/>
                <w:szCs w:val="16"/>
              </w:rPr>
            </w:pPr>
            <w:r w:rsidRPr="00EB2809">
              <w:rPr>
                <w:rFonts w:eastAsia="Times New Roman"/>
                <w:sz w:val="16"/>
                <w:szCs w:val="16"/>
              </w:rPr>
              <w:pict>
                <v:rect id="_x0000_i1042" style="width:0;height:1.5pt" o:hralign="center" o:hrstd="t" o:hr="t" fillcolor="#a0a0a0" stroked="f"/>
              </w:pic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EB2809">
            <w:pPr>
              <w:rPr>
                <w:rFonts w:eastAsia="Times New Roman"/>
                <w:sz w:val="16"/>
                <w:szCs w:val="16"/>
              </w:rPr>
            </w:pPr>
            <w:r w:rsidRPr="00EB2809">
              <w:rPr>
                <w:rFonts w:eastAsia="Times New Roman"/>
                <w:sz w:val="16"/>
                <w:szCs w:val="16"/>
              </w:rPr>
              <w:pict>
                <v:rect id="_x0000_i1043" style="width:0;height:1.5pt" o:hralign="center" o:hrstd="t" o:hr="t" fillcolor="#a0a0a0" stroked="f"/>
              </w:pic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EB2809">
            <w:pPr>
              <w:rPr>
                <w:rFonts w:eastAsia="Times New Roman"/>
                <w:sz w:val="16"/>
                <w:szCs w:val="16"/>
              </w:rPr>
            </w:pPr>
            <w:r w:rsidRPr="00EB2809">
              <w:rPr>
                <w:rFonts w:eastAsia="Times New Roman"/>
                <w:sz w:val="16"/>
                <w:szCs w:val="16"/>
              </w:rPr>
              <w:pict>
                <v:rect id="_x0000_i1044" style="width:0;height:1.5pt" o:hralign="center" o:hrstd="t" o:hr="t" fillcolor="#a0a0a0" stroked="f"/>
              </w:pict>
            </w:r>
          </w:p>
        </w:tc>
        <w:tc>
          <w:tcPr>
            <w:tcW w:w="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EB2809">
            <w:pPr>
              <w:rPr>
                <w:rFonts w:eastAsia="Times New Roman"/>
                <w:sz w:val="16"/>
                <w:szCs w:val="16"/>
              </w:rPr>
            </w:pPr>
            <w:r w:rsidRPr="00EB2809">
              <w:rPr>
                <w:rFonts w:eastAsia="Times New Roman"/>
                <w:sz w:val="16"/>
                <w:szCs w:val="16"/>
              </w:rPr>
              <w:pict>
                <v:rect id="_x0000_i1045" style="width:0;height:1.5pt" o:hralign="center" o:hrstd="t" o:hr="t" fillcolor="#a0a0a0" stroked="f"/>
              </w:pic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EB2809">
            <w:pPr>
              <w:rPr>
                <w:rFonts w:eastAsia="Times New Roman"/>
                <w:sz w:val="16"/>
                <w:szCs w:val="16"/>
              </w:rPr>
            </w:pPr>
            <w:r w:rsidRPr="00EB2809">
              <w:rPr>
                <w:rFonts w:eastAsia="Times New Roman"/>
                <w:sz w:val="16"/>
                <w:szCs w:val="16"/>
              </w:rPr>
              <w:pict>
                <v:rect id="_x0000_i1046" style="width:0;height:1.5pt" o:hralign="center" o:hrstd="t" o:hr="t" fillcolor="#a0a0a0" stroked="f"/>
              </w:pict>
            </w:r>
          </w:p>
        </w:tc>
        <w:tc>
          <w:tcPr>
            <w:tcW w:w="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4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Shares</w:t>
            </w:r>
          </w:p>
        </w:tc>
        <w:tc>
          <w:tcPr>
            <w:tcW w:w="9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Amount</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Shares</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9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Amount</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Shares</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Amount </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7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Shares</w:t>
            </w: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5"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51"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Amount</w:t>
            </w: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Amount</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Amount</w:t>
            </w:r>
          </w:p>
        </w:tc>
        <w:tc>
          <w:tcPr>
            <w:tcW w:w="30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Amount</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center"/>
              <w:rPr>
                <w:rFonts w:eastAsia="Times New Roman"/>
                <w:sz w:val="16"/>
                <w:szCs w:val="16"/>
              </w:rPr>
            </w:pPr>
            <w:r w:rsidRPr="00E7268E">
              <w:rPr>
                <w:rFonts w:eastAsia="Times New Roman"/>
                <w:sz w:val="16"/>
                <w:szCs w:val="16"/>
              </w:rPr>
              <w:t>Amount</w:t>
            </w:r>
          </w:p>
        </w:tc>
        <w:tc>
          <w:tcPr>
            <w:tcW w:w="83" w:type="dxa"/>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b/>
                <w:bCs/>
                <w:sz w:val="16"/>
                <w:szCs w:val="16"/>
              </w:rPr>
              <w:t>Balance at June 30, 2012</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5,000</w:t>
            </w:r>
          </w:p>
        </w:tc>
        <w:tc>
          <w:tcPr>
            <w:tcW w:w="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50</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1,670,000</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w:t>
            </w:r>
          </w:p>
        </w:tc>
        <w:tc>
          <w:tcPr>
            <w:tcW w:w="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1,670,000</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(7,284)</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r w:rsidRPr="00E7268E">
              <w:rPr>
                <w:rFonts w:eastAsia="Times New Roman"/>
                <w:b/>
                <w:bCs/>
                <w:sz w:val="16"/>
                <w:szCs w:val="16"/>
              </w:rPr>
              <w:t>46,973,585</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 </w:t>
            </w:r>
            <w:r w:rsidRPr="00E7268E">
              <w:rPr>
                <w:rFonts w:eastAsia="Times New Roman"/>
                <w:b/>
                <w:bCs/>
                <w:sz w:val="16"/>
                <w:szCs w:val="16"/>
              </w:rPr>
              <w:t>469,736</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20,497,769</w: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 </w:t>
            </w: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(20,737,935)</w: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239,036</w:t>
            </w:r>
          </w:p>
        </w:tc>
        <w:tc>
          <w:tcPr>
            <w:tcW w:w="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Net Income (Loss)</w:t>
            </w:r>
          </w:p>
        </w:tc>
        <w:tc>
          <w:tcPr>
            <w:tcW w:w="5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4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9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7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5"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51"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30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sz w:val="16"/>
                <w:szCs w:val="16"/>
              </w:rPr>
              <w:t> 33,856</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3" w:type="dxa"/>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Rounding</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 1</w: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b/>
                <w:bCs/>
                <w:sz w:val="16"/>
                <w:szCs w:val="16"/>
              </w:rPr>
              <w:t>Balance at June 30, 2013</w:t>
            </w:r>
          </w:p>
        </w:tc>
        <w:tc>
          <w:tcPr>
            <w:tcW w:w="5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4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5,000</w:t>
            </w:r>
          </w:p>
        </w:tc>
        <w:tc>
          <w:tcPr>
            <w:tcW w:w="9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50</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1,670,000</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9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1,670,000</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sz w:val="16"/>
                <w:szCs w:val="16"/>
              </w:rPr>
              <w:t> </w:t>
            </w:r>
            <w:r w:rsidRPr="00E7268E">
              <w:rPr>
                <w:rFonts w:eastAsia="Times New Roman"/>
                <w:b/>
                <w:bCs/>
                <w:sz w:val="16"/>
                <w:szCs w:val="16"/>
              </w:rPr>
              <w:t>(7,284)</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7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sz w:val="16"/>
                <w:szCs w:val="16"/>
              </w:rPr>
              <w:t> </w:t>
            </w:r>
            <w:r w:rsidRPr="00E7268E">
              <w:rPr>
                <w:rFonts w:eastAsia="Times New Roman"/>
                <w:b/>
                <w:bCs/>
                <w:sz w:val="16"/>
                <w:szCs w:val="16"/>
              </w:rPr>
              <w:t>46,973,585</w:t>
            </w: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5"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51"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sz w:val="16"/>
                <w:szCs w:val="16"/>
              </w:rPr>
              <w:t> </w:t>
            </w:r>
            <w:r w:rsidRPr="00E7268E">
              <w:rPr>
                <w:rFonts w:eastAsia="Times New Roman"/>
                <w:b/>
                <w:bCs/>
                <w:sz w:val="16"/>
                <w:szCs w:val="16"/>
              </w:rPr>
              <w:t>469,736</w:t>
            </w: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20,497,769</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30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(20,704,078)</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272,893</w:t>
            </w:r>
          </w:p>
        </w:tc>
        <w:tc>
          <w:tcPr>
            <w:tcW w:w="83" w:type="dxa"/>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Net Income (Loss)</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 3,268</w: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 </w:t>
            </w: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b/>
                <w:bCs/>
                <w:sz w:val="16"/>
                <w:szCs w:val="16"/>
              </w:rPr>
              <w:t>Balance at June 30, 2014</w:t>
            </w:r>
          </w:p>
        </w:tc>
        <w:tc>
          <w:tcPr>
            <w:tcW w:w="5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4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5,000</w:t>
            </w:r>
          </w:p>
        </w:tc>
        <w:tc>
          <w:tcPr>
            <w:tcW w:w="9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50</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1,670,000</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59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1,670,000</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63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(7,284)</w:t>
            </w: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97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46,973,585</w:t>
            </w: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5"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751"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sz w:val="16"/>
                <w:szCs w:val="16"/>
              </w:rPr>
              <w:t> </w:t>
            </w:r>
            <w:r w:rsidRPr="00E7268E">
              <w:rPr>
                <w:rFonts w:eastAsia="Times New Roman"/>
                <w:b/>
                <w:bCs/>
                <w:sz w:val="16"/>
                <w:szCs w:val="16"/>
              </w:rPr>
              <w:t>469,736</w:t>
            </w: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20,497,769</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2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30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 (20,769,001)</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211,237</w:t>
            </w:r>
          </w:p>
        </w:tc>
        <w:tc>
          <w:tcPr>
            <w:tcW w:w="83" w:type="dxa"/>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 </w:t>
            </w: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sz w:val="16"/>
                <w:szCs w:val="16"/>
              </w:rPr>
              <w:t>To record a reverse stock split of 20 shares for 1 share on December 8, 2014</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(44,680,640)</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(446,806)</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sz w:val="16"/>
                <w:szCs w:val="16"/>
              </w:rPr>
              <w:t>44,680,806</w: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r w:rsidRPr="00E7268E">
              <w:rPr>
                <w:rFonts w:eastAsia="Times New Roman"/>
                <w:sz w:val="16"/>
                <w:szCs w:val="16"/>
              </w:rPr>
              <w:t>Net Income (Loss)</w:t>
            </w:r>
          </w:p>
        </w:tc>
        <w:tc>
          <w:tcPr>
            <w:tcW w:w="5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54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9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63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59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71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20"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63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7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97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75"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751"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8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238"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307"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jc w:val="right"/>
              <w:rPr>
                <w:rFonts w:eastAsia="Times New Roman"/>
                <w:sz w:val="16"/>
                <w:szCs w:val="16"/>
              </w:rPr>
            </w:pPr>
            <w:r w:rsidRPr="00E7268E">
              <w:rPr>
                <w:rFonts w:eastAsia="Times New Roman"/>
                <w:sz w:val="16"/>
                <w:szCs w:val="16"/>
              </w:rPr>
              <w:t>4,459</w:t>
            </w:r>
          </w:p>
        </w:tc>
        <w:tc>
          <w:tcPr>
            <w:tcW w:w="83"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rPr>
                <w:rFonts w:eastAsia="Times New Roman"/>
                <w:sz w:val="16"/>
                <w:szCs w:val="16"/>
              </w:rPr>
            </w:pPr>
          </w:p>
        </w:tc>
        <w:tc>
          <w:tcPr>
            <w:tcW w:w="83" w:type="dxa"/>
            <w:gridSpan w:val="2"/>
            <w:vAlign w:val="center"/>
            <w:hideMark/>
          </w:tcPr>
          <w:p w:rsidR="00FB4E75" w:rsidRPr="00E7268E" w:rsidRDefault="00FB4E75">
            <w:pPr>
              <w:rPr>
                <w:rFonts w:eastAsia="Times New Roman"/>
                <w:sz w:val="16"/>
                <w:szCs w:val="16"/>
              </w:rPr>
            </w:pPr>
          </w:p>
        </w:tc>
      </w:tr>
      <w:tr w:rsidR="00E7268E" w:rsidRPr="00E7268E" w:rsidTr="00E7268E">
        <w:trPr>
          <w:tblCellSpacing w:w="0" w:type="dxa"/>
        </w:trPr>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r w:rsidRPr="00E7268E">
              <w:rPr>
                <w:rFonts w:eastAsia="Times New Roman"/>
                <w:b/>
                <w:bCs/>
                <w:sz w:val="16"/>
                <w:szCs w:val="16"/>
              </w:rPr>
              <w:t>Balance at March 31, 2015</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5,000</w:t>
            </w:r>
          </w:p>
        </w:tc>
        <w:tc>
          <w:tcPr>
            <w:tcW w:w="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50</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1,670,000</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1,670,000</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(7,284)</w:t>
            </w:r>
          </w:p>
        </w:tc>
        <w:tc>
          <w:tcPr>
            <w:tcW w:w="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2,292,945</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22,290</w:t>
            </w:r>
          </w:p>
        </w:tc>
        <w:tc>
          <w:tcPr>
            <w:tcW w:w="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pStyle w:val="NormalWeb"/>
              <w:jc w:val="right"/>
              <w:rPr>
                <w:sz w:val="16"/>
                <w:szCs w:val="16"/>
              </w:rPr>
            </w:pPr>
            <w:r w:rsidRPr="00E7268E">
              <w:rPr>
                <w:b/>
                <w:bCs/>
                <w:sz w:val="16"/>
                <w:szCs w:val="16"/>
              </w:rPr>
              <w:t>20,944,575</w: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(20,764,542)</w:t>
            </w:r>
          </w:p>
        </w:tc>
        <w:tc>
          <w:tcPr>
            <w:tcW w:w="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c>
          <w:tcPr>
            <w:tcW w:w="1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jc w:val="right"/>
              <w:rPr>
                <w:rFonts w:eastAsia="Times New Roman"/>
                <w:sz w:val="16"/>
                <w:szCs w:val="16"/>
              </w:rPr>
            </w:pPr>
            <w:r w:rsidRPr="00E7268E">
              <w:rPr>
                <w:rFonts w:eastAsia="Times New Roman"/>
                <w:b/>
                <w:bCs/>
                <w:sz w:val="16"/>
                <w:szCs w:val="16"/>
              </w:rPr>
              <w:t>212,428</w:t>
            </w:r>
          </w:p>
        </w:tc>
        <w:tc>
          <w:tcPr>
            <w:tcW w:w="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E7268E" w:rsidRDefault="00FB4E75">
            <w:pPr>
              <w:rPr>
                <w:rFonts w:eastAsia="Times New Roman"/>
                <w:sz w:val="16"/>
                <w:szCs w:val="16"/>
              </w:rPr>
            </w:pPr>
          </w:p>
        </w:tc>
      </w:tr>
      <w:tr w:rsidR="00FB4E75" w:rsidRPr="00E7268E" w:rsidTr="00E7268E">
        <w:trPr>
          <w:gridAfter w:val="1"/>
          <w:wAfter w:w="30" w:type="dxa"/>
          <w:tblCellSpacing w:w="0" w:type="dxa"/>
        </w:trPr>
        <w:tc>
          <w:tcPr>
            <w:tcW w:w="14631" w:type="dxa"/>
            <w:gridSpan w:val="34"/>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E7268E" w:rsidRDefault="00FB4E75">
            <w:pPr>
              <w:pStyle w:val="NormalWeb"/>
              <w:jc w:val="center"/>
              <w:rPr>
                <w:sz w:val="16"/>
                <w:szCs w:val="16"/>
              </w:rPr>
            </w:pPr>
            <w:r w:rsidRPr="00E7268E">
              <w:rPr>
                <w:b/>
                <w:bCs/>
                <w:sz w:val="16"/>
                <w:szCs w:val="16"/>
              </w:rPr>
              <w:t> See accompanying notes to financial statements.</w:t>
            </w:r>
          </w:p>
        </w:tc>
      </w:tr>
    </w:tbl>
    <w:p w:rsidR="00FB4E75" w:rsidRPr="00E7268E" w:rsidRDefault="00FB4E75">
      <w:pPr>
        <w:rPr>
          <w:rFonts w:eastAsia="Times New Roman"/>
          <w:sz w:val="16"/>
          <w:szCs w:val="16"/>
        </w:rPr>
      </w:pPr>
    </w:p>
    <w:p w:rsidR="00FB4E75" w:rsidRPr="00E7268E" w:rsidRDefault="00EB2809">
      <w:pPr>
        <w:pStyle w:val="NormalWeb"/>
        <w:divId w:val="430587081"/>
        <w:rPr>
          <w:sz w:val="16"/>
          <w:szCs w:val="16"/>
        </w:rPr>
      </w:pPr>
      <w:hyperlink w:anchor="toc" w:history="1">
        <w:r w:rsidR="00FB4E75" w:rsidRPr="00E7268E">
          <w:rPr>
            <w:rStyle w:val="Hyperlink"/>
            <w:b/>
            <w:bCs/>
            <w:sz w:val="16"/>
            <w:szCs w:val="16"/>
          </w:rPr>
          <w:t>Return to Table of Contents</w:t>
        </w:r>
      </w:hyperlink>
    </w:p>
    <w:p w:rsidR="00BC4C4C" w:rsidRPr="00E7268E" w:rsidRDefault="00EB2809">
      <w:pPr>
        <w:rPr>
          <w:rFonts w:eastAsia="Times New Roman"/>
          <w:sz w:val="16"/>
          <w:szCs w:val="16"/>
        </w:rPr>
        <w:sectPr w:rsidR="00BC4C4C" w:rsidRPr="00E7268E" w:rsidSect="00BC4C4C">
          <w:pgSz w:w="15840" w:h="12240" w:orient="landscape"/>
          <w:pgMar w:top="720" w:right="270" w:bottom="720" w:left="270" w:header="720" w:footer="720" w:gutter="0"/>
          <w:cols w:space="720"/>
          <w:docGrid w:linePitch="360"/>
        </w:sectPr>
      </w:pPr>
      <w:r w:rsidRPr="00EB2809">
        <w:rPr>
          <w:rFonts w:eastAsia="Times New Roman"/>
          <w:sz w:val="16"/>
          <w:szCs w:val="16"/>
        </w:rPr>
        <w:pict>
          <v:rect id="_x0000_i1047" style="width:0;height:3pt" o:hralign="center" o:hrstd="t" o:hrnoshade="t" o:hr="t" fillcolor="black" stroked="f"/>
        </w:pict>
      </w:r>
    </w:p>
    <w:p w:rsidR="00FB4E75" w:rsidRPr="00FB4E75" w:rsidRDefault="00FB4E75">
      <w:pPr>
        <w:rPr>
          <w:rFonts w:eastAsia="Times New Roman"/>
          <w:sz w:val="20"/>
          <w:szCs w:val="20"/>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47"/>
        <w:gridCol w:w="975"/>
        <w:gridCol w:w="975"/>
        <w:gridCol w:w="975"/>
        <w:gridCol w:w="975"/>
      </w:tblGrid>
      <w:tr w:rsidR="00FB4E75" w:rsidRPr="00FB4E7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pStyle w:val="NormalWeb"/>
              <w:jc w:val="center"/>
              <w:rPr>
                <w:sz w:val="20"/>
                <w:szCs w:val="20"/>
              </w:rPr>
            </w:pPr>
            <w:r w:rsidRPr="00FB4E75">
              <w:rPr>
                <w:b/>
                <w:bCs/>
                <w:sz w:val="20"/>
                <w:szCs w:val="20"/>
              </w:rPr>
              <w:t>ADVANCED OXYGEN TECHNOLOGIES, INC.</w:t>
            </w:r>
          </w:p>
        </w:tc>
      </w:tr>
      <w:tr w:rsidR="00FB4E75" w:rsidRPr="00FB4E7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center"/>
              <w:rPr>
                <w:rFonts w:eastAsia="Times New Roman"/>
                <w:sz w:val="20"/>
                <w:szCs w:val="20"/>
              </w:rPr>
            </w:pPr>
            <w:r w:rsidRPr="00FB4E75">
              <w:rPr>
                <w:rFonts w:eastAsia="Times New Roman"/>
                <w:b/>
                <w:bCs/>
                <w:sz w:val="20"/>
                <w:szCs w:val="20"/>
              </w:rPr>
              <w:t>Consolidated Statement of Cash Flow </w:t>
            </w:r>
          </w:p>
        </w:tc>
      </w:tr>
      <w:tr w:rsidR="00FB4E75" w:rsidRPr="00FB4E75">
        <w:trPr>
          <w:tblCellSpacing w:w="0" w:type="dxa"/>
        </w:trPr>
        <w:tc>
          <w:tcPr>
            <w:tcW w:w="30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center"/>
              <w:rPr>
                <w:sz w:val="20"/>
                <w:szCs w:val="20"/>
              </w:rPr>
            </w:pPr>
            <w:r w:rsidRPr="00FB4E75">
              <w:rPr>
                <w:sz w:val="20"/>
                <w:szCs w:val="20"/>
              </w:rPr>
              <w:t>3 Month Period Ending March 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center"/>
              <w:rPr>
                <w:sz w:val="20"/>
                <w:szCs w:val="20"/>
              </w:rPr>
            </w:pPr>
            <w:r w:rsidRPr="00FB4E75">
              <w:rPr>
                <w:sz w:val="20"/>
                <w:szCs w:val="20"/>
              </w:rPr>
              <w:t>9 Month Period Ending March 31,</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pStyle w:val="NormalWeb"/>
              <w:jc w:val="center"/>
              <w:rPr>
                <w:sz w:val="20"/>
                <w:szCs w:val="20"/>
              </w:rPr>
            </w:pPr>
            <w:r w:rsidRPr="00FB4E75">
              <w:rPr>
                <w:b/>
                <w:bCs/>
                <w:sz w:val="20"/>
                <w:szCs w:val="20"/>
              </w:rPr>
              <w:t xml:space="preserve">(unaudited)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pStyle w:val="NormalWeb"/>
              <w:jc w:val="center"/>
              <w:rPr>
                <w:sz w:val="20"/>
                <w:szCs w:val="20"/>
              </w:rPr>
            </w:pPr>
            <w:r w:rsidRPr="00FB4E75">
              <w:rPr>
                <w:b/>
                <w:bCs/>
                <w:sz w:val="20"/>
                <w:szCs w:val="20"/>
              </w:rPr>
              <w:t xml:space="preserve">(unaudited) </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b/>
                <w:bCs/>
                <w:sz w:val="20"/>
                <w:szCs w:val="20"/>
              </w:rPr>
              <w:t>2015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b/>
                <w:bCs/>
                <w:sz w:val="20"/>
                <w:szCs w:val="20"/>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b/>
                <w:bCs/>
                <w:sz w:val="20"/>
                <w:szCs w:val="20"/>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pStyle w:val="NormalWeb"/>
              <w:jc w:val="right"/>
              <w:rPr>
                <w:sz w:val="20"/>
                <w:szCs w:val="20"/>
              </w:rPr>
            </w:pPr>
            <w:r w:rsidRPr="00FB4E75">
              <w:rPr>
                <w:b/>
                <w:bCs/>
                <w:sz w:val="20"/>
                <w:szCs w:val="20"/>
              </w:rPr>
              <w:t>2014</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b/>
                <w:bCs/>
                <w:sz w:val="20"/>
                <w:szCs w:val="20"/>
              </w:rPr>
              <w:t>Cash flow from operating activities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4,215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1,038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4,459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(40,356)</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Adjustments to reconcile net loss to cash provided by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Note Payable, short term</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855</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Accounts Receivable &amp; Value Added Tax Receivable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Accounts Payable and Accrued Expenses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1,950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(150)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(20,490)</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Taxes Payable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356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1,779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(51,072)</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24,138</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Total Adjustments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2,306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1,779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(278)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(46,570)</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Net Cash provided (used) by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6,521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2,817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4,181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(86,926)</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b/>
                <w:bCs/>
                <w:sz w:val="20"/>
                <w:szCs w:val="20"/>
              </w:rPr>
              <w:t>Cash Flows from financing activities: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b/>
                <w:bCs/>
                <w:sz w:val="20"/>
                <w:szCs w:val="20"/>
              </w:rPr>
              <w:t>Proceeds From:</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Bank Long Term Debt,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195,172</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Note Payable Crossfield: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150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2,250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9,859</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Used For: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Long Term Debt, Subsidiary</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(5,875)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(9,430)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(19,711)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(38,199)</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b/>
                <w:bCs/>
                <w:sz w:val="20"/>
                <w:szCs w:val="20"/>
              </w:rPr>
              <w:t>Net Cash Flows used in Financing Activities: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(5,725)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(6,613)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(17,461)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166,832</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b/>
                <w:bCs/>
                <w:sz w:val="20"/>
                <w:szCs w:val="20"/>
              </w:rPr>
              <w:t>Net Increase (decrease) in Cash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796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(6,613)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(13,280)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b/>
                <w:bCs/>
                <w:sz w:val="20"/>
                <w:szCs w:val="20"/>
              </w:rPr>
              <w:t>79,906</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b/>
                <w:bCs/>
                <w:sz w:val="20"/>
                <w:szCs w:val="20"/>
              </w:rPr>
              <w:t>Cash Balance at beginning of Period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86,750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92,294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100,825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r w:rsidRPr="00FB4E75">
              <w:rPr>
                <w:rFonts w:eastAsia="Times New Roman"/>
                <w:sz w:val="20"/>
                <w:szCs w:val="20"/>
              </w:rPr>
              <w:t>5,775</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rPr>
                <w:rFonts w:eastAsia="Times New Roman"/>
                <w:sz w:val="20"/>
                <w:szCs w:val="20"/>
              </w:rPr>
            </w:pPr>
            <w:r w:rsidRPr="00FB4E75">
              <w:rPr>
                <w:rFonts w:eastAsia="Times New Roman"/>
                <w:b/>
                <w:bCs/>
                <w:sz w:val="20"/>
                <w:szCs w:val="20"/>
              </w:rPr>
              <w:t>Cash Balance at End of Period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87,545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85,681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87,545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right"/>
              <w:rPr>
                <w:rFonts w:eastAsia="Times New Roman"/>
                <w:sz w:val="20"/>
                <w:szCs w:val="20"/>
              </w:rPr>
            </w:pPr>
            <w:r w:rsidRPr="00FB4E75">
              <w:rPr>
                <w:rFonts w:eastAsia="Times New Roman"/>
                <w:sz w:val="20"/>
                <w:szCs w:val="20"/>
              </w:rPr>
              <w:t>85,681</w:t>
            </w:r>
          </w:p>
        </w:tc>
      </w:tr>
      <w:tr w:rsidR="00FB4E75" w:rsidRPr="00FB4E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rPr>
                <w:rFonts w:eastAsia="Times New Roman"/>
                <w:sz w:val="20"/>
                <w:szCs w:val="20"/>
              </w:rPr>
            </w:pPr>
            <w:r w:rsidRPr="00FB4E75">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B4E75" w:rsidRPr="00FB4E75" w:rsidRDefault="00FB4E75">
            <w:pPr>
              <w:jc w:val="right"/>
              <w:rPr>
                <w:rFonts w:eastAsia="Times New Roman"/>
                <w:sz w:val="20"/>
                <w:szCs w:val="20"/>
              </w:rPr>
            </w:pPr>
          </w:p>
        </w:tc>
      </w:tr>
      <w:tr w:rsidR="00FB4E75" w:rsidRPr="00FB4E7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EEFF"/>
            <w:hideMark/>
          </w:tcPr>
          <w:p w:rsidR="00FB4E75" w:rsidRPr="00FB4E75" w:rsidRDefault="00FB4E75">
            <w:pPr>
              <w:jc w:val="center"/>
              <w:rPr>
                <w:rFonts w:eastAsia="Times New Roman"/>
                <w:sz w:val="20"/>
                <w:szCs w:val="20"/>
              </w:rPr>
            </w:pPr>
            <w:r w:rsidRPr="00FB4E75">
              <w:rPr>
                <w:rFonts w:eastAsia="Times New Roman"/>
                <w:sz w:val="20"/>
                <w:szCs w:val="20"/>
              </w:rPr>
              <w:t> </w:t>
            </w:r>
            <w:r w:rsidRPr="00FB4E75">
              <w:rPr>
                <w:rFonts w:eastAsia="Times New Roman"/>
                <w:b/>
                <w:bCs/>
                <w:sz w:val="20"/>
                <w:szCs w:val="20"/>
              </w:rPr>
              <w:t>See accompanying notes to financial statements.</w:t>
            </w:r>
          </w:p>
        </w:tc>
      </w:tr>
    </w:tbl>
    <w:p w:rsidR="002B0AB4" w:rsidRDefault="002B0AB4">
      <w:pPr>
        <w:pStyle w:val="NormalWeb"/>
        <w:rPr>
          <w:b/>
          <w:bCs/>
          <w:sz w:val="20"/>
          <w:szCs w:val="20"/>
        </w:rPr>
      </w:pPr>
    </w:p>
    <w:p w:rsidR="002B0AB4" w:rsidRDefault="002B0AB4">
      <w:pPr>
        <w:pStyle w:val="NormalWeb"/>
        <w:rPr>
          <w:b/>
          <w:bCs/>
          <w:sz w:val="20"/>
          <w:szCs w:val="20"/>
        </w:rPr>
      </w:pPr>
    </w:p>
    <w:p w:rsidR="002B0AB4" w:rsidRDefault="002B0AB4">
      <w:pPr>
        <w:pStyle w:val="NormalWeb"/>
        <w:rPr>
          <w:b/>
          <w:bCs/>
          <w:sz w:val="20"/>
          <w:szCs w:val="20"/>
        </w:rPr>
      </w:pPr>
    </w:p>
    <w:p w:rsidR="002B0AB4" w:rsidRDefault="002B0AB4">
      <w:pPr>
        <w:pStyle w:val="NormalWeb"/>
        <w:rPr>
          <w:b/>
          <w:bCs/>
          <w:sz w:val="20"/>
          <w:szCs w:val="20"/>
        </w:rPr>
      </w:pPr>
    </w:p>
    <w:p w:rsidR="002B0AB4" w:rsidRDefault="002B0AB4">
      <w:pPr>
        <w:pStyle w:val="NormalWeb"/>
        <w:rPr>
          <w:b/>
          <w:bCs/>
          <w:sz w:val="20"/>
          <w:szCs w:val="20"/>
        </w:rPr>
      </w:pPr>
    </w:p>
    <w:p w:rsidR="002B0AB4" w:rsidRDefault="002B0AB4">
      <w:pPr>
        <w:pStyle w:val="NormalWeb"/>
        <w:rPr>
          <w:b/>
          <w:bCs/>
          <w:sz w:val="20"/>
          <w:szCs w:val="20"/>
        </w:rPr>
      </w:pPr>
    </w:p>
    <w:p w:rsidR="002B0AB4" w:rsidRDefault="002B0AB4">
      <w:pPr>
        <w:pStyle w:val="NormalWeb"/>
        <w:rPr>
          <w:b/>
          <w:bCs/>
          <w:sz w:val="20"/>
          <w:szCs w:val="20"/>
        </w:rPr>
      </w:pPr>
    </w:p>
    <w:p w:rsidR="00FB4E75" w:rsidRPr="00FB4E75" w:rsidRDefault="00EB2809">
      <w:pPr>
        <w:pStyle w:val="NormalWeb"/>
        <w:rPr>
          <w:sz w:val="20"/>
          <w:szCs w:val="20"/>
        </w:rPr>
      </w:pPr>
      <w:hyperlink w:anchor="toc" w:history="1">
        <w:r w:rsidR="00FB4E75" w:rsidRPr="00FB4E75">
          <w:rPr>
            <w:rStyle w:val="Hyperlink"/>
            <w:b/>
            <w:bCs/>
            <w:sz w:val="20"/>
            <w:szCs w:val="20"/>
          </w:rPr>
          <w:t>Return to Table of Contents</w:t>
        </w:r>
      </w:hyperlink>
    </w:p>
    <w:p w:rsidR="002B0AB4" w:rsidRDefault="00EB2809">
      <w:pPr>
        <w:rPr>
          <w:rFonts w:eastAsia="Times New Roman"/>
          <w:sz w:val="20"/>
          <w:szCs w:val="20"/>
        </w:rPr>
      </w:pPr>
      <w:r w:rsidRPr="00EB2809">
        <w:rPr>
          <w:rFonts w:eastAsia="Times New Roman"/>
          <w:sz w:val="20"/>
          <w:szCs w:val="20"/>
        </w:rPr>
        <w:pict>
          <v:rect id="_x0000_i1048" style="width:0;height:3pt" o:hralign="center" o:hrstd="t" o:hrnoshade="t" o:hr="t" fillcolor="black" stroked="f"/>
        </w:pict>
      </w:r>
    </w:p>
    <w:p w:rsidR="00FB4E75" w:rsidRPr="00FE1CEA" w:rsidRDefault="002B0AB4" w:rsidP="00FE1CEA">
      <w:pPr>
        <w:rPr>
          <w:rFonts w:eastAsia="Times New Roman"/>
          <w:sz w:val="18"/>
          <w:szCs w:val="18"/>
        </w:rPr>
      </w:pPr>
      <w:r>
        <w:rPr>
          <w:rFonts w:eastAsia="Times New Roman"/>
          <w:sz w:val="20"/>
          <w:szCs w:val="20"/>
        </w:rPr>
        <w:br w:type="page"/>
      </w:r>
      <w:bookmarkStart w:id="2" w:name="notes"/>
      <w:bookmarkEnd w:id="2"/>
      <w:r w:rsidR="00FB4E75" w:rsidRPr="00FE1CEA">
        <w:rPr>
          <w:b/>
          <w:bCs/>
          <w:sz w:val="18"/>
          <w:szCs w:val="18"/>
        </w:rPr>
        <w:lastRenderedPageBreak/>
        <w:t>NOTE 1- ORGANIZATION AND LINE OF BUSINESS</w:t>
      </w:r>
    </w:p>
    <w:p w:rsidR="00FB4E75" w:rsidRPr="00FE1CEA" w:rsidRDefault="00FB4E75">
      <w:pPr>
        <w:pStyle w:val="NormalWeb"/>
        <w:rPr>
          <w:sz w:val="18"/>
          <w:szCs w:val="18"/>
        </w:rPr>
      </w:pPr>
      <w:r w:rsidRPr="00FE1CEA">
        <w:rPr>
          <w:b/>
          <w:bCs/>
          <w:sz w:val="18"/>
          <w:szCs w:val="18"/>
        </w:rPr>
        <w:t>LINE OF BUSINESS</w:t>
      </w:r>
    </w:p>
    <w:p w:rsidR="00FB4E75" w:rsidRPr="00FE1CEA" w:rsidRDefault="00FB4E75">
      <w:pPr>
        <w:pStyle w:val="NormalWeb"/>
        <w:rPr>
          <w:sz w:val="18"/>
          <w:szCs w:val="18"/>
        </w:rPr>
      </w:pPr>
      <w:r w:rsidRPr="00FE1CEA">
        <w:rPr>
          <w:sz w:val="18"/>
          <w:szCs w:val="18"/>
        </w:rPr>
        <w:t>Organization:</w:t>
      </w:r>
    </w:p>
    <w:p w:rsidR="00FB4E75" w:rsidRPr="00FE1CEA" w:rsidRDefault="00FB4E75">
      <w:pPr>
        <w:pStyle w:val="NormalWeb"/>
        <w:rPr>
          <w:sz w:val="18"/>
          <w:szCs w:val="18"/>
        </w:rPr>
      </w:pPr>
      <w:r w:rsidRPr="00FE1CEA">
        <w:rPr>
          <w:sz w:val="18"/>
          <w:szCs w:val="18"/>
        </w:rPr>
        <w:t>Advanced Oxygen Technologies, Inc. (formerly Aquanautic Corporation) (the "Company") was originally formed 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had a high affinity for oxygen. In 1993 the Company discontinued those operations.</w:t>
      </w:r>
    </w:p>
    <w:p w:rsidR="00FB4E75" w:rsidRPr="00FE1CEA" w:rsidRDefault="00FB4E75">
      <w:pPr>
        <w:pStyle w:val="NormalWeb"/>
        <w:rPr>
          <w:sz w:val="18"/>
          <w:szCs w:val="18"/>
        </w:rPr>
      </w:pPr>
      <w:r w:rsidRPr="00FE1CEA">
        <w:rPr>
          <w:sz w:val="18"/>
          <w:szCs w:val="18"/>
        </w:rPr>
        <w:t>Lines of Business:</w:t>
      </w:r>
    </w:p>
    <w:p w:rsidR="00FB4E75" w:rsidRPr="00FE1CEA" w:rsidRDefault="00FB4E75">
      <w:pPr>
        <w:pStyle w:val="NormalWeb"/>
        <w:rPr>
          <w:sz w:val="18"/>
          <w:szCs w:val="18"/>
        </w:rPr>
      </w:pPr>
      <w:r w:rsidRPr="00FE1CEA">
        <w:rPr>
          <w:sz w:val="18"/>
          <w:szCs w:val="18"/>
        </w:rPr>
        <w:t>The Company's operations began again in 1997. The Company, through its wholly owned subsidiary ANV owns income producing commercial real estate leased until 2026. The real estate consists solely of the land with no buildings or improvements ("Land"). All improvements on the Land are those of the tenant.</w:t>
      </w:r>
    </w:p>
    <w:p w:rsidR="00FB4E75" w:rsidRPr="00FE1CEA" w:rsidRDefault="00FB4E75">
      <w:pPr>
        <w:pStyle w:val="NormalWeb"/>
        <w:rPr>
          <w:sz w:val="18"/>
          <w:szCs w:val="18"/>
        </w:rPr>
      </w:pPr>
      <w:r w:rsidRPr="00FE1CEA">
        <w:rPr>
          <w:b/>
          <w:bCs/>
          <w:sz w:val="18"/>
          <w:szCs w:val="18"/>
        </w:rPr>
        <w:t>NOTE 2 - SUMMARY OF SIGNIFICANT ACCOUNTING POLICIES:</w:t>
      </w:r>
      <w:r w:rsidRPr="00FE1CEA">
        <w:rPr>
          <w:sz w:val="18"/>
          <w:szCs w:val="18"/>
        </w:rPr>
        <w:br/>
      </w:r>
      <w:r w:rsidRPr="00FE1CEA">
        <w:rPr>
          <w:sz w:val="18"/>
          <w:szCs w:val="18"/>
        </w:rPr>
        <w:br/>
      </w:r>
      <w:r w:rsidRPr="00FE1CEA">
        <w:rPr>
          <w:i/>
          <w:iCs/>
          <w:sz w:val="18"/>
          <w:szCs w:val="18"/>
        </w:rPr>
        <w:t>Revenue Recognition</w:t>
      </w:r>
      <w:r w:rsidRPr="00FE1CEA">
        <w:rPr>
          <w:sz w:val="18"/>
          <w:szCs w:val="18"/>
        </w:rPr>
        <w:t>:</w:t>
      </w:r>
    </w:p>
    <w:p w:rsidR="00FB4E75" w:rsidRPr="00FE1CEA" w:rsidRDefault="00FB4E75">
      <w:pPr>
        <w:pStyle w:val="NormalWeb"/>
        <w:rPr>
          <w:sz w:val="18"/>
          <w:szCs w:val="18"/>
        </w:rPr>
      </w:pPr>
      <w:r w:rsidRPr="00FE1CEA">
        <w:rPr>
          <w:i/>
          <w:iCs/>
          <w:sz w:val="18"/>
          <w:szCs w:val="18"/>
        </w:rPr>
        <w:t xml:space="preserve">Recognition of rental income: </w:t>
      </w:r>
      <w:r w:rsidRPr="00FE1CEA">
        <w:rPr>
          <w:sz w:val="18"/>
          <w:szCs w:val="18"/>
        </w:rPr>
        <w:t>Rental income for commercial property leases is recognized on a straight-line basis over the respective lease terms.</w:t>
      </w:r>
    </w:p>
    <w:p w:rsidR="00FB4E75" w:rsidRPr="00FE1CEA" w:rsidRDefault="00FB4E75">
      <w:pPr>
        <w:pStyle w:val="NormalWeb"/>
        <w:rPr>
          <w:sz w:val="18"/>
          <w:szCs w:val="18"/>
        </w:rPr>
      </w:pPr>
      <w:r w:rsidRPr="00FE1CEA">
        <w:rPr>
          <w:i/>
          <w:iCs/>
          <w:sz w:val="18"/>
          <w:szCs w:val="18"/>
        </w:rPr>
        <w:t>Real Estate Accounting Principles</w:t>
      </w:r>
      <w:r w:rsidRPr="00FE1CEA">
        <w:rPr>
          <w:sz w:val="18"/>
          <w:szCs w:val="18"/>
        </w:rPr>
        <w:t>: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FB4E75" w:rsidRPr="00FE1CEA" w:rsidRDefault="00FB4E75">
      <w:pPr>
        <w:rPr>
          <w:rFonts w:eastAsia="Times New Roman"/>
          <w:sz w:val="18"/>
          <w:szCs w:val="18"/>
        </w:rPr>
      </w:pPr>
      <w:r w:rsidRPr="00FE1CEA">
        <w:rPr>
          <w:rFonts w:eastAsia="Times New Roman"/>
          <w:i/>
          <w:iCs/>
          <w:sz w:val="18"/>
          <w:szCs w:val="18"/>
        </w:rPr>
        <w:t>Revenue recognition on the sale of real estate:</w:t>
      </w:r>
      <w:r w:rsidRPr="00FE1CEA">
        <w:rPr>
          <w:rFonts w:eastAsia="Times New Roman"/>
          <w:sz w:val="18"/>
          <w:szCs w:val="18"/>
        </w:rPr>
        <w:t xml:space="preserve"> </w:t>
      </w:r>
    </w:p>
    <w:p w:rsidR="00FB4E75" w:rsidRPr="00FE1CEA" w:rsidRDefault="00FB4E75">
      <w:pPr>
        <w:pStyle w:val="NormalWeb"/>
        <w:rPr>
          <w:sz w:val="18"/>
          <w:szCs w:val="18"/>
        </w:rPr>
      </w:pPr>
      <w:r w:rsidRPr="00FE1CEA">
        <w:rPr>
          <w:sz w:val="18"/>
          <w:szCs w:val="18"/>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FB4E75" w:rsidRPr="00FE1CEA" w:rsidRDefault="00FB4E75">
      <w:pPr>
        <w:spacing w:before="100" w:beforeAutospacing="1" w:after="240"/>
        <w:rPr>
          <w:sz w:val="18"/>
          <w:szCs w:val="18"/>
        </w:rPr>
      </w:pPr>
      <w:r w:rsidRPr="00FE1CEA">
        <w:rPr>
          <w:b/>
          <w:bCs/>
          <w:i/>
          <w:iCs/>
          <w:sz w:val="18"/>
          <w:szCs w:val="18"/>
        </w:rPr>
        <w:t>Real Estate Investments</w:t>
      </w:r>
      <w:r w:rsidRPr="00FE1CEA">
        <w:rPr>
          <w:b/>
          <w:bCs/>
          <w:i/>
          <w:iCs/>
          <w:sz w:val="18"/>
          <w:szCs w:val="18"/>
        </w:rPr>
        <w:br/>
      </w:r>
      <w:r w:rsidRPr="00FE1CEA">
        <w:rPr>
          <w:sz w:val="18"/>
          <w:szCs w:val="18"/>
        </w:rPr>
        <w:br/>
      </w:r>
      <w:r w:rsidRPr="00FE1CEA">
        <w:rPr>
          <w:i/>
          <w:iCs/>
          <w:sz w:val="18"/>
          <w:szCs w:val="18"/>
        </w:rPr>
        <w:t>Depreciation and Amortization</w:t>
      </w:r>
    </w:p>
    <w:p w:rsidR="00FB4E75" w:rsidRPr="00FE1CEA" w:rsidRDefault="00FB4E75">
      <w:pPr>
        <w:spacing w:before="100" w:beforeAutospacing="1" w:after="240"/>
        <w:rPr>
          <w:sz w:val="18"/>
          <w:szCs w:val="18"/>
        </w:rPr>
      </w:pPr>
      <w:r w:rsidRPr="00FE1CEA">
        <w:rPr>
          <w:sz w:val="18"/>
          <w:szCs w:val="18"/>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 three to 40 years, buildings and building improvements: three to 40 years, and furniture and equipment: one to 20 years.</w:t>
      </w:r>
    </w:p>
    <w:p w:rsidR="00FB4E75" w:rsidRPr="00FE1CEA" w:rsidRDefault="00EB2809">
      <w:pPr>
        <w:rPr>
          <w:rFonts w:eastAsia="Times New Roman"/>
          <w:sz w:val="18"/>
          <w:szCs w:val="18"/>
        </w:rPr>
      </w:pPr>
      <w:hyperlink w:anchor="toc" w:history="1">
        <w:r w:rsidR="00FB4E75" w:rsidRPr="00FE1CEA">
          <w:rPr>
            <w:rStyle w:val="Hyperlink"/>
            <w:rFonts w:eastAsia="Times New Roman"/>
            <w:b/>
            <w:bCs/>
            <w:sz w:val="18"/>
            <w:szCs w:val="18"/>
          </w:rPr>
          <w:t>Return to Table of Contents</w:t>
        </w:r>
      </w:hyperlink>
      <w:r w:rsidR="00FB4E75" w:rsidRPr="00FE1CEA">
        <w:rPr>
          <w:rFonts w:eastAsia="Times New Roman"/>
          <w:sz w:val="18"/>
          <w:szCs w:val="18"/>
        </w:rPr>
        <w:t xml:space="preserve"> </w:t>
      </w:r>
    </w:p>
    <w:p w:rsidR="00FB4E75" w:rsidRDefault="00EB2809">
      <w:pPr>
        <w:rPr>
          <w:rFonts w:eastAsia="Times New Roman"/>
          <w:sz w:val="18"/>
          <w:szCs w:val="18"/>
        </w:rPr>
      </w:pPr>
      <w:r w:rsidRPr="00EB2809">
        <w:rPr>
          <w:rFonts w:eastAsia="Times New Roman"/>
          <w:sz w:val="18"/>
          <w:szCs w:val="18"/>
        </w:rPr>
        <w:pict>
          <v:rect id="_x0000_i1049" style="width:0;height:3pt" o:hralign="center" o:hrstd="t" o:hrnoshade="t" o:hr="t" fillcolor="black" stroked="f"/>
        </w:pict>
      </w:r>
    </w:p>
    <w:p w:rsidR="00370FF0" w:rsidRDefault="00370FF0">
      <w:pPr>
        <w:rPr>
          <w:rFonts w:eastAsia="Times New Roman"/>
          <w:sz w:val="18"/>
          <w:szCs w:val="18"/>
        </w:rPr>
      </w:pPr>
    </w:p>
    <w:p w:rsidR="00370FF0" w:rsidRDefault="00370FF0">
      <w:pPr>
        <w:rPr>
          <w:rFonts w:eastAsia="Times New Roman"/>
          <w:sz w:val="18"/>
          <w:szCs w:val="18"/>
        </w:rPr>
      </w:pPr>
    </w:p>
    <w:p w:rsidR="00370FF0" w:rsidRDefault="00370FF0">
      <w:pPr>
        <w:rPr>
          <w:rFonts w:eastAsia="Times New Roman"/>
          <w:sz w:val="18"/>
          <w:szCs w:val="18"/>
        </w:rPr>
      </w:pPr>
    </w:p>
    <w:p w:rsidR="00370FF0" w:rsidRDefault="00370FF0">
      <w:pPr>
        <w:rPr>
          <w:rFonts w:eastAsia="Times New Roman"/>
          <w:sz w:val="18"/>
          <w:szCs w:val="18"/>
        </w:rPr>
      </w:pPr>
    </w:p>
    <w:p w:rsidR="00370FF0" w:rsidRDefault="00370FF0">
      <w:pPr>
        <w:rPr>
          <w:rFonts w:eastAsia="Times New Roman"/>
          <w:sz w:val="18"/>
          <w:szCs w:val="18"/>
        </w:rPr>
      </w:pPr>
    </w:p>
    <w:p w:rsidR="00370FF0" w:rsidRDefault="00370FF0">
      <w:pPr>
        <w:rPr>
          <w:rFonts w:eastAsia="Times New Roman"/>
          <w:sz w:val="18"/>
          <w:szCs w:val="18"/>
        </w:rPr>
      </w:pPr>
    </w:p>
    <w:p w:rsidR="00370FF0" w:rsidRDefault="00370FF0">
      <w:pPr>
        <w:rPr>
          <w:rFonts w:eastAsia="Times New Roman"/>
          <w:sz w:val="18"/>
          <w:szCs w:val="18"/>
        </w:rPr>
      </w:pPr>
    </w:p>
    <w:p w:rsidR="00370FF0" w:rsidRDefault="00370FF0">
      <w:pPr>
        <w:rPr>
          <w:rFonts w:eastAsia="Times New Roman"/>
          <w:sz w:val="18"/>
          <w:szCs w:val="18"/>
        </w:rPr>
      </w:pPr>
    </w:p>
    <w:p w:rsidR="00370FF0" w:rsidRDefault="00370FF0">
      <w:pPr>
        <w:rPr>
          <w:rFonts w:eastAsia="Times New Roman"/>
          <w:sz w:val="18"/>
          <w:szCs w:val="18"/>
        </w:rPr>
      </w:pPr>
    </w:p>
    <w:p w:rsidR="00370FF0" w:rsidRPr="00FE1CEA" w:rsidRDefault="00370FF0">
      <w:pPr>
        <w:rPr>
          <w:rFonts w:eastAsia="Times New Roman"/>
          <w:sz w:val="18"/>
          <w:szCs w:val="18"/>
        </w:rPr>
      </w:pPr>
    </w:p>
    <w:p w:rsidR="00FE1CEA" w:rsidRPr="00FE1CEA" w:rsidRDefault="00FE1CEA">
      <w:pPr>
        <w:rPr>
          <w:rFonts w:eastAsia="Times New Roman"/>
          <w:sz w:val="18"/>
          <w:szCs w:val="18"/>
        </w:rPr>
      </w:pPr>
    </w:p>
    <w:p w:rsidR="00FB4E75" w:rsidRPr="00FE1CEA" w:rsidRDefault="00FB4E75">
      <w:pPr>
        <w:spacing w:before="100" w:beforeAutospacing="1" w:after="240"/>
        <w:rPr>
          <w:sz w:val="18"/>
          <w:szCs w:val="18"/>
        </w:rPr>
      </w:pPr>
      <w:r w:rsidRPr="00FE1CEA">
        <w:rPr>
          <w:i/>
          <w:iCs/>
          <w:sz w:val="18"/>
          <w:szCs w:val="18"/>
        </w:rPr>
        <w:lastRenderedPageBreak/>
        <w:t>Impairment of Real Estate Investments</w:t>
      </w:r>
    </w:p>
    <w:p w:rsidR="00FB4E75" w:rsidRPr="00FE1CEA" w:rsidRDefault="00FB4E75">
      <w:pPr>
        <w:spacing w:before="100" w:beforeAutospacing="1" w:after="100" w:afterAutospacing="1"/>
        <w:rPr>
          <w:sz w:val="18"/>
          <w:szCs w:val="18"/>
        </w:rPr>
      </w:pPr>
      <w:r w:rsidRPr="00FE1CEA">
        <w:rPr>
          <w:sz w:val="18"/>
          <w:szCs w:val="18"/>
        </w:rPr>
        <w:t>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 The Company recorded no impairment loss on its real estate investments during the period ending March 31, 2015.</w:t>
      </w:r>
    </w:p>
    <w:p w:rsidR="00FB4E75" w:rsidRPr="00FE1CEA" w:rsidRDefault="00FB4E75">
      <w:pPr>
        <w:rPr>
          <w:rFonts w:eastAsia="Times New Roman"/>
          <w:sz w:val="18"/>
          <w:szCs w:val="18"/>
        </w:rPr>
      </w:pPr>
      <w:r w:rsidRPr="00FE1CEA">
        <w:rPr>
          <w:rFonts w:eastAsia="Times New Roman"/>
          <w:i/>
          <w:iCs/>
          <w:sz w:val="18"/>
          <w:szCs w:val="18"/>
        </w:rPr>
        <w:t>Interest Recognition on Notes Receivable</w:t>
      </w:r>
    </w:p>
    <w:p w:rsidR="00FB4E75" w:rsidRPr="00FE1CEA" w:rsidRDefault="00FB4E75">
      <w:pPr>
        <w:pStyle w:val="NormalWeb"/>
        <w:rPr>
          <w:sz w:val="18"/>
          <w:szCs w:val="18"/>
        </w:rPr>
      </w:pPr>
      <w:r w:rsidRPr="00FE1CEA">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FB4E75" w:rsidRPr="00FE1CEA" w:rsidRDefault="00FB4E75">
      <w:pPr>
        <w:pStyle w:val="NormalWeb"/>
        <w:rPr>
          <w:sz w:val="18"/>
          <w:szCs w:val="18"/>
        </w:rPr>
      </w:pPr>
      <w:r w:rsidRPr="00FE1CEA">
        <w:rPr>
          <w:i/>
          <w:iCs/>
          <w:sz w:val="18"/>
          <w:szCs w:val="18"/>
        </w:rPr>
        <w:t>Foreign currency translation:</w:t>
      </w:r>
    </w:p>
    <w:p w:rsidR="00FB4E75" w:rsidRPr="00FE1CEA" w:rsidRDefault="00FB4E75">
      <w:pPr>
        <w:pStyle w:val="NormalWeb"/>
        <w:rPr>
          <w:sz w:val="18"/>
          <w:szCs w:val="18"/>
        </w:rPr>
      </w:pPr>
      <w:r w:rsidRPr="00FE1CEA">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sidRPr="00FE1CEA">
        <w:rPr>
          <w:sz w:val="18"/>
          <w:szCs w:val="18"/>
        </w:rPr>
        <w:br/>
      </w:r>
      <w:r w:rsidRPr="00FE1CEA">
        <w:rPr>
          <w:sz w:val="18"/>
          <w:szCs w:val="18"/>
        </w:rPr>
        <w:br/>
      </w:r>
      <w:r w:rsidRPr="00FE1CEA">
        <w:rPr>
          <w:i/>
          <w:iCs/>
          <w:sz w:val="18"/>
          <w:szCs w:val="18"/>
        </w:rPr>
        <w:t>Income Taxes:</w:t>
      </w:r>
    </w:p>
    <w:p w:rsidR="00FB4E75" w:rsidRPr="00FE1CEA" w:rsidRDefault="00FB4E75">
      <w:pPr>
        <w:pStyle w:val="NormalWeb"/>
        <w:rPr>
          <w:sz w:val="18"/>
          <w:szCs w:val="18"/>
        </w:rPr>
      </w:pPr>
      <w:r w:rsidRPr="00FE1CEA">
        <w:rPr>
          <w:sz w:val="18"/>
          <w:szCs w:val="18"/>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sidRPr="00FE1CEA">
        <w:rPr>
          <w:sz w:val="18"/>
          <w:szCs w:val="18"/>
        </w:rPr>
        <w:br/>
      </w:r>
      <w:r w:rsidRPr="00FE1CEA">
        <w:rPr>
          <w:sz w:val="18"/>
          <w:szCs w:val="18"/>
        </w:rPr>
        <w:br/>
      </w:r>
      <w:r w:rsidRPr="00FE1CEA">
        <w:rPr>
          <w:i/>
          <w:iCs/>
          <w:sz w:val="18"/>
          <w:szCs w:val="18"/>
        </w:rPr>
        <w:t>Net Earnings per Share:</w:t>
      </w:r>
    </w:p>
    <w:p w:rsidR="00FB4E75" w:rsidRPr="00FE1CEA" w:rsidRDefault="00FB4E75">
      <w:pPr>
        <w:pStyle w:val="NormalWeb"/>
        <w:rPr>
          <w:sz w:val="18"/>
          <w:szCs w:val="18"/>
        </w:rPr>
      </w:pPr>
      <w:r w:rsidRPr="00FE1CEA">
        <w:rPr>
          <w:sz w:val="18"/>
          <w:szCs w:val="18"/>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sidRPr="00FE1CEA">
        <w:rPr>
          <w:sz w:val="18"/>
          <w:szCs w:val="18"/>
        </w:rPr>
        <w:br/>
      </w:r>
      <w:r w:rsidRPr="00FE1CEA">
        <w:rPr>
          <w:sz w:val="18"/>
          <w:szCs w:val="18"/>
        </w:rPr>
        <w:br/>
      </w:r>
      <w:r w:rsidRPr="00FE1CEA">
        <w:rPr>
          <w:i/>
          <w:iCs/>
          <w:sz w:val="18"/>
          <w:szCs w:val="18"/>
        </w:rPr>
        <w:t>Cash and Cash Equivalents:</w:t>
      </w:r>
    </w:p>
    <w:p w:rsidR="00FB4E75" w:rsidRPr="00FE1CEA" w:rsidRDefault="00FB4E75">
      <w:pPr>
        <w:pStyle w:val="NormalWeb"/>
        <w:rPr>
          <w:sz w:val="18"/>
          <w:szCs w:val="18"/>
        </w:rPr>
      </w:pPr>
      <w:r w:rsidRPr="00FE1CEA">
        <w:rPr>
          <w:sz w:val="18"/>
          <w:szCs w:val="18"/>
        </w:rPr>
        <w:t>For purposes of the statement of cash flows, the Company considers all highly-liquid investments purchased with original maturities of three months or less to be cash equivalents.</w:t>
      </w:r>
      <w:r w:rsidRPr="00FE1CEA">
        <w:rPr>
          <w:sz w:val="18"/>
          <w:szCs w:val="18"/>
        </w:rPr>
        <w:br/>
      </w:r>
      <w:r w:rsidRPr="00FE1CEA">
        <w:rPr>
          <w:sz w:val="18"/>
          <w:szCs w:val="18"/>
        </w:rPr>
        <w:br/>
        <w:t>The Company maintains its cash in bank deposit accounts which, at March 31, 2015 did not exceed federally insured limits. The Company has not experienced any losses in such accounts and believes that it is not exposed to any significant credit risk on such amounts.</w:t>
      </w:r>
      <w:r w:rsidRPr="00FE1CEA">
        <w:rPr>
          <w:sz w:val="18"/>
          <w:szCs w:val="18"/>
        </w:rPr>
        <w:br/>
      </w:r>
      <w:r w:rsidRPr="00FE1CEA">
        <w:rPr>
          <w:sz w:val="18"/>
          <w:szCs w:val="18"/>
        </w:rPr>
        <w:br/>
      </w:r>
      <w:r w:rsidRPr="00FE1CEA">
        <w:rPr>
          <w:i/>
          <w:iCs/>
          <w:sz w:val="18"/>
          <w:szCs w:val="18"/>
        </w:rPr>
        <w:t>Estimates:</w:t>
      </w:r>
    </w:p>
    <w:p w:rsidR="00FB4E75" w:rsidRPr="00FE1CEA" w:rsidRDefault="00FB4E75">
      <w:pPr>
        <w:pStyle w:val="NormalWeb"/>
        <w:rPr>
          <w:sz w:val="18"/>
          <w:szCs w:val="18"/>
        </w:rPr>
      </w:pPr>
      <w:r w:rsidRPr="00FE1CEA">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sidRPr="00FE1CEA">
        <w:rPr>
          <w:sz w:val="18"/>
          <w:szCs w:val="18"/>
        </w:rPr>
        <w:br/>
      </w:r>
      <w:r w:rsidRPr="00FE1CEA">
        <w:rPr>
          <w:sz w:val="18"/>
          <w:szCs w:val="18"/>
        </w:rPr>
        <w:br/>
      </w:r>
      <w:r w:rsidRPr="00FE1CEA">
        <w:rPr>
          <w:i/>
          <w:iCs/>
          <w:sz w:val="18"/>
          <w:szCs w:val="18"/>
        </w:rPr>
        <w:t>Concentrations of Credit Risk:</w:t>
      </w:r>
    </w:p>
    <w:p w:rsidR="00FB4E75" w:rsidRPr="00FE1CEA" w:rsidRDefault="00FB4E75">
      <w:pPr>
        <w:pStyle w:val="NormalWeb"/>
        <w:rPr>
          <w:sz w:val="18"/>
          <w:szCs w:val="18"/>
        </w:rPr>
      </w:pPr>
      <w:r w:rsidRPr="00FE1CEA">
        <w:rPr>
          <w:sz w:val="18"/>
          <w:szCs w:val="18"/>
        </w:rPr>
        <w:t>Financial instruments that potentially subject the Company to major credit risk consist principally of a single subsidiary of Anton Nielsen Vojens ApS and its customer concentration.</w:t>
      </w:r>
    </w:p>
    <w:p w:rsidR="00FB4E75" w:rsidRPr="00FE1CEA" w:rsidRDefault="00EB2809">
      <w:pPr>
        <w:rPr>
          <w:rFonts w:eastAsia="Times New Roman"/>
          <w:sz w:val="18"/>
          <w:szCs w:val="18"/>
        </w:rPr>
      </w:pPr>
      <w:hyperlink w:anchor="toc" w:history="1">
        <w:r w:rsidR="00FB4E75" w:rsidRPr="00FE1CEA">
          <w:rPr>
            <w:rStyle w:val="Hyperlink"/>
            <w:rFonts w:eastAsia="Times New Roman"/>
            <w:b/>
            <w:bCs/>
            <w:sz w:val="18"/>
            <w:szCs w:val="18"/>
          </w:rPr>
          <w:t>Return to Table of Contents</w:t>
        </w:r>
      </w:hyperlink>
      <w:r w:rsidR="00FB4E75" w:rsidRPr="00FE1CEA">
        <w:rPr>
          <w:rFonts w:eastAsia="Times New Roman"/>
          <w:sz w:val="18"/>
          <w:szCs w:val="18"/>
        </w:rPr>
        <w:t xml:space="preserve"> </w:t>
      </w:r>
    </w:p>
    <w:p w:rsidR="00FB4E75" w:rsidRPr="00FE1CEA" w:rsidRDefault="00EB2809">
      <w:pPr>
        <w:rPr>
          <w:rFonts w:eastAsia="Times New Roman"/>
          <w:sz w:val="18"/>
          <w:szCs w:val="18"/>
        </w:rPr>
      </w:pPr>
      <w:r w:rsidRPr="00EB2809">
        <w:rPr>
          <w:rFonts w:eastAsia="Times New Roman"/>
          <w:sz w:val="18"/>
          <w:szCs w:val="18"/>
        </w:rPr>
        <w:pict>
          <v:rect id="_x0000_i1050" style="width:0;height:3pt" o:hralign="center" o:hrstd="t" o:hrnoshade="t" o:hr="t" fillcolor="black" stroked="f"/>
        </w:pict>
      </w:r>
    </w:p>
    <w:p w:rsidR="00370FF0" w:rsidRDefault="00370FF0">
      <w:pPr>
        <w:pStyle w:val="NormalWeb"/>
        <w:spacing w:after="240" w:afterAutospacing="0"/>
        <w:rPr>
          <w:i/>
          <w:iCs/>
          <w:sz w:val="18"/>
          <w:szCs w:val="18"/>
        </w:rPr>
      </w:pPr>
    </w:p>
    <w:p w:rsidR="00FB4E75" w:rsidRPr="00FE1CEA" w:rsidRDefault="00FB4E75">
      <w:pPr>
        <w:pStyle w:val="NormalWeb"/>
        <w:spacing w:after="240" w:afterAutospacing="0"/>
        <w:rPr>
          <w:sz w:val="18"/>
          <w:szCs w:val="18"/>
        </w:rPr>
      </w:pPr>
      <w:r w:rsidRPr="00FE1CEA">
        <w:rPr>
          <w:i/>
          <w:iCs/>
          <w:sz w:val="18"/>
          <w:szCs w:val="18"/>
        </w:rPr>
        <w:lastRenderedPageBreak/>
        <w:t>Recently Issued Accounting Standards</w:t>
      </w:r>
    </w:p>
    <w:p w:rsidR="001F1D89" w:rsidRPr="00FE1CEA" w:rsidRDefault="001F1D89" w:rsidP="001F1D89">
      <w:pPr>
        <w:pStyle w:val="NormalWeb"/>
        <w:rPr>
          <w:sz w:val="18"/>
          <w:szCs w:val="18"/>
        </w:rPr>
      </w:pPr>
      <w:r w:rsidRPr="00FE1CEA">
        <w:rPr>
          <w:sz w:val="18"/>
          <w:szCs w:val="18"/>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1F1D89" w:rsidRPr="00FE1CEA" w:rsidRDefault="001F1D89" w:rsidP="001F1D89">
      <w:pPr>
        <w:pStyle w:val="NormalWeb"/>
        <w:rPr>
          <w:sz w:val="18"/>
          <w:szCs w:val="18"/>
        </w:rPr>
      </w:pPr>
      <w:r w:rsidRPr="00FE1CEA">
        <w:rPr>
          <w:sz w:val="18"/>
          <w:szCs w:val="18"/>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1F1D89" w:rsidRPr="00FE1CEA" w:rsidRDefault="001F1D89" w:rsidP="001F1D89">
      <w:pPr>
        <w:pStyle w:val="NormalWeb"/>
        <w:rPr>
          <w:sz w:val="18"/>
          <w:szCs w:val="18"/>
        </w:rPr>
      </w:pPr>
      <w:r w:rsidRPr="00FE1CEA">
        <w:rPr>
          <w:sz w:val="18"/>
          <w:szCs w:val="18"/>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1F1D89" w:rsidRPr="00FE1CEA" w:rsidRDefault="001F1D89" w:rsidP="001F1D89">
      <w:pPr>
        <w:pStyle w:val="NormalWeb"/>
        <w:rPr>
          <w:sz w:val="18"/>
          <w:szCs w:val="18"/>
        </w:rPr>
      </w:pPr>
      <w:r w:rsidRPr="00FE1CEA">
        <w:rPr>
          <w:sz w:val="18"/>
          <w:szCs w:val="18"/>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1F1D89" w:rsidRPr="00FE1CEA" w:rsidRDefault="001F1D89" w:rsidP="001F1D89">
      <w:pPr>
        <w:pStyle w:val="NormalWeb"/>
        <w:rPr>
          <w:sz w:val="18"/>
          <w:szCs w:val="18"/>
        </w:rPr>
      </w:pPr>
      <w:r w:rsidRPr="00FE1CEA">
        <w:rPr>
          <w:sz w:val="18"/>
          <w:szCs w:val="18"/>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in the interim period ending March 31, 2015 and it does not expect the adoption to have a material impact on its consolidated financial position, results of operations or cash flows.</w:t>
      </w:r>
    </w:p>
    <w:p w:rsidR="00FB4E75" w:rsidRPr="00FE1CEA" w:rsidRDefault="001F1D89" w:rsidP="001F1D89">
      <w:pPr>
        <w:pStyle w:val="NormalWeb"/>
        <w:rPr>
          <w:sz w:val="18"/>
          <w:szCs w:val="18"/>
        </w:rPr>
      </w:pPr>
      <w:r w:rsidRPr="00FE1CEA">
        <w:rPr>
          <w:sz w:val="18"/>
          <w:szCs w:val="18"/>
        </w:rPr>
        <w:t>In May 2014, the Financial Accounting Standards Board issued ASU No. 2014-09, “Revenue from Contracts with Customers.” Under the new standard, revenue is recognized at the time a good or service is transferred to a customer for the amount of consideration received for that specific good or service. It is effective for annual reporting periods beginning after December 15, 2016, including interim reporting periods, and early adoption is not permitted. Entities may use a full retrospective approach or report the cumulative effect as of the date of adoption. We are currently evaluating the impact, if any, the adoption of this standard will have on our Consolidated Financial Statements.</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51" style="width:0;height:3pt" o:hralign="center" o:hrstd="t" o:hrnoshade="t" o:hr="t" fillcolor="black" stroked="f"/>
        </w:pict>
      </w: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6C42AE" w:rsidRDefault="006C42AE">
      <w:pPr>
        <w:pStyle w:val="NormalWeb"/>
        <w:rPr>
          <w:b/>
          <w:bCs/>
          <w:sz w:val="18"/>
          <w:szCs w:val="18"/>
        </w:rPr>
      </w:pPr>
    </w:p>
    <w:p w:rsidR="006C42AE" w:rsidRDefault="006C42AE">
      <w:pPr>
        <w:pStyle w:val="NormalWeb"/>
        <w:rPr>
          <w:b/>
          <w:bCs/>
          <w:sz w:val="18"/>
          <w:szCs w:val="18"/>
        </w:rPr>
      </w:pPr>
    </w:p>
    <w:p w:rsidR="006C42AE" w:rsidRDefault="006C42AE">
      <w:pPr>
        <w:pStyle w:val="NormalWeb"/>
        <w:rPr>
          <w:b/>
          <w:bCs/>
          <w:sz w:val="18"/>
          <w:szCs w:val="18"/>
        </w:rPr>
      </w:pPr>
    </w:p>
    <w:p w:rsidR="006C42AE" w:rsidRDefault="006C42AE">
      <w:pPr>
        <w:pStyle w:val="NormalWeb"/>
        <w:rPr>
          <w:b/>
          <w:bCs/>
          <w:sz w:val="18"/>
          <w:szCs w:val="18"/>
        </w:rPr>
      </w:pPr>
    </w:p>
    <w:p w:rsidR="00370FF0" w:rsidRDefault="00370FF0">
      <w:pPr>
        <w:pStyle w:val="NormalWeb"/>
        <w:rPr>
          <w:b/>
          <w:bCs/>
          <w:sz w:val="18"/>
          <w:szCs w:val="18"/>
        </w:rPr>
      </w:pPr>
    </w:p>
    <w:p w:rsidR="00FB4E75" w:rsidRPr="00FE1CEA" w:rsidRDefault="00FB4E75">
      <w:pPr>
        <w:pStyle w:val="NormalWeb"/>
        <w:rPr>
          <w:sz w:val="18"/>
          <w:szCs w:val="18"/>
        </w:rPr>
      </w:pPr>
      <w:r w:rsidRPr="00FE1CEA">
        <w:rPr>
          <w:b/>
          <w:bCs/>
          <w:sz w:val="18"/>
          <w:szCs w:val="18"/>
        </w:rPr>
        <w:lastRenderedPageBreak/>
        <w:t>NOTE 3 - MAJOR CUSTOMER:</w:t>
      </w:r>
    </w:p>
    <w:p w:rsidR="00FB4E75" w:rsidRPr="00FE1CEA" w:rsidRDefault="00FB4E75">
      <w:pPr>
        <w:pStyle w:val="NormalWeb"/>
        <w:rPr>
          <w:sz w:val="18"/>
          <w:szCs w:val="18"/>
        </w:rPr>
      </w:pPr>
      <w:r w:rsidRPr="00FE1CEA">
        <w:rPr>
          <w:sz w:val="18"/>
          <w:szCs w:val="18"/>
        </w:rPr>
        <w:t xml:space="preserve">The Company's subsidiary, Anton Nielsen Vojens, ApS has sales to one customer, who is a non related party. For the period ending March 31, 2015, June 30, 2014, and June 30, 2013 the major customer concentrations were as follows: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0"/>
        <w:gridCol w:w="1470"/>
        <w:gridCol w:w="1470"/>
        <w:gridCol w:w="1470"/>
      </w:tblGrid>
      <w:tr w:rsidR="00FB4E75" w:rsidRPr="00FE1CEA">
        <w:trPr>
          <w:tblCellSpacing w:w="0" w:type="dxa"/>
        </w:trPr>
        <w:tc>
          <w:tcPr>
            <w:tcW w:w="2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center"/>
              <w:rPr>
                <w:rFonts w:eastAsia="Times New Roman"/>
                <w:sz w:val="18"/>
                <w:szCs w:val="18"/>
              </w:rPr>
            </w:pPr>
            <w:r w:rsidRPr="00FE1CEA">
              <w:rPr>
                <w:rFonts w:eastAsia="Times New Roman"/>
                <w:b/>
                <w:bCs/>
                <w:sz w:val="18"/>
                <w:szCs w:val="18"/>
              </w:rPr>
              <w:t xml:space="preserve">Percent of Sales </w:t>
            </w:r>
            <w:r w:rsidRPr="00FE1CEA">
              <w:rPr>
                <w:rFonts w:eastAsia="Times New Roman"/>
                <w:b/>
                <w:bCs/>
                <w:sz w:val="18"/>
                <w:szCs w:val="18"/>
              </w:rPr>
              <w:br/>
              <w:t>for the Period ending</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center"/>
              <w:rPr>
                <w:rFonts w:eastAsia="Times New Roman"/>
                <w:sz w:val="18"/>
                <w:szCs w:val="18"/>
              </w:rPr>
            </w:pPr>
            <w:r w:rsidRPr="00FE1CEA">
              <w:rPr>
                <w:rFonts w:eastAsia="Times New Roman"/>
                <w:b/>
                <w:bCs/>
                <w:sz w:val="18"/>
                <w:szCs w:val="18"/>
              </w:rPr>
              <w:t>March 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center"/>
              <w:rPr>
                <w:rFonts w:eastAsia="Times New Roman"/>
                <w:sz w:val="18"/>
                <w:szCs w:val="18"/>
              </w:rPr>
            </w:pPr>
            <w:r w:rsidRPr="00FE1CEA">
              <w:rPr>
                <w:rFonts w:eastAsia="Times New Roman"/>
                <w:b/>
                <w:bCs/>
                <w:sz w:val="18"/>
                <w:szCs w:val="18"/>
              </w:rPr>
              <w:t>June 30,</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center"/>
              <w:rPr>
                <w:rFonts w:eastAsia="Times New Roman"/>
                <w:sz w:val="18"/>
                <w:szCs w:val="18"/>
              </w:rPr>
            </w:pPr>
            <w:r w:rsidRPr="00FE1CEA">
              <w:rPr>
                <w:rFonts w:eastAsia="Times New Roman"/>
                <w:b/>
                <w:bCs/>
                <w:sz w:val="18"/>
                <w:szCs w:val="18"/>
              </w:rPr>
              <w:t>Customer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b/>
                <w:bCs/>
                <w:sz w:val="18"/>
                <w:szCs w:val="18"/>
                <w:u w:val="single"/>
              </w:rPr>
              <w:t>2015</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b/>
                <w:bCs/>
                <w:sz w:val="18"/>
                <w:szCs w:val="18"/>
                <w:u w:val="single"/>
              </w:rPr>
              <w:t>2014</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b/>
                <w:bCs/>
                <w:sz w:val="18"/>
                <w:szCs w:val="18"/>
                <w:u w:val="single"/>
              </w:rPr>
              <w:t>2013</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center"/>
              <w:rPr>
                <w:rFonts w:eastAsia="Times New Roman"/>
                <w:sz w:val="18"/>
                <w:szCs w:val="18"/>
              </w:rPr>
            </w:pPr>
            <w:r w:rsidRPr="00FE1CEA">
              <w:rPr>
                <w:rFonts w:eastAsia="Times New Roman"/>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right"/>
              <w:rPr>
                <w:rFonts w:eastAsia="Times New Roman"/>
                <w:sz w:val="18"/>
                <w:szCs w:val="18"/>
              </w:rPr>
            </w:pPr>
            <w:r w:rsidRPr="00FE1CEA">
              <w:rPr>
                <w:rFonts w:eastAsia="Times New Roman"/>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right"/>
              <w:rPr>
                <w:rFonts w:eastAsia="Times New Roman"/>
                <w:sz w:val="18"/>
                <w:szCs w:val="18"/>
              </w:rPr>
            </w:pPr>
            <w:r w:rsidRPr="00FE1CEA">
              <w:rPr>
                <w:rFonts w:eastAsia="Times New Roman"/>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right"/>
              <w:rPr>
                <w:rFonts w:eastAsia="Times New Roman"/>
                <w:sz w:val="18"/>
                <w:szCs w:val="18"/>
              </w:rPr>
            </w:pPr>
            <w:r w:rsidRPr="00FE1CEA">
              <w:rPr>
                <w:rFonts w:eastAsia="Times New Roman"/>
                <w:sz w:val="18"/>
                <w:szCs w:val="18"/>
              </w:rPr>
              <w:t>100%</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EB2809">
            <w:pPr>
              <w:jc w:val="right"/>
              <w:rPr>
                <w:rFonts w:eastAsia="Times New Roman"/>
                <w:sz w:val="18"/>
                <w:szCs w:val="18"/>
              </w:rPr>
            </w:pPr>
            <w:r w:rsidRPr="00EB2809">
              <w:rPr>
                <w:rFonts w:eastAsia="Times New Roman"/>
                <w:sz w:val="18"/>
                <w:szCs w:val="18"/>
              </w:rPr>
              <w:pict>
                <v:rect id="_x0000_i1052"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EB2809">
            <w:pPr>
              <w:rPr>
                <w:rFonts w:eastAsia="Times New Roman"/>
                <w:sz w:val="18"/>
                <w:szCs w:val="18"/>
              </w:rPr>
            </w:pPr>
            <w:r w:rsidRPr="00EB2809">
              <w:rPr>
                <w:rFonts w:eastAsia="Times New Roman"/>
                <w:sz w:val="18"/>
                <w:szCs w:val="18"/>
              </w:rPr>
              <w:pict>
                <v:rect id="_x0000_i1053"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EB2809">
            <w:pPr>
              <w:jc w:val="right"/>
              <w:rPr>
                <w:rFonts w:eastAsia="Times New Roman"/>
                <w:sz w:val="18"/>
                <w:szCs w:val="18"/>
              </w:rPr>
            </w:pPr>
            <w:r w:rsidRPr="00EB2809">
              <w:rPr>
                <w:rFonts w:eastAsia="Times New Roman"/>
                <w:sz w:val="18"/>
                <w:szCs w:val="18"/>
              </w:rPr>
              <w:pict>
                <v:rect id="_x0000_i1054"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EB2809">
            <w:pPr>
              <w:jc w:val="right"/>
              <w:rPr>
                <w:rFonts w:eastAsia="Times New Roman"/>
                <w:sz w:val="18"/>
                <w:szCs w:val="18"/>
              </w:rPr>
            </w:pPr>
            <w:r w:rsidRPr="00EB2809">
              <w:rPr>
                <w:rFonts w:eastAsia="Times New Roman"/>
                <w:sz w:val="18"/>
                <w:szCs w:val="18"/>
              </w:rPr>
              <w:pict>
                <v:rect id="_x0000_i1055" style="width:0;height:1.5pt" o:hralign="center" o:hrstd="t" o:hr="t" fillcolor="#a0a0a0" stroked="f"/>
              </w:pic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b/>
                <w:bCs/>
                <w:sz w:val="18"/>
                <w:szCs w:val="18"/>
              </w:rPr>
              <w:t>Total Sales from Major Customers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b/>
                <w:bCs/>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b/>
                <w:bCs/>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b/>
                <w:bCs/>
                <w:sz w:val="18"/>
                <w:szCs w:val="18"/>
              </w:rPr>
              <w:t>100%</w:t>
            </w:r>
          </w:p>
        </w:tc>
      </w:tr>
    </w:tbl>
    <w:p w:rsidR="00FB4E75" w:rsidRPr="00FE1CEA" w:rsidRDefault="00FB4E75">
      <w:pPr>
        <w:spacing w:before="100" w:beforeAutospacing="1" w:after="100" w:afterAutospacing="1"/>
        <w:rPr>
          <w:sz w:val="18"/>
          <w:szCs w:val="18"/>
        </w:rPr>
      </w:pPr>
      <w:r w:rsidRPr="00FE1CEA">
        <w:rPr>
          <w:b/>
          <w:bCs/>
          <w:sz w:val="18"/>
          <w:szCs w:val="18"/>
        </w:rPr>
        <w:t>NOTE 4 - LAND AND BUILDINGS :</w:t>
      </w:r>
    </w:p>
    <w:p w:rsidR="00FB4E75" w:rsidRPr="00FE1CEA" w:rsidRDefault="00FB4E75">
      <w:pPr>
        <w:rPr>
          <w:rFonts w:eastAsia="Times New Roman"/>
          <w:sz w:val="18"/>
          <w:szCs w:val="18"/>
        </w:rPr>
      </w:pPr>
      <w:r w:rsidRPr="00FE1CEA">
        <w:rPr>
          <w:rFonts w:eastAsia="Times New Roman"/>
          <w:sz w:val="18"/>
          <w:szCs w:val="18"/>
        </w:rPr>
        <w:t xml:space="preserve">The Land owned by the Company's wholly owned subsidiary constitutes the largest asset of the Company. During the period ending March 31, 2015 the Company recorded no change in the value of the Land. The value of the Land of the Company was as follows: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0"/>
        <w:gridCol w:w="1470"/>
        <w:gridCol w:w="1470"/>
        <w:gridCol w:w="1470"/>
      </w:tblGrid>
      <w:tr w:rsidR="00FB4E75" w:rsidRPr="00FE1CEA">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center"/>
              <w:rPr>
                <w:rFonts w:eastAsia="Times New Roman"/>
                <w:sz w:val="18"/>
                <w:szCs w:val="18"/>
              </w:rPr>
            </w:pPr>
            <w:r w:rsidRPr="00FE1CEA">
              <w:rPr>
                <w:rFonts w:eastAsia="Times New Roman"/>
                <w:b/>
                <w:bCs/>
                <w:sz w:val="18"/>
                <w:szCs w:val="18"/>
              </w:rPr>
              <w:t>Value of Land,</w:t>
            </w:r>
          </w:p>
        </w:tc>
      </w:tr>
      <w:tr w:rsidR="00FB4E75" w:rsidRPr="00FE1CEA">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center"/>
              <w:rPr>
                <w:rFonts w:eastAsia="Times New Roman"/>
                <w:sz w:val="18"/>
                <w:szCs w:val="18"/>
              </w:rPr>
            </w:pPr>
            <w:r w:rsidRPr="00FE1CEA">
              <w:rPr>
                <w:rFonts w:eastAsia="Times New Roman"/>
                <w:b/>
                <w:bCs/>
                <w:sz w:val="18"/>
                <w:szCs w:val="18"/>
              </w:rPr>
              <w:t>June 30,</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center"/>
              <w:rPr>
                <w:rFonts w:eastAsia="Times New Roman"/>
                <w:sz w:val="18"/>
                <w:szCs w:val="18"/>
              </w:rPr>
            </w:pPr>
            <w:r w:rsidRPr="00FE1CEA">
              <w:rPr>
                <w:rFonts w:eastAsia="Times New Roman"/>
                <w:b/>
                <w:bCs/>
                <w:sz w:val="18"/>
                <w:szCs w:val="18"/>
              </w:rPr>
              <w:t>March 31, 2015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center"/>
              <w:rPr>
                <w:rFonts w:eastAsia="Times New Roman"/>
                <w:sz w:val="18"/>
                <w:szCs w:val="18"/>
              </w:rPr>
            </w:pPr>
            <w:r w:rsidRPr="00FE1CEA">
              <w:rPr>
                <w:rFonts w:eastAsia="Times New Roman"/>
                <w:b/>
                <w:bCs/>
                <w:sz w:val="18"/>
                <w:szCs w:val="18"/>
                <w:u w:val="single"/>
              </w:rPr>
              <w:t>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center"/>
              <w:rPr>
                <w:rFonts w:eastAsia="Times New Roman"/>
                <w:sz w:val="18"/>
                <w:szCs w:val="18"/>
              </w:rPr>
            </w:pPr>
            <w:r w:rsidRPr="00FE1CEA">
              <w:rPr>
                <w:rFonts w:eastAsia="Times New Roman"/>
                <w:b/>
                <w:bCs/>
                <w:sz w:val="18"/>
                <w:szCs w:val="18"/>
                <w:u w:val="single"/>
              </w:rPr>
              <w:t>2013</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center"/>
              <w:rPr>
                <w:rFonts w:eastAsia="Times New Roman"/>
                <w:sz w:val="18"/>
                <w:szCs w:val="18"/>
              </w:rPr>
            </w:pPr>
            <w:r w:rsidRPr="00FE1CEA">
              <w:rPr>
                <w:rFonts w:eastAsia="Times New Roman"/>
                <w:sz w:val="18"/>
                <w:szCs w:val="18"/>
              </w:rPr>
              <w:t>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right"/>
              <w:rPr>
                <w:rFonts w:eastAsia="Times New Roman"/>
                <w:sz w:val="18"/>
                <w:szCs w:val="18"/>
              </w:rPr>
            </w:pPr>
            <w:r w:rsidRPr="00FE1CEA">
              <w:rPr>
                <w:rFonts w:eastAsia="Times New Roman"/>
                <w:sz w:val="18"/>
                <w:szCs w:val="18"/>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right"/>
              <w:rPr>
                <w:rFonts w:eastAsia="Times New Roman"/>
                <w:sz w:val="18"/>
                <w:szCs w:val="18"/>
              </w:rPr>
            </w:pPr>
            <w:r w:rsidRPr="00FE1CEA">
              <w:rPr>
                <w:rFonts w:eastAsia="Times New Roman"/>
                <w:sz w:val="18"/>
                <w:szCs w:val="18"/>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right"/>
              <w:rPr>
                <w:rFonts w:eastAsia="Times New Roman"/>
                <w:sz w:val="18"/>
                <w:szCs w:val="18"/>
              </w:rPr>
            </w:pPr>
            <w:r w:rsidRPr="00FE1CEA">
              <w:rPr>
                <w:rFonts w:eastAsia="Times New Roman"/>
                <w:sz w:val="18"/>
                <w:szCs w:val="18"/>
              </w:rPr>
              <w:t>$578,704</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EB2809">
            <w:pPr>
              <w:jc w:val="right"/>
              <w:rPr>
                <w:rFonts w:eastAsia="Times New Roman"/>
                <w:sz w:val="18"/>
                <w:szCs w:val="18"/>
              </w:rPr>
            </w:pPr>
            <w:r w:rsidRPr="00EB2809">
              <w:rPr>
                <w:rFonts w:eastAsia="Times New Roman"/>
                <w:sz w:val="18"/>
                <w:szCs w:val="18"/>
              </w:rPr>
              <w:pict>
                <v:rect id="_x0000_i1056"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EB2809">
            <w:pPr>
              <w:rPr>
                <w:rFonts w:eastAsia="Times New Roman"/>
                <w:sz w:val="18"/>
                <w:szCs w:val="18"/>
              </w:rPr>
            </w:pPr>
            <w:r w:rsidRPr="00EB2809">
              <w:rPr>
                <w:rFonts w:eastAsia="Times New Roman"/>
                <w:sz w:val="18"/>
                <w:szCs w:val="18"/>
              </w:rPr>
              <w:pict>
                <v:rect id="_x0000_i1057"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EB2809">
            <w:pPr>
              <w:jc w:val="right"/>
              <w:rPr>
                <w:rFonts w:eastAsia="Times New Roman"/>
                <w:sz w:val="18"/>
                <w:szCs w:val="18"/>
              </w:rPr>
            </w:pPr>
            <w:r w:rsidRPr="00EB2809">
              <w:rPr>
                <w:rFonts w:eastAsia="Times New Roman"/>
                <w:sz w:val="18"/>
                <w:szCs w:val="18"/>
              </w:rPr>
              <w:pict>
                <v:rect id="_x0000_i1058"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EB2809">
            <w:pPr>
              <w:jc w:val="right"/>
              <w:rPr>
                <w:rFonts w:eastAsia="Times New Roman"/>
                <w:sz w:val="18"/>
                <w:szCs w:val="18"/>
              </w:rPr>
            </w:pPr>
            <w:r w:rsidRPr="00EB2809">
              <w:rPr>
                <w:rFonts w:eastAsia="Times New Roman"/>
                <w:sz w:val="18"/>
                <w:szCs w:val="18"/>
              </w:rPr>
              <w:pict>
                <v:rect id="_x0000_i1059" style="width:0;height:1.5pt" o:hralign="center" o:hrstd="t" o:hr="t" fillcolor="#a0a0a0" stroked="f"/>
              </w:pict>
            </w:r>
          </w:p>
        </w:tc>
      </w:tr>
    </w:tbl>
    <w:p w:rsidR="00FB4E75" w:rsidRPr="00FE1CEA" w:rsidRDefault="00FB4E75">
      <w:pPr>
        <w:pStyle w:val="NormalWeb"/>
        <w:rPr>
          <w:sz w:val="18"/>
          <w:szCs w:val="18"/>
        </w:rPr>
      </w:pPr>
      <w:r w:rsidRPr="00FE1CEA">
        <w:rPr>
          <w:b/>
          <w:bCs/>
          <w:sz w:val="18"/>
          <w:szCs w:val="18"/>
        </w:rPr>
        <w:t>NOTE 5 - RELATED PARTY TRANSACTIONS ANTON NIELSEN VOJENS, ApS</w:t>
      </w:r>
      <w:r w:rsidRPr="00FE1CEA">
        <w:rPr>
          <w:b/>
          <w:bCs/>
          <w:sz w:val="18"/>
          <w:szCs w:val="18"/>
        </w:rPr>
        <w:br/>
      </w:r>
      <w:r w:rsidRPr="00FE1CEA">
        <w:rPr>
          <w:sz w:val="18"/>
          <w:szCs w:val="18"/>
        </w:rPr>
        <w:br/>
        <w:t>The Company purchased Anton Nielsen Vojens ApS from a previous shareholder of the Company, Borkwood Development LTD ("Borkwood"). At the time of the acquisition, even though Borkwood was not a shareholder, AOXY, a director of Borkwood Aage Madsen was an officer of Anton Nielsen Vojens ApS. Aage Madsen was a director of Anton Nielsen Vojens until May 25, 2007 and from there forward, there were no related parties between AOXY and Borkwood Development LTD. The Company had an outstanding balance of long term debt to Borkwood Development LTD at March 31, 2015 was $127,029 .</w:t>
      </w:r>
    </w:p>
    <w:p w:rsidR="00FB4E75" w:rsidRPr="00FE1CEA" w:rsidRDefault="00FB4E75">
      <w:pPr>
        <w:pStyle w:val="NormalWeb"/>
        <w:rPr>
          <w:sz w:val="18"/>
          <w:szCs w:val="18"/>
        </w:rPr>
      </w:pPr>
      <w:r w:rsidRPr="00FE1CEA">
        <w:rPr>
          <w:b/>
          <w:bCs/>
          <w:sz w:val="18"/>
          <w:szCs w:val="18"/>
        </w:rPr>
        <w:t>NOTE 6 - COMMITMENTS AND CONTINGENCIES:</w:t>
      </w:r>
    </w:p>
    <w:p w:rsidR="00FB4E75" w:rsidRPr="00FE1CEA" w:rsidRDefault="00FB4E75">
      <w:pPr>
        <w:pStyle w:val="NormalWeb"/>
        <w:divId w:val="1375884328"/>
        <w:rPr>
          <w:sz w:val="18"/>
          <w:szCs w:val="18"/>
        </w:rPr>
      </w:pPr>
      <w:r w:rsidRPr="00FE1CEA">
        <w:rPr>
          <w:i/>
          <w:iCs/>
          <w:sz w:val="18"/>
          <w:szCs w:val="18"/>
        </w:rPr>
        <w:t>Commitments</w:t>
      </w:r>
      <w:r w:rsidRPr="00FE1CEA">
        <w:rPr>
          <w:sz w:val="18"/>
          <w:szCs w:val="18"/>
        </w:rPr>
        <w:t>:</w:t>
      </w:r>
    </w:p>
    <w:p w:rsidR="00FB4E75" w:rsidRPr="00FE1CEA" w:rsidRDefault="00FB4E75">
      <w:pPr>
        <w:pStyle w:val="NormalWeb"/>
        <w:divId w:val="1375884328"/>
        <w:rPr>
          <w:sz w:val="18"/>
          <w:szCs w:val="18"/>
        </w:rPr>
      </w:pPr>
      <w:r w:rsidRPr="00FE1CEA">
        <w:rPr>
          <w:sz w:val="18"/>
          <w:szCs w:val="18"/>
        </w:rPr>
        <w:t>The Company has issued a promissory note ("Note") for $650,000, payable to the Borkwood Development Ltd, a previous shareholder of the Company ("Seller"), payable and amortized monthly and carrying a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Note has been extended until July 1, 2015 and interest waived through the period ending June 30, 2014.</w:t>
      </w:r>
    </w:p>
    <w:p w:rsidR="00FB4E75" w:rsidRPr="00FE1CEA" w:rsidRDefault="00FB4E75">
      <w:pPr>
        <w:pStyle w:val="NormalWeb"/>
        <w:divId w:val="304160657"/>
        <w:rPr>
          <w:sz w:val="18"/>
          <w:szCs w:val="18"/>
        </w:rPr>
      </w:pPr>
      <w:r w:rsidRPr="00FE1CEA">
        <w:rPr>
          <w:sz w:val="18"/>
          <w:szCs w:val="18"/>
        </w:rPr>
        <w:t>The Company's wholly owned subsidiary Anton Nielsen Vojens, ApS has a note payable with a bank. The original amount of the note was kr 750,000 Danish Krone (kr) ("Note A"). The note is secured by the revenues of the lease with Statoil, with a 7.00% interest rate and 5 years left on the term. The balance on the note as of March 31, 2015 and June 30, 2014 was $46,668 and $53,733 respectively and the yearly payments are fixed at kr 75,000. The value of the note reflect the currency adjustments. The table below summarizes the companies commitments going forward.</w:t>
      </w:r>
    </w:p>
    <w:p w:rsidR="00FB4E75" w:rsidRPr="00FE1CEA" w:rsidRDefault="00FB4E75">
      <w:pPr>
        <w:pStyle w:val="NormalWeb"/>
        <w:divId w:val="304160657"/>
        <w:rPr>
          <w:sz w:val="18"/>
          <w:szCs w:val="18"/>
        </w:rPr>
      </w:pPr>
    </w:p>
    <w:p w:rsidR="00FB4E75" w:rsidRPr="00FE1CEA" w:rsidRDefault="00FB4E75">
      <w:pPr>
        <w:pStyle w:val="NormalWeb"/>
        <w:divId w:val="304160657"/>
        <w:rPr>
          <w:sz w:val="18"/>
          <w:szCs w:val="18"/>
        </w:rPr>
      </w:pPr>
      <w:r w:rsidRPr="00FE1CEA">
        <w:rPr>
          <w:sz w:val="18"/>
          <w:szCs w:val="18"/>
        </w:rPr>
        <w:t>The Company's wholly owned subsidiary Anton Nielsen Vojens, ApS has a note payable with a bank ("Note B"). The original amount of Note B was kr 1,132,000 Danish Krone (kr). Note B is secured by the subsidiary's real estate, with a 2.00% interest rate and 10 years left on the term. The balance on the note as of March 31, 2015 and June 30, 2014 was $183,506 and $196,151 respectively.</w:t>
      </w:r>
    </w:p>
    <w:p w:rsidR="00370FF0" w:rsidRPr="00FE1CEA" w:rsidRDefault="00EB2809" w:rsidP="00370FF0">
      <w:pPr>
        <w:pStyle w:val="NormalWeb"/>
        <w:divId w:val="1375884328"/>
        <w:rPr>
          <w:sz w:val="18"/>
          <w:szCs w:val="18"/>
        </w:rPr>
      </w:pPr>
      <w:hyperlink w:anchor="toc" w:history="1">
        <w:r w:rsidR="00370FF0" w:rsidRPr="00FE1CEA">
          <w:rPr>
            <w:rStyle w:val="Hyperlink"/>
            <w:b/>
            <w:bCs/>
            <w:sz w:val="18"/>
            <w:szCs w:val="18"/>
          </w:rPr>
          <w:t>Return to Table of Contents</w:t>
        </w:r>
      </w:hyperlink>
    </w:p>
    <w:p w:rsidR="00370FF0" w:rsidRPr="00FE1CEA" w:rsidRDefault="00EB2809" w:rsidP="00370FF0">
      <w:pPr>
        <w:divId w:val="1375884328"/>
        <w:rPr>
          <w:rFonts w:eastAsia="Times New Roman"/>
          <w:sz w:val="18"/>
          <w:szCs w:val="18"/>
        </w:rPr>
      </w:pPr>
      <w:r w:rsidRPr="00EB2809">
        <w:rPr>
          <w:rFonts w:eastAsia="Times New Roman"/>
          <w:sz w:val="18"/>
          <w:szCs w:val="18"/>
        </w:rPr>
        <w:pict>
          <v:rect id="_x0000_i1060" style="width:0;height:3pt" o:hralign="center" o:hrstd="t" o:hrnoshade="t" o:hr="t" fillcolor="black" stroked="f"/>
        </w:pict>
      </w:r>
    </w:p>
    <w:p w:rsidR="00FB4E75" w:rsidRPr="00FE1CEA" w:rsidRDefault="00FB4E75">
      <w:pPr>
        <w:spacing w:before="100" w:beforeAutospacing="1" w:after="100" w:afterAutospacing="1"/>
        <w:divId w:val="1375884328"/>
        <w:rPr>
          <w:sz w:val="18"/>
          <w:szCs w:val="18"/>
        </w:rPr>
      </w:pPr>
      <w:r w:rsidRPr="00FE1CEA">
        <w:rPr>
          <w:sz w:val="18"/>
          <w:szCs w:val="18"/>
        </w:rPr>
        <w:lastRenderedPageBreak/>
        <w:t>The value of the note reflect the currency adjustments. The table below summarizes the companies commitments going forward.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0"/>
        <w:gridCol w:w="1251"/>
        <w:gridCol w:w="1878"/>
        <w:gridCol w:w="1250"/>
        <w:gridCol w:w="2010"/>
        <w:gridCol w:w="1087"/>
        <w:gridCol w:w="2944"/>
      </w:tblGrid>
      <w:tr w:rsidR="00FB4E75" w:rsidRPr="00FE1CEA" w:rsidTr="00370FF0">
        <w:trPr>
          <w:divId w:val="1375884328"/>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center"/>
              <w:rPr>
                <w:sz w:val="18"/>
                <w:szCs w:val="18"/>
              </w:rPr>
            </w:pPr>
            <w:r w:rsidRPr="00FE1CEA">
              <w:rPr>
                <w:b/>
                <w:bCs/>
                <w:sz w:val="18"/>
                <w:szCs w:val="18"/>
              </w:rPr>
              <w:t xml:space="preserve">Advanced Oxygen Technologies, Inc. Commitments and </w:t>
            </w:r>
          </w:p>
          <w:p w:rsidR="00FB4E75" w:rsidRPr="00FE1CEA" w:rsidRDefault="00FB4E75">
            <w:pPr>
              <w:pStyle w:val="NormalWeb"/>
              <w:jc w:val="center"/>
              <w:rPr>
                <w:sz w:val="18"/>
                <w:szCs w:val="18"/>
              </w:rPr>
            </w:pPr>
            <w:r w:rsidRPr="00FE1CEA">
              <w:rPr>
                <w:b/>
                <w:bCs/>
                <w:sz w:val="18"/>
                <w:szCs w:val="18"/>
              </w:rPr>
              <w:t>Contingencies for the year Ending June 30, 2014</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center"/>
              <w:rPr>
                <w:sz w:val="18"/>
                <w:szCs w:val="18"/>
              </w:rPr>
            </w:pPr>
            <w:r w:rsidRPr="00FE1CEA">
              <w:rPr>
                <w:b/>
                <w:bCs/>
                <w:sz w:val="18"/>
                <w:szCs w:val="18"/>
              </w:rPr>
              <w:t>Year</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center"/>
              <w:rPr>
                <w:sz w:val="18"/>
                <w:szCs w:val="18"/>
              </w:rPr>
            </w:pPr>
            <w:r w:rsidRPr="00FE1CEA">
              <w:rPr>
                <w:b/>
                <w:bCs/>
                <w:sz w:val="18"/>
                <w:szCs w:val="18"/>
              </w:rPr>
              <w:t>Bank Note "A"</w:t>
            </w:r>
            <w:r w:rsidRPr="00FE1CEA">
              <w:rPr>
                <w:b/>
                <w:bCs/>
                <w:sz w:val="18"/>
                <w:szCs w:val="18"/>
              </w:rPr>
              <w:br/>
              <w:t>Amount in DKK</w:t>
            </w:r>
          </w:p>
        </w:tc>
        <w:tc>
          <w:tcPr>
            <w:tcW w:w="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center"/>
              <w:rPr>
                <w:sz w:val="18"/>
                <w:szCs w:val="18"/>
              </w:rPr>
            </w:pPr>
            <w:r w:rsidRPr="00FE1CEA">
              <w:rPr>
                <w:b/>
                <w:bCs/>
                <w:sz w:val="18"/>
                <w:szCs w:val="18"/>
              </w:rPr>
              <w:t>Bank Note "A" Amount</w:t>
            </w:r>
            <w:r w:rsidRPr="00FE1CEA">
              <w:rPr>
                <w:b/>
                <w:bCs/>
                <w:sz w:val="18"/>
                <w:szCs w:val="18"/>
              </w:rPr>
              <w:br/>
              <w:t>converted to $US Dollars at currency exchange rate at June 30, 2014</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center"/>
              <w:rPr>
                <w:sz w:val="18"/>
                <w:szCs w:val="18"/>
              </w:rPr>
            </w:pPr>
            <w:r w:rsidRPr="00FE1CEA">
              <w:rPr>
                <w:b/>
                <w:bCs/>
                <w:sz w:val="18"/>
                <w:szCs w:val="18"/>
              </w:rPr>
              <w:t>Bank Note "B"</w:t>
            </w:r>
            <w:r w:rsidRPr="00FE1CEA">
              <w:rPr>
                <w:b/>
                <w:bCs/>
                <w:sz w:val="18"/>
                <w:szCs w:val="18"/>
              </w:rPr>
              <w:br/>
              <w:t>Amount in DKK</w:t>
            </w:r>
          </w:p>
        </w:tc>
        <w:tc>
          <w:tcPr>
            <w:tcW w:w="9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center"/>
              <w:rPr>
                <w:sz w:val="18"/>
                <w:szCs w:val="18"/>
              </w:rPr>
            </w:pPr>
            <w:r w:rsidRPr="00FE1CEA">
              <w:rPr>
                <w:b/>
                <w:bCs/>
                <w:sz w:val="18"/>
                <w:szCs w:val="18"/>
              </w:rPr>
              <w:t>Bank Note "B" Amount</w:t>
            </w:r>
            <w:r w:rsidRPr="00FE1CEA">
              <w:rPr>
                <w:b/>
                <w:bCs/>
                <w:sz w:val="18"/>
                <w:szCs w:val="18"/>
              </w:rPr>
              <w:br/>
              <w:t>converted to $US Dollars at currency exchange rate at June 30,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center"/>
              <w:rPr>
                <w:sz w:val="18"/>
                <w:szCs w:val="18"/>
              </w:rPr>
            </w:pPr>
            <w:r w:rsidRPr="00FE1CEA">
              <w:rPr>
                <w:b/>
                <w:bCs/>
                <w:sz w:val="18"/>
                <w:szCs w:val="18"/>
              </w:rPr>
              <w:t>Borkwood Note Amount</w:t>
            </w:r>
            <w:r w:rsidRPr="00FE1CEA">
              <w:rPr>
                <w:b/>
                <w:bCs/>
                <w:sz w:val="18"/>
                <w:szCs w:val="18"/>
              </w:rPr>
              <w:br/>
              <w:t>in $US Dollars</w:t>
            </w:r>
          </w:p>
        </w:tc>
        <w:tc>
          <w:tcPr>
            <w:tcW w:w="13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b/>
                <w:bCs/>
                <w:sz w:val="18"/>
                <w:szCs w:val="18"/>
              </w:rPr>
              <w:t>Total *</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rPr>
                <w:sz w:val="18"/>
                <w:szCs w:val="18"/>
              </w:rPr>
            </w:pPr>
            <w:r w:rsidRPr="00FE1CEA">
              <w:rPr>
                <w:sz w:val="18"/>
                <w:szCs w:val="18"/>
              </w:rPr>
              <w:t>2015</w:t>
            </w:r>
          </w:p>
        </w:tc>
        <w:tc>
          <w:tcPr>
            <w:tcW w:w="59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DKK 75,000</w:t>
            </w:r>
          </w:p>
        </w:tc>
        <w:tc>
          <w:tcPr>
            <w:tcW w:w="88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$13,772</w:t>
            </w:r>
          </w:p>
        </w:tc>
        <w:tc>
          <w:tcPr>
            <w:tcW w:w="59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$127,029</w:t>
            </w:r>
          </w:p>
        </w:tc>
        <w:tc>
          <w:tcPr>
            <w:tcW w:w="137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$168,307</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rPr>
                <w:sz w:val="18"/>
                <w:szCs w:val="18"/>
              </w:rPr>
            </w:pPr>
            <w:r w:rsidRPr="00FE1CEA">
              <w:rPr>
                <w:sz w:val="18"/>
                <w:szCs w:val="18"/>
              </w:rPr>
              <w:t>2016</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DKK 75,000</w:t>
            </w:r>
          </w:p>
        </w:tc>
        <w:tc>
          <w:tcPr>
            <w:tcW w:w="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$13,772</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13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$41,278</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rPr>
                <w:sz w:val="18"/>
                <w:szCs w:val="18"/>
              </w:rPr>
            </w:pPr>
            <w:r w:rsidRPr="00FE1CEA">
              <w:rPr>
                <w:sz w:val="18"/>
                <w:szCs w:val="18"/>
              </w:rPr>
              <w:t>2017</w:t>
            </w:r>
          </w:p>
        </w:tc>
        <w:tc>
          <w:tcPr>
            <w:tcW w:w="59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DKK 75,000</w:t>
            </w:r>
          </w:p>
        </w:tc>
        <w:tc>
          <w:tcPr>
            <w:tcW w:w="88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$13,772</w:t>
            </w:r>
          </w:p>
        </w:tc>
        <w:tc>
          <w:tcPr>
            <w:tcW w:w="59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137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$41,278</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rPr>
                <w:sz w:val="18"/>
                <w:szCs w:val="18"/>
              </w:rPr>
            </w:pPr>
            <w:r w:rsidRPr="00FE1CEA">
              <w:rPr>
                <w:sz w:val="18"/>
                <w:szCs w:val="18"/>
              </w:rPr>
              <w:t>2019</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w:t>
            </w:r>
          </w:p>
        </w:tc>
        <w:tc>
          <w:tcPr>
            <w:tcW w:w="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rPr>
                <w:sz w:val="18"/>
                <w:szCs w:val="18"/>
              </w:rPr>
            </w:pPr>
            <w:r w:rsidRPr="00FE1CEA">
              <w:rPr>
                <w:sz w:val="18"/>
                <w:szCs w:val="18"/>
              </w:rPr>
              <w:t> </w:t>
            </w:r>
          </w:p>
        </w:tc>
        <w:tc>
          <w:tcPr>
            <w:tcW w:w="13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$27,506</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rPr>
                <w:sz w:val="18"/>
                <w:szCs w:val="18"/>
              </w:rPr>
            </w:pPr>
            <w:r w:rsidRPr="00FE1CEA">
              <w:rPr>
                <w:sz w:val="18"/>
                <w:szCs w:val="18"/>
              </w:rPr>
              <w:t>2020</w:t>
            </w:r>
          </w:p>
        </w:tc>
        <w:tc>
          <w:tcPr>
            <w:tcW w:w="59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88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59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137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$27,506</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rPr>
                <w:sz w:val="18"/>
                <w:szCs w:val="18"/>
              </w:rPr>
            </w:pPr>
            <w:r w:rsidRPr="00FE1CEA">
              <w:rPr>
                <w:sz w:val="18"/>
                <w:szCs w:val="18"/>
              </w:rPr>
              <w:t>2021</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w:t>
            </w:r>
          </w:p>
        </w:tc>
        <w:tc>
          <w:tcPr>
            <w:tcW w:w="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13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$27,506</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rPr>
                <w:sz w:val="18"/>
                <w:szCs w:val="18"/>
              </w:rPr>
            </w:pPr>
            <w:r w:rsidRPr="00FE1CEA">
              <w:rPr>
                <w:sz w:val="18"/>
                <w:szCs w:val="18"/>
              </w:rPr>
              <w:t>2022</w:t>
            </w:r>
          </w:p>
        </w:tc>
        <w:tc>
          <w:tcPr>
            <w:tcW w:w="59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88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59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137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$27,506</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rPr>
                <w:sz w:val="18"/>
                <w:szCs w:val="18"/>
              </w:rPr>
            </w:pPr>
            <w:r w:rsidRPr="00FE1CEA">
              <w:rPr>
                <w:sz w:val="18"/>
                <w:szCs w:val="18"/>
              </w:rPr>
              <w:t>2023</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w:t>
            </w:r>
          </w:p>
        </w:tc>
        <w:tc>
          <w:tcPr>
            <w:tcW w:w="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13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$27,506</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rPr>
                <w:sz w:val="18"/>
                <w:szCs w:val="18"/>
              </w:rPr>
            </w:pPr>
            <w:r w:rsidRPr="00FE1CEA">
              <w:rPr>
                <w:sz w:val="18"/>
                <w:szCs w:val="18"/>
              </w:rPr>
              <w:t>2024</w:t>
            </w:r>
          </w:p>
        </w:tc>
        <w:tc>
          <w:tcPr>
            <w:tcW w:w="59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88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59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137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$27,506</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rPr>
                <w:sz w:val="18"/>
                <w:szCs w:val="18"/>
              </w:rPr>
            </w:pPr>
            <w:r w:rsidRPr="00FE1CEA">
              <w:rPr>
                <w:sz w:val="18"/>
                <w:szCs w:val="18"/>
              </w:rPr>
              <w:t>2025</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w:t>
            </w:r>
          </w:p>
        </w:tc>
        <w:tc>
          <w:tcPr>
            <w:tcW w:w="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DKK 149,797</w:t>
            </w:r>
          </w:p>
        </w:tc>
        <w:tc>
          <w:tcPr>
            <w:tcW w:w="9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13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pStyle w:val="NormalWeb"/>
              <w:jc w:val="right"/>
              <w:rPr>
                <w:sz w:val="18"/>
                <w:szCs w:val="18"/>
              </w:rPr>
            </w:pPr>
            <w:r w:rsidRPr="00FE1CEA">
              <w:rPr>
                <w:sz w:val="18"/>
                <w:szCs w:val="18"/>
              </w:rPr>
              <w:t>$27,506</w:t>
            </w:r>
          </w:p>
        </w:tc>
      </w:tr>
      <w:tr w:rsidR="00FB4E75" w:rsidRPr="00FE1CEA" w:rsidTr="00370FF0">
        <w:trPr>
          <w:divId w:val="13758843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59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88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59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r w:rsidRPr="00FE1CEA">
              <w:rPr>
                <w:rFonts w:eastAsia="Times New Roman"/>
                <w:sz w:val="18"/>
                <w:szCs w:val="18"/>
              </w:rPr>
              <w:t> </w:t>
            </w:r>
          </w:p>
        </w:tc>
        <w:tc>
          <w:tcPr>
            <w:tcW w:w="94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sz w:val="18"/>
                <w:szCs w:val="18"/>
              </w:rPr>
              <w:t>-</w:t>
            </w:r>
          </w:p>
        </w:tc>
        <w:tc>
          <w:tcPr>
            <w:tcW w:w="137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pStyle w:val="NormalWeb"/>
              <w:jc w:val="right"/>
              <w:rPr>
                <w:sz w:val="18"/>
                <w:szCs w:val="18"/>
              </w:rPr>
            </w:pPr>
            <w:r w:rsidRPr="00FE1CEA">
              <w:rPr>
                <w:b/>
                <w:bCs/>
                <w:sz w:val="18"/>
                <w:szCs w:val="18"/>
              </w:rPr>
              <w:t>$470,911</w:t>
            </w:r>
          </w:p>
        </w:tc>
      </w:tr>
    </w:tbl>
    <w:p w:rsidR="00FB4E75" w:rsidRPr="00FE1CEA" w:rsidRDefault="00FB4E75">
      <w:pPr>
        <w:spacing w:before="100" w:beforeAutospacing="1" w:after="100" w:afterAutospacing="1"/>
        <w:divId w:val="1375884328"/>
        <w:rPr>
          <w:sz w:val="18"/>
          <w:szCs w:val="18"/>
        </w:rPr>
      </w:pPr>
      <w:r w:rsidRPr="00FE1CEA">
        <w:rPr>
          <w:sz w:val="18"/>
          <w:szCs w:val="18"/>
        </w:rPr>
        <w:t>* The amounts stated in this table reflect the Company's commitments in the currencies that those commitments were made and the total column is an estimate of what the US dollar amount would be if the currency rates did not change going forward.</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61" style="width:0;height:3pt" o:hralign="center" o:hrstd="t" o:hrnoshade="t" o:hr="t" fillcolor="black" stroked="f"/>
        </w:pict>
      </w: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370FF0" w:rsidRDefault="00370FF0">
      <w:pPr>
        <w:pStyle w:val="NormalWeb"/>
        <w:rPr>
          <w:b/>
          <w:bCs/>
          <w:sz w:val="18"/>
          <w:szCs w:val="18"/>
        </w:rPr>
      </w:pPr>
    </w:p>
    <w:p w:rsidR="00FB4E75" w:rsidRPr="00FE1CEA" w:rsidRDefault="00FB4E75">
      <w:pPr>
        <w:pStyle w:val="NormalWeb"/>
        <w:rPr>
          <w:sz w:val="18"/>
          <w:szCs w:val="18"/>
        </w:rPr>
      </w:pPr>
      <w:r w:rsidRPr="00FE1CEA">
        <w:rPr>
          <w:b/>
          <w:bCs/>
          <w:sz w:val="18"/>
          <w:szCs w:val="18"/>
        </w:rPr>
        <w:lastRenderedPageBreak/>
        <w:t>NOTE 7 - DUE TO AFFILIATE</w:t>
      </w:r>
    </w:p>
    <w:p w:rsidR="00FB4E75" w:rsidRPr="00FE1CEA" w:rsidRDefault="00FB4E75">
      <w:pPr>
        <w:pStyle w:val="NormalWeb"/>
        <w:rPr>
          <w:sz w:val="18"/>
          <w:szCs w:val="18"/>
        </w:rPr>
      </w:pPr>
      <w:r w:rsidRPr="00FE1CEA">
        <w:rPr>
          <w:i/>
          <w:iCs/>
          <w:sz w:val="18"/>
          <w:szCs w:val="18"/>
        </w:rPr>
        <w:t>Due to affiliate consisted of:</w:t>
      </w:r>
      <w:r w:rsidRPr="00FE1CEA">
        <w:rPr>
          <w:sz w:val="18"/>
          <w:szCs w:val="18"/>
        </w:rPr>
        <w:t xml:space="preserve"> Advances payable to Crossfields, Inc., a related party, which are not collateralized, non-interest bearing, and payable upon demand, however, the Company did not expect to make payment within one year. During the 3 month period ended March 31, 2015 and 2014 the Company had borrowed $0 and had balances of $58,509 and $56,259 respectively, from affiliates and officers to meet expenses. The balances were not collateralized, were non-interest bearing and were payable on demand. </w:t>
      </w:r>
    </w:p>
    <w:p w:rsidR="00FB4E75" w:rsidRPr="00FE1CEA" w:rsidRDefault="00FB4E75">
      <w:pPr>
        <w:pStyle w:val="NormalWeb"/>
        <w:spacing w:after="240" w:afterAutospacing="0"/>
        <w:rPr>
          <w:sz w:val="18"/>
          <w:szCs w:val="18"/>
        </w:rPr>
      </w:pPr>
      <w:r w:rsidRPr="00FE1CEA">
        <w:rPr>
          <w:b/>
          <w:bCs/>
          <w:sz w:val="18"/>
          <w:szCs w:val="18"/>
        </w:rPr>
        <w:t>NOTE 8 - INCOME TAXES</w:t>
      </w:r>
      <w:r w:rsidRPr="00FE1CEA">
        <w:rPr>
          <w:sz w:val="18"/>
          <w:szCs w:val="18"/>
        </w:rPr>
        <w:br/>
      </w:r>
      <w:r w:rsidRPr="00FE1CEA">
        <w:rPr>
          <w:sz w:val="18"/>
          <w:szCs w:val="18"/>
        </w:rPr>
        <w:br/>
        <w:t>As of March 31, 2015, the Company had federal and state net operating loss carryforwards of approximately $12,400,000 of which approximately $1,160,000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3"/>
        <w:gridCol w:w="2317"/>
      </w:tblGrid>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r w:rsidRPr="00FE1CEA">
              <w:rPr>
                <w:rFonts w:eastAsia="Times New Roman"/>
                <w:b/>
                <w:bCs/>
                <w:sz w:val="18"/>
                <w:szCs w:val="18"/>
              </w:rPr>
              <w:t>Year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b/>
                <w:bCs/>
                <w:sz w:val="18"/>
                <w:szCs w:val="18"/>
              </w:rPr>
              <w:t>Amount</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r w:rsidRPr="00FE1CEA">
              <w:rPr>
                <w:rFonts w:eastAsia="Times New Roman"/>
                <w:sz w:val="18"/>
                <w:szCs w:val="18"/>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right"/>
              <w:rPr>
                <w:rFonts w:eastAsia="Times New Roman"/>
                <w:sz w:val="18"/>
                <w:szCs w:val="18"/>
              </w:rPr>
            </w:pPr>
            <w:r w:rsidRPr="00FE1CEA">
              <w:rPr>
                <w:rFonts w:eastAsia="Times New Roman"/>
                <w:sz w:val="18"/>
                <w:szCs w:val="18"/>
              </w:rPr>
              <w:t>236,000</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r w:rsidRPr="00FE1CEA">
              <w:rPr>
                <w:rFonts w:eastAsia="Times New Roman"/>
                <w:sz w:val="18"/>
                <w:szCs w:val="18"/>
              </w:rPr>
              <w:t>2019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sz w:val="18"/>
                <w:szCs w:val="18"/>
              </w:rPr>
              <w:t>548,000</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r w:rsidRPr="00FE1CEA">
              <w:rPr>
                <w:rFonts w:eastAsia="Times New Roman"/>
                <w:sz w:val="18"/>
                <w:szCs w:val="18"/>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right"/>
              <w:rPr>
                <w:rFonts w:eastAsia="Times New Roman"/>
                <w:sz w:val="18"/>
                <w:szCs w:val="18"/>
              </w:rPr>
            </w:pPr>
            <w:r w:rsidRPr="00FE1CEA">
              <w:rPr>
                <w:rFonts w:eastAsia="Times New Roman"/>
                <w:sz w:val="18"/>
                <w:szCs w:val="18"/>
              </w:rPr>
              <w:t>351,000</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rPr>
                <w:rFonts w:eastAsia="Times New Roman"/>
                <w:sz w:val="18"/>
                <w:szCs w:val="18"/>
              </w:rPr>
            </w:pPr>
            <w:r w:rsidRPr="00FE1CEA">
              <w:rPr>
                <w:rFonts w:eastAsia="Times New Roman"/>
                <w:sz w:val="18"/>
                <w:szCs w:val="18"/>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FB4E75" w:rsidRPr="00FE1CEA" w:rsidRDefault="00FB4E75">
            <w:pPr>
              <w:jc w:val="right"/>
              <w:rPr>
                <w:rFonts w:eastAsia="Times New Roman"/>
                <w:sz w:val="18"/>
                <w:szCs w:val="18"/>
              </w:rPr>
            </w:pPr>
            <w:r w:rsidRPr="00FE1CEA">
              <w:rPr>
                <w:rFonts w:eastAsia="Times New Roman"/>
                <w:sz w:val="18"/>
                <w:szCs w:val="18"/>
                <w:u w:val="single"/>
              </w:rPr>
              <w:t>29,000</w:t>
            </w:r>
          </w:p>
        </w:tc>
      </w:tr>
      <w:tr w:rsidR="00FB4E75" w:rsidRPr="00FE1C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rPr>
                <w:rFonts w:eastAsia="Times New Roman"/>
                <w:sz w:val="18"/>
                <w:szCs w:val="18"/>
              </w:rPr>
            </w:pPr>
            <w:r w:rsidRPr="00FE1CEA">
              <w:rPr>
                <w:rFonts w:eastAsia="Times New Roman"/>
                <w:sz w:val="18"/>
                <w:szCs w:val="18"/>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4E75" w:rsidRPr="00FE1CEA" w:rsidRDefault="00FB4E75">
            <w:pPr>
              <w:jc w:val="right"/>
              <w:rPr>
                <w:rFonts w:eastAsia="Times New Roman"/>
                <w:sz w:val="18"/>
                <w:szCs w:val="18"/>
              </w:rPr>
            </w:pPr>
            <w:r w:rsidRPr="00FE1CEA">
              <w:rPr>
                <w:rFonts w:eastAsia="Times New Roman"/>
                <w:sz w:val="18"/>
                <w:szCs w:val="18"/>
              </w:rPr>
              <w:t>$ 1,164,000</w:t>
            </w:r>
          </w:p>
        </w:tc>
      </w:tr>
    </w:tbl>
    <w:p w:rsidR="00FB4E75" w:rsidRPr="00FE1CEA" w:rsidRDefault="00FB4E75">
      <w:pPr>
        <w:pStyle w:val="NormalWeb"/>
        <w:rPr>
          <w:sz w:val="18"/>
          <w:szCs w:val="18"/>
        </w:rPr>
      </w:pPr>
      <w:r w:rsidRPr="00FE1CEA">
        <w:rPr>
          <w:sz w:val="18"/>
          <w:szCs w:val="18"/>
        </w:rPr>
        <w:t>The overall effective tax rate differs from the federal statutory tax rate of 34% due to operating losses and other deferred assets not providing benefit for income tax purposes.</w:t>
      </w:r>
    </w:p>
    <w:p w:rsidR="00FB4E75" w:rsidRPr="00FE1CEA" w:rsidRDefault="00FB4E75">
      <w:pPr>
        <w:pStyle w:val="NormalWeb"/>
        <w:rPr>
          <w:sz w:val="18"/>
          <w:szCs w:val="18"/>
        </w:rPr>
      </w:pPr>
      <w:r w:rsidRPr="00FE1CEA">
        <w:rPr>
          <w:b/>
          <w:bCs/>
          <w:sz w:val="18"/>
          <w:szCs w:val="18"/>
        </w:rPr>
        <w:t>NOTE 9 - SHAREHOLDERS' EQUITY:</w:t>
      </w:r>
    </w:p>
    <w:p w:rsidR="00FB4E75" w:rsidRPr="00FE1CEA" w:rsidRDefault="00FB4E75">
      <w:pPr>
        <w:pStyle w:val="NormalWeb"/>
        <w:rPr>
          <w:sz w:val="18"/>
          <w:szCs w:val="18"/>
        </w:rPr>
      </w:pPr>
      <w:r w:rsidRPr="00FE1CEA">
        <w:rPr>
          <w:sz w:val="18"/>
          <w:szCs w:val="18"/>
        </w:rPr>
        <w:t>Common Stock:</w:t>
      </w:r>
    </w:p>
    <w:p w:rsidR="00FB4E75" w:rsidRPr="00FE1CEA" w:rsidRDefault="00FB4E75">
      <w:pPr>
        <w:pStyle w:val="NormalWeb"/>
        <w:divId w:val="46998283"/>
        <w:rPr>
          <w:sz w:val="18"/>
          <w:szCs w:val="18"/>
        </w:rPr>
      </w:pPr>
      <w:r w:rsidRPr="00FE1CEA">
        <w:rPr>
          <w:sz w:val="18"/>
          <w:szCs w:val="18"/>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rsidR="00FB4E75" w:rsidRPr="00FE1CEA" w:rsidRDefault="00FB4E75">
      <w:pPr>
        <w:pStyle w:val="NormalWeb"/>
        <w:divId w:val="46998283"/>
        <w:rPr>
          <w:sz w:val="18"/>
          <w:szCs w:val="18"/>
        </w:rPr>
      </w:pPr>
      <w:r w:rsidRPr="00FE1CEA">
        <w:rPr>
          <w:sz w:val="18"/>
          <w:szCs w:val="18"/>
        </w:rPr>
        <w:t>Preferred Stock:</w:t>
      </w:r>
    </w:p>
    <w:p w:rsidR="00FB4E75" w:rsidRPr="00FE1CEA" w:rsidRDefault="00FB4E75">
      <w:pPr>
        <w:pStyle w:val="NormalWeb"/>
        <w:divId w:val="46998283"/>
        <w:rPr>
          <w:sz w:val="18"/>
          <w:szCs w:val="18"/>
        </w:rPr>
      </w:pPr>
      <w:r w:rsidRPr="00FE1CEA">
        <w:rPr>
          <w:sz w:val="18"/>
          <w:szCs w:val="18"/>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FB4E75" w:rsidRPr="00FE1CEA" w:rsidRDefault="00FB4E75">
      <w:pPr>
        <w:pStyle w:val="NormalWeb"/>
        <w:divId w:val="46998283"/>
        <w:rPr>
          <w:sz w:val="18"/>
          <w:szCs w:val="18"/>
        </w:rPr>
      </w:pPr>
      <w:r w:rsidRPr="00FE1CEA">
        <w:rPr>
          <w:sz w:val="18"/>
          <w:szCs w:val="18"/>
        </w:rPr>
        <w:t>Series 2 Convertible Preferred Stock:</w:t>
      </w:r>
    </w:p>
    <w:p w:rsidR="00FB4E75" w:rsidRPr="00FE1CEA" w:rsidRDefault="00FB4E75">
      <w:pPr>
        <w:pStyle w:val="NormalWeb"/>
        <w:divId w:val="46998283"/>
        <w:rPr>
          <w:sz w:val="18"/>
          <w:szCs w:val="18"/>
        </w:rPr>
      </w:pPr>
      <w:r w:rsidRPr="00FE1CEA">
        <w:rPr>
          <w:sz w:val="18"/>
          <w:szCs w:val="18"/>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FB4E75" w:rsidRPr="00FE1CEA" w:rsidRDefault="00FB4E75">
      <w:pPr>
        <w:pStyle w:val="NormalWeb"/>
        <w:divId w:val="46998283"/>
        <w:rPr>
          <w:sz w:val="18"/>
          <w:szCs w:val="18"/>
        </w:rPr>
      </w:pPr>
      <w:r w:rsidRPr="00FE1CEA">
        <w:rPr>
          <w:sz w:val="18"/>
          <w:szCs w:val="18"/>
        </w:rPr>
        <w:t>During November 1997, 172,000 shares of Series 2 preferred stock were converted into 344,000 shares of the Company's common stock.</w:t>
      </w:r>
    </w:p>
    <w:p w:rsidR="00FB4E75" w:rsidRPr="00FE1CEA" w:rsidRDefault="00FB4E75">
      <w:pPr>
        <w:pStyle w:val="NormalWeb"/>
        <w:divId w:val="46998283"/>
        <w:rPr>
          <w:sz w:val="18"/>
          <w:szCs w:val="18"/>
        </w:rPr>
      </w:pPr>
      <w:r w:rsidRPr="00FE1CEA">
        <w:rPr>
          <w:sz w:val="18"/>
          <w:szCs w:val="18"/>
        </w:rPr>
        <w:t>Series 4 Convertible Preferred Stock:</w:t>
      </w:r>
    </w:p>
    <w:p w:rsidR="00FB4E75" w:rsidRPr="00FE1CEA" w:rsidRDefault="00FB4E75">
      <w:pPr>
        <w:pStyle w:val="NormalWeb"/>
        <w:divId w:val="46998283"/>
        <w:rPr>
          <w:sz w:val="18"/>
          <w:szCs w:val="18"/>
        </w:rPr>
      </w:pPr>
      <w:r w:rsidRPr="00FE1CEA">
        <w:rPr>
          <w:sz w:val="18"/>
          <w:szCs w:val="18"/>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62" style="width:0;height:3pt" o:hralign="center" o:hrstd="t" o:hrnoshade="t" o:hr="t" fillcolor="black" stroked="f"/>
        </w:pict>
      </w:r>
    </w:p>
    <w:p w:rsidR="00370FF0" w:rsidRDefault="00370FF0">
      <w:pPr>
        <w:pStyle w:val="NormalWeb"/>
        <w:rPr>
          <w:b/>
          <w:bCs/>
          <w:sz w:val="18"/>
          <w:szCs w:val="18"/>
        </w:rPr>
      </w:pPr>
    </w:p>
    <w:p w:rsidR="00FB4E75" w:rsidRPr="00FE1CEA" w:rsidRDefault="00FB4E75">
      <w:pPr>
        <w:pStyle w:val="NormalWeb"/>
        <w:rPr>
          <w:sz w:val="18"/>
          <w:szCs w:val="18"/>
        </w:rPr>
      </w:pPr>
      <w:r w:rsidRPr="00FE1CEA">
        <w:rPr>
          <w:b/>
          <w:bCs/>
          <w:sz w:val="18"/>
          <w:szCs w:val="18"/>
        </w:rPr>
        <w:lastRenderedPageBreak/>
        <w:t>ITEM 2: MANAGEMENT'S DISCUSSION AND ANALYSIS OF FINANCIAL CONDITION AND RESULTS OF OPERATIONS.</w:t>
      </w:r>
    </w:p>
    <w:p w:rsidR="00FB4E75" w:rsidRPr="00FE1CEA" w:rsidRDefault="00FB4E75">
      <w:pPr>
        <w:pStyle w:val="NormalWeb"/>
        <w:rPr>
          <w:sz w:val="18"/>
          <w:szCs w:val="18"/>
        </w:rPr>
      </w:pPr>
      <w:r w:rsidRPr="00FE1CEA">
        <w:rPr>
          <w:sz w:val="18"/>
          <w:szCs w:val="18"/>
        </w:rPr>
        <w:t>The following should be read in conjunction with our Consolidated Financial Statements and the notes thereto included in the Financial Statements."</w:t>
      </w:r>
    </w:p>
    <w:p w:rsidR="00FB4E75" w:rsidRPr="00FE1CEA" w:rsidRDefault="00FB4E75">
      <w:pPr>
        <w:pStyle w:val="NormalWeb"/>
        <w:rPr>
          <w:sz w:val="18"/>
          <w:szCs w:val="18"/>
        </w:rPr>
      </w:pPr>
      <w:r w:rsidRPr="00FE1CEA">
        <w:rPr>
          <w:sz w:val="18"/>
          <w:szCs w:val="18"/>
        </w:rPr>
        <w:t xml:space="preserve">FORWARD LOOKING STATEMENTS: </w:t>
      </w:r>
    </w:p>
    <w:p w:rsidR="00FB4E75" w:rsidRPr="00FE1CEA" w:rsidRDefault="00FB4E75">
      <w:pPr>
        <w:pStyle w:val="NormalWeb"/>
        <w:rPr>
          <w:sz w:val="18"/>
          <w:szCs w:val="18"/>
        </w:rPr>
      </w:pPr>
      <w:r w:rsidRPr="00FE1CEA">
        <w:rPr>
          <w:sz w:val="18"/>
          <w:szCs w:val="18"/>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FB4E75" w:rsidRPr="00FE1CEA" w:rsidRDefault="00FB4E75">
      <w:pPr>
        <w:pStyle w:val="NormalWeb"/>
        <w:rPr>
          <w:sz w:val="18"/>
          <w:szCs w:val="18"/>
        </w:rPr>
      </w:pPr>
      <w:r w:rsidRPr="00FE1CEA">
        <w:rPr>
          <w:sz w:val="18"/>
          <w:szCs w:val="18"/>
        </w:rPr>
        <w:t>CRITICAL ACCOUNTING POLICIES AND ESTIMATES</w:t>
      </w:r>
    </w:p>
    <w:p w:rsidR="00FB4E75" w:rsidRPr="00FE1CEA" w:rsidRDefault="00FB4E75">
      <w:pPr>
        <w:pStyle w:val="NormalWeb"/>
        <w:rPr>
          <w:sz w:val="18"/>
          <w:szCs w:val="18"/>
        </w:rPr>
      </w:pPr>
      <w:r w:rsidRPr="00FE1CEA">
        <w:rPr>
          <w:sz w:val="18"/>
          <w:szCs w:val="18"/>
        </w:rPr>
        <w:t>The preparation of consolidated financial statements in conformity with accounting principles generally accepted in the U.S. (“GAAP”)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FB4E75" w:rsidRPr="00FE1CEA" w:rsidRDefault="00FB4E75">
      <w:pPr>
        <w:pStyle w:val="NormalWeb"/>
        <w:rPr>
          <w:sz w:val="18"/>
          <w:szCs w:val="18"/>
        </w:rPr>
      </w:pPr>
      <w:r w:rsidRPr="00FE1CEA">
        <w:rPr>
          <w:i/>
          <w:iCs/>
          <w:sz w:val="18"/>
          <w:szCs w:val="18"/>
        </w:rPr>
        <w:t xml:space="preserve">Recognition of rental income. </w:t>
      </w:r>
      <w:r w:rsidRPr="00FE1CEA">
        <w:rPr>
          <w:sz w:val="18"/>
          <w:szCs w:val="18"/>
        </w:rPr>
        <w:t>Rental income for commercial property leases is recognized on a straight-line basis over the respective lease terms.</w:t>
      </w:r>
    </w:p>
    <w:p w:rsidR="00FB4E75" w:rsidRPr="00FE1CEA" w:rsidRDefault="00FB4E75">
      <w:pPr>
        <w:pStyle w:val="NormalWeb"/>
        <w:rPr>
          <w:sz w:val="18"/>
          <w:szCs w:val="18"/>
        </w:rPr>
      </w:pPr>
      <w:r w:rsidRPr="00FE1CEA">
        <w:rPr>
          <w:sz w:val="18"/>
          <w:szCs w:val="18"/>
        </w:rPr>
        <w:t>Real Estate Accounting Principles: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FB4E75" w:rsidRPr="00FE1CEA" w:rsidRDefault="00FB4E75">
      <w:pPr>
        <w:pStyle w:val="NormalWeb"/>
        <w:rPr>
          <w:sz w:val="18"/>
          <w:szCs w:val="18"/>
        </w:rPr>
      </w:pPr>
      <w:r w:rsidRPr="00FE1CEA">
        <w:rPr>
          <w:i/>
          <w:iCs/>
          <w:sz w:val="18"/>
          <w:szCs w:val="18"/>
        </w:rPr>
        <w:t xml:space="preserve">Revenue recognition on the sale of real estate. </w:t>
      </w:r>
    </w:p>
    <w:p w:rsidR="00FB4E75" w:rsidRPr="00FE1CEA" w:rsidRDefault="00FB4E75">
      <w:pPr>
        <w:pStyle w:val="NormalWeb"/>
        <w:rPr>
          <w:sz w:val="18"/>
          <w:szCs w:val="18"/>
        </w:rPr>
      </w:pPr>
      <w:r w:rsidRPr="00FE1CEA">
        <w:rPr>
          <w:sz w:val="18"/>
          <w:szCs w:val="18"/>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FB4E75" w:rsidRPr="00FE1CEA" w:rsidRDefault="00FB4E75">
      <w:pPr>
        <w:pStyle w:val="NormalWeb"/>
        <w:rPr>
          <w:sz w:val="18"/>
          <w:szCs w:val="18"/>
        </w:rPr>
      </w:pPr>
      <w:r w:rsidRPr="00FE1CEA">
        <w:rPr>
          <w:sz w:val="18"/>
          <w:szCs w:val="18"/>
        </w:rPr>
        <w:t>Interest Recognition on Notes Receivable</w:t>
      </w:r>
    </w:p>
    <w:p w:rsidR="00FB4E75" w:rsidRPr="00FE1CEA" w:rsidRDefault="00FB4E75">
      <w:pPr>
        <w:pStyle w:val="NormalWeb"/>
        <w:rPr>
          <w:sz w:val="18"/>
          <w:szCs w:val="18"/>
        </w:rPr>
      </w:pPr>
      <w:r w:rsidRPr="00FE1CEA">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63" style="width:0;height:3pt" o:hralign="center" o:hrstd="t" o:hrnoshade="t" o:hr="t" fillcolor="black" stroked="f"/>
        </w:pict>
      </w:r>
    </w:p>
    <w:p w:rsidR="00370FF0" w:rsidRDefault="00370FF0">
      <w:pPr>
        <w:pStyle w:val="NormalWeb"/>
        <w:rPr>
          <w:i/>
          <w:iCs/>
          <w:sz w:val="18"/>
          <w:szCs w:val="18"/>
        </w:rPr>
      </w:pPr>
    </w:p>
    <w:p w:rsidR="00370FF0" w:rsidRDefault="00370FF0">
      <w:pPr>
        <w:pStyle w:val="NormalWeb"/>
        <w:rPr>
          <w:i/>
          <w:iCs/>
          <w:sz w:val="18"/>
          <w:szCs w:val="18"/>
        </w:rPr>
      </w:pPr>
    </w:p>
    <w:p w:rsidR="00370FF0" w:rsidRDefault="00370FF0">
      <w:pPr>
        <w:pStyle w:val="NormalWeb"/>
        <w:rPr>
          <w:i/>
          <w:iCs/>
          <w:sz w:val="18"/>
          <w:szCs w:val="18"/>
        </w:rPr>
      </w:pPr>
    </w:p>
    <w:p w:rsidR="00370FF0" w:rsidRDefault="00370FF0">
      <w:pPr>
        <w:pStyle w:val="NormalWeb"/>
        <w:rPr>
          <w:i/>
          <w:iCs/>
          <w:sz w:val="18"/>
          <w:szCs w:val="18"/>
        </w:rPr>
      </w:pPr>
    </w:p>
    <w:p w:rsidR="00370FF0" w:rsidRDefault="00370FF0">
      <w:pPr>
        <w:pStyle w:val="NormalWeb"/>
        <w:rPr>
          <w:i/>
          <w:iCs/>
          <w:sz w:val="18"/>
          <w:szCs w:val="18"/>
        </w:rPr>
      </w:pPr>
    </w:p>
    <w:p w:rsidR="00370FF0" w:rsidRDefault="00370FF0">
      <w:pPr>
        <w:pStyle w:val="NormalWeb"/>
        <w:rPr>
          <w:i/>
          <w:iCs/>
          <w:sz w:val="18"/>
          <w:szCs w:val="18"/>
        </w:rPr>
      </w:pPr>
    </w:p>
    <w:p w:rsidR="00FB4E75" w:rsidRPr="00FE1CEA" w:rsidRDefault="00FB4E75">
      <w:pPr>
        <w:pStyle w:val="NormalWeb"/>
        <w:rPr>
          <w:sz w:val="18"/>
          <w:szCs w:val="18"/>
        </w:rPr>
      </w:pPr>
      <w:r w:rsidRPr="00FE1CEA">
        <w:rPr>
          <w:i/>
          <w:iCs/>
          <w:sz w:val="18"/>
          <w:szCs w:val="18"/>
        </w:rPr>
        <w:lastRenderedPageBreak/>
        <w:t>Foreign currency translation:</w:t>
      </w:r>
    </w:p>
    <w:p w:rsidR="00FB4E75" w:rsidRPr="00FE1CEA" w:rsidRDefault="00FB4E75">
      <w:pPr>
        <w:pStyle w:val="NormalWeb"/>
        <w:rPr>
          <w:sz w:val="18"/>
          <w:szCs w:val="18"/>
        </w:rPr>
      </w:pPr>
      <w:r w:rsidRPr="00FE1CEA">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FB4E75" w:rsidRPr="00FE1CEA" w:rsidRDefault="00FB4E75">
      <w:pPr>
        <w:pStyle w:val="NormalWeb"/>
        <w:rPr>
          <w:sz w:val="18"/>
          <w:szCs w:val="18"/>
        </w:rPr>
      </w:pPr>
      <w:r w:rsidRPr="00FE1CEA">
        <w:rPr>
          <w:i/>
          <w:iCs/>
          <w:sz w:val="18"/>
          <w:szCs w:val="18"/>
        </w:rPr>
        <w:t>Income Taxes:</w:t>
      </w:r>
    </w:p>
    <w:p w:rsidR="00FB4E75" w:rsidRPr="00FE1CEA" w:rsidRDefault="00FB4E75">
      <w:pPr>
        <w:pStyle w:val="NormalWeb"/>
        <w:rPr>
          <w:sz w:val="18"/>
          <w:szCs w:val="18"/>
        </w:rPr>
      </w:pPr>
      <w:r w:rsidRPr="00FE1CEA">
        <w:rPr>
          <w:sz w:val="18"/>
          <w:szCs w:val="18"/>
        </w:rPr>
        <w:t xml:space="preserve">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w:t>
      </w:r>
    </w:p>
    <w:p w:rsidR="00FB4E75" w:rsidRPr="00FE1CEA" w:rsidRDefault="00FB4E75">
      <w:pPr>
        <w:pStyle w:val="NormalWeb"/>
        <w:rPr>
          <w:sz w:val="18"/>
          <w:szCs w:val="18"/>
        </w:rPr>
      </w:pPr>
      <w:r w:rsidRPr="00FE1CEA">
        <w:rPr>
          <w:sz w:val="18"/>
          <w:szCs w:val="18"/>
        </w:rPr>
        <w:t>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FB4E75" w:rsidRPr="00FE1CEA" w:rsidRDefault="00FB4E75">
      <w:pPr>
        <w:pStyle w:val="NormalWeb"/>
        <w:rPr>
          <w:sz w:val="18"/>
          <w:szCs w:val="18"/>
        </w:rPr>
      </w:pPr>
      <w:r w:rsidRPr="00FE1CEA">
        <w:rPr>
          <w:i/>
          <w:iCs/>
          <w:sz w:val="18"/>
          <w:szCs w:val="18"/>
        </w:rPr>
        <w:t>Net Earnings per Share:</w:t>
      </w:r>
    </w:p>
    <w:p w:rsidR="00FB4E75" w:rsidRPr="00FE1CEA" w:rsidRDefault="00FB4E75">
      <w:pPr>
        <w:pStyle w:val="NormalWeb"/>
        <w:rPr>
          <w:sz w:val="18"/>
          <w:szCs w:val="18"/>
        </w:rPr>
      </w:pPr>
      <w:r w:rsidRPr="00FE1CEA">
        <w:rPr>
          <w:sz w:val="18"/>
          <w:szCs w:val="18"/>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FB4E75" w:rsidRPr="00FE1CEA" w:rsidRDefault="00FB4E75">
      <w:pPr>
        <w:pStyle w:val="NormalWeb"/>
        <w:rPr>
          <w:sz w:val="18"/>
          <w:szCs w:val="18"/>
        </w:rPr>
      </w:pPr>
      <w:r w:rsidRPr="00FE1CEA">
        <w:rPr>
          <w:i/>
          <w:iCs/>
          <w:sz w:val="18"/>
          <w:szCs w:val="18"/>
        </w:rPr>
        <w:t>Cash and Cash Equivalents:</w:t>
      </w:r>
    </w:p>
    <w:p w:rsidR="00FB4E75" w:rsidRPr="00FE1CEA" w:rsidRDefault="00FB4E75">
      <w:pPr>
        <w:pStyle w:val="NormalWeb"/>
        <w:rPr>
          <w:sz w:val="18"/>
          <w:szCs w:val="18"/>
        </w:rPr>
      </w:pPr>
      <w:r w:rsidRPr="00FE1CEA">
        <w:rPr>
          <w:sz w:val="18"/>
          <w:szCs w:val="18"/>
        </w:rPr>
        <w:t>For purposes of the statement of cash flows, the Company considers all highly-liquid investments purchased with original maturities of three months or less to be cash equivalents.</w:t>
      </w:r>
    </w:p>
    <w:p w:rsidR="00FB4E75" w:rsidRPr="00FE1CEA" w:rsidRDefault="00FB4E75">
      <w:pPr>
        <w:pStyle w:val="NormalWeb"/>
        <w:rPr>
          <w:sz w:val="18"/>
          <w:szCs w:val="18"/>
        </w:rPr>
      </w:pPr>
      <w:r w:rsidRPr="00FE1CEA">
        <w:rPr>
          <w:sz w:val="18"/>
          <w:szCs w:val="18"/>
        </w:rPr>
        <w:t>The Company maintains its cash in bank deposit accounts which, at March 31, 2015 did not exceed federally insured limits. The Company has not experienced any losses in such accounts and believes that it is not exposed to any significant credit risk on such amounts.</w:t>
      </w:r>
    </w:p>
    <w:p w:rsidR="00FB4E75" w:rsidRPr="00FE1CEA" w:rsidRDefault="00FB4E75">
      <w:pPr>
        <w:pStyle w:val="NormalWeb"/>
        <w:rPr>
          <w:sz w:val="18"/>
          <w:szCs w:val="18"/>
        </w:rPr>
      </w:pPr>
      <w:r w:rsidRPr="00FE1CEA">
        <w:rPr>
          <w:i/>
          <w:iCs/>
          <w:sz w:val="18"/>
          <w:szCs w:val="18"/>
        </w:rPr>
        <w:t>Estimates:</w:t>
      </w:r>
    </w:p>
    <w:p w:rsidR="00FB4E75" w:rsidRPr="00FE1CEA" w:rsidRDefault="00FB4E75">
      <w:pPr>
        <w:pStyle w:val="NormalWeb"/>
        <w:rPr>
          <w:sz w:val="18"/>
          <w:szCs w:val="18"/>
        </w:rPr>
      </w:pPr>
      <w:r w:rsidRPr="00FE1CEA">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FB4E75" w:rsidRPr="00FE1CEA" w:rsidRDefault="00FB4E75">
      <w:pPr>
        <w:pStyle w:val="NormalWeb"/>
        <w:rPr>
          <w:sz w:val="18"/>
          <w:szCs w:val="18"/>
        </w:rPr>
      </w:pPr>
      <w:r w:rsidRPr="00FE1CEA">
        <w:rPr>
          <w:i/>
          <w:iCs/>
          <w:sz w:val="18"/>
          <w:szCs w:val="18"/>
        </w:rPr>
        <w:t>Concentrations of Credit Risk</w:t>
      </w:r>
      <w:r w:rsidRPr="00FE1CEA">
        <w:rPr>
          <w:sz w:val="18"/>
          <w:szCs w:val="18"/>
        </w:rPr>
        <w:t>:</w:t>
      </w:r>
    </w:p>
    <w:p w:rsidR="00FB4E75" w:rsidRPr="00FE1CEA" w:rsidRDefault="00FB4E75">
      <w:pPr>
        <w:pStyle w:val="NormalWeb"/>
        <w:rPr>
          <w:sz w:val="18"/>
          <w:szCs w:val="18"/>
        </w:rPr>
      </w:pPr>
      <w:r w:rsidRPr="00FE1CEA">
        <w:rPr>
          <w:sz w:val="18"/>
          <w:szCs w:val="18"/>
        </w:rPr>
        <w:t>Financial instruments that potentially subject the Company to major credit risk consist principally of a single subsidiary of Anton Nielsen Vojens ApS and its customer concentration.</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64" style="width:0;height:3pt" o:hralign="center" o:hrstd="t" o:hrnoshade="t" o:hr="t" fillcolor="black" stroked="f"/>
        </w:pict>
      </w:r>
    </w:p>
    <w:p w:rsidR="00370FF0" w:rsidRDefault="00370FF0">
      <w:pPr>
        <w:rPr>
          <w:i/>
          <w:iCs/>
          <w:sz w:val="18"/>
          <w:szCs w:val="18"/>
        </w:rPr>
      </w:pPr>
      <w:r>
        <w:rPr>
          <w:i/>
          <w:iCs/>
          <w:sz w:val="18"/>
          <w:szCs w:val="18"/>
        </w:rPr>
        <w:br w:type="page"/>
      </w:r>
    </w:p>
    <w:p w:rsidR="00FB4E75" w:rsidRPr="00FE1CEA" w:rsidRDefault="00FB4E75">
      <w:pPr>
        <w:pStyle w:val="NormalWeb"/>
        <w:rPr>
          <w:sz w:val="18"/>
          <w:szCs w:val="18"/>
        </w:rPr>
      </w:pPr>
      <w:r w:rsidRPr="00FE1CEA">
        <w:rPr>
          <w:i/>
          <w:iCs/>
          <w:sz w:val="18"/>
          <w:szCs w:val="18"/>
        </w:rPr>
        <w:lastRenderedPageBreak/>
        <w:t>Recently Issued Accounting Standards</w:t>
      </w:r>
    </w:p>
    <w:p w:rsidR="00FB4E75" w:rsidRPr="00FE1CEA" w:rsidRDefault="00FB4E75">
      <w:pPr>
        <w:pStyle w:val="NormalWeb"/>
        <w:divId w:val="9526830"/>
        <w:rPr>
          <w:sz w:val="18"/>
          <w:szCs w:val="18"/>
        </w:rPr>
      </w:pPr>
      <w:r w:rsidRPr="00FE1CEA">
        <w:rPr>
          <w:sz w:val="18"/>
          <w:szCs w:val="18"/>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FB4E75" w:rsidRPr="00FE1CEA" w:rsidRDefault="00FB4E75">
      <w:pPr>
        <w:pStyle w:val="NormalWeb"/>
        <w:divId w:val="9526830"/>
        <w:rPr>
          <w:sz w:val="18"/>
          <w:szCs w:val="18"/>
        </w:rPr>
      </w:pPr>
      <w:r w:rsidRPr="00FE1CEA">
        <w:rPr>
          <w:sz w:val="18"/>
          <w:szCs w:val="18"/>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FB4E75" w:rsidRPr="00FE1CEA" w:rsidRDefault="00FB4E75">
      <w:pPr>
        <w:pStyle w:val="NormalWeb"/>
        <w:divId w:val="9526830"/>
        <w:rPr>
          <w:sz w:val="18"/>
          <w:szCs w:val="18"/>
        </w:rPr>
      </w:pPr>
      <w:r w:rsidRPr="00FE1CEA">
        <w:rPr>
          <w:sz w:val="18"/>
          <w:szCs w:val="18"/>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FB4E75" w:rsidRPr="00FE1CEA" w:rsidRDefault="00FB4E75">
      <w:pPr>
        <w:pStyle w:val="NormalWeb"/>
        <w:divId w:val="9526830"/>
        <w:rPr>
          <w:sz w:val="18"/>
          <w:szCs w:val="18"/>
        </w:rPr>
      </w:pPr>
      <w:r w:rsidRPr="00FE1CEA">
        <w:rPr>
          <w:sz w:val="18"/>
          <w:szCs w:val="18"/>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FB4E75" w:rsidRPr="00FE1CEA" w:rsidRDefault="00FB4E75">
      <w:pPr>
        <w:pStyle w:val="NormalWeb"/>
        <w:divId w:val="9526830"/>
        <w:rPr>
          <w:sz w:val="18"/>
          <w:szCs w:val="18"/>
        </w:rPr>
      </w:pPr>
      <w:r w:rsidRPr="00FE1CEA">
        <w:rPr>
          <w:sz w:val="18"/>
          <w:szCs w:val="18"/>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in the interim period ending March 31, 2015 and it does not expect the adoption to have a material impact on its consolidated financial position, results of operations or cash flows.</w:t>
      </w:r>
    </w:p>
    <w:p w:rsidR="00FB4E75" w:rsidRPr="00FE1CEA" w:rsidRDefault="00FB4E75">
      <w:pPr>
        <w:pStyle w:val="NormalWeb"/>
        <w:divId w:val="117534243"/>
        <w:rPr>
          <w:sz w:val="18"/>
          <w:szCs w:val="18"/>
        </w:rPr>
      </w:pPr>
      <w:r w:rsidRPr="00FE1CEA">
        <w:rPr>
          <w:sz w:val="18"/>
          <w:szCs w:val="18"/>
        </w:rPr>
        <w:t>In May 2014, the Financial Accounting Standards Board issued ASU No. 2014-09, “Revenue from Contracts with Customers.” Under the new standard, revenue is recognized at the time a good or service is transferred to a customer for the amount of consideration received for that specific good or service. It is effective for annual reporting periods beginning after December 15, 2016, including interim reporting periods, and early adoption is not permitted. Entities may use a full retrospective approach or report the cumulative effect as of the date of adoption. We are currently evaluating the impact, if any, the adoption of this standard will have on our Consolidated Financial Statements.</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65" style="width:0;height:3pt" o:hralign="center" o:hrstd="t" o:hrnoshade="t" o:hr="t" fillcolor="black" stroked="f"/>
        </w:pict>
      </w:r>
    </w:p>
    <w:p w:rsidR="00370FF0" w:rsidRDefault="00370FF0">
      <w:pPr>
        <w:rPr>
          <w:b/>
          <w:bCs/>
          <w:sz w:val="18"/>
          <w:szCs w:val="18"/>
        </w:rPr>
      </w:pPr>
      <w:r>
        <w:rPr>
          <w:b/>
          <w:bCs/>
          <w:sz w:val="18"/>
          <w:szCs w:val="18"/>
        </w:rPr>
        <w:br w:type="page"/>
      </w:r>
    </w:p>
    <w:p w:rsidR="00FB4E75" w:rsidRPr="00FE1CEA" w:rsidRDefault="00FB4E75">
      <w:pPr>
        <w:pStyle w:val="NormalWeb"/>
        <w:rPr>
          <w:sz w:val="18"/>
          <w:szCs w:val="18"/>
        </w:rPr>
      </w:pPr>
      <w:r w:rsidRPr="00FE1CEA">
        <w:rPr>
          <w:b/>
          <w:bCs/>
          <w:sz w:val="18"/>
          <w:szCs w:val="18"/>
        </w:rPr>
        <w:lastRenderedPageBreak/>
        <w:t>RESULTS OF OPERATIONS FOR THE THREE MONTH PERIOD ENDING MARCH 31, 2015 COMPARED TO 2014</w:t>
      </w:r>
    </w:p>
    <w:p w:rsidR="00FB4E75" w:rsidRPr="00FE1CEA" w:rsidRDefault="00FB4E75">
      <w:pPr>
        <w:pStyle w:val="NormalWeb"/>
        <w:rPr>
          <w:sz w:val="18"/>
          <w:szCs w:val="18"/>
        </w:rPr>
      </w:pPr>
      <w:r w:rsidRPr="00FE1CEA">
        <w:rPr>
          <w:i/>
          <w:iCs/>
          <w:sz w:val="18"/>
          <w:szCs w:val="18"/>
        </w:rPr>
        <w:t>Revenues:</w:t>
      </w:r>
      <w:r w:rsidRPr="00FE1CEA">
        <w:rPr>
          <w:sz w:val="18"/>
          <w:szCs w:val="18"/>
        </w:rPr>
        <w:t xml:space="preserve"> Revenues from operations for the three month period ending March 31, 2015 and March 31, 2014 were $8,669 and $11,193 respectively . They were attributable to rental payments for the commercial real estate held by Anton Nielsen Vojens and the fluctuation was due to currency value changes.</w:t>
      </w:r>
    </w:p>
    <w:p w:rsidR="00FB4E75" w:rsidRPr="00FE1CEA" w:rsidRDefault="00FB4E75">
      <w:pPr>
        <w:pStyle w:val="NormalWeb"/>
        <w:rPr>
          <w:sz w:val="18"/>
          <w:szCs w:val="18"/>
        </w:rPr>
      </w:pPr>
      <w:r w:rsidRPr="00FE1CEA">
        <w:rPr>
          <w:i/>
          <w:iCs/>
          <w:sz w:val="18"/>
          <w:szCs w:val="18"/>
        </w:rPr>
        <w:t xml:space="preserve">Selling, general and administrative expenses: </w:t>
      </w:r>
      <w:r w:rsidRPr="00FE1CEA">
        <w:rPr>
          <w:sz w:val="18"/>
          <w:szCs w:val="18"/>
        </w:rPr>
        <w:t>SG&amp;A expenses for the three month period ending March 31, 2015 and March 31, 2014 were $2,19 and $5,805. The expenses are attributable to ANV's operations.</w:t>
      </w:r>
    </w:p>
    <w:p w:rsidR="00FB4E75" w:rsidRPr="00FE1CEA" w:rsidRDefault="00FB4E75">
      <w:pPr>
        <w:pStyle w:val="NormalWeb"/>
        <w:rPr>
          <w:sz w:val="18"/>
          <w:szCs w:val="18"/>
        </w:rPr>
      </w:pPr>
      <w:r w:rsidRPr="00FE1CEA">
        <w:rPr>
          <w:i/>
          <w:iCs/>
          <w:sz w:val="18"/>
          <w:szCs w:val="18"/>
        </w:rPr>
        <w:t xml:space="preserve">Interest expense: </w:t>
      </w:r>
      <w:r w:rsidRPr="00FE1CEA">
        <w:rPr>
          <w:sz w:val="18"/>
          <w:szCs w:val="18"/>
        </w:rPr>
        <w:t>Interest expense for the three month period ending March 31, 2015 and March 31, 2014 was $2,260 and $4,350 respectively. Interest expenses for 2015 are lower primarily due to the additional debt secured by the Company's subsidiary and foreign currency adjustments of the US Dollar.</w:t>
      </w:r>
    </w:p>
    <w:p w:rsidR="00FB4E75" w:rsidRPr="00FE1CEA" w:rsidRDefault="00FB4E75">
      <w:pPr>
        <w:pStyle w:val="NormalWeb"/>
        <w:rPr>
          <w:sz w:val="18"/>
          <w:szCs w:val="18"/>
        </w:rPr>
      </w:pPr>
      <w:r w:rsidRPr="00FE1CEA">
        <w:rPr>
          <w:i/>
          <w:iCs/>
          <w:sz w:val="18"/>
          <w:szCs w:val="18"/>
        </w:rPr>
        <w:t xml:space="preserve">Net income (loss) attributed to common stockholders: </w:t>
      </w:r>
      <w:r w:rsidRPr="00FE1CEA">
        <w:rPr>
          <w:sz w:val="18"/>
          <w:szCs w:val="18"/>
        </w:rPr>
        <w:t>Net loss and income for the three month period ending March 31, 2015 and March 31, 2014 attributed to common stockholders was $4,215 or $0.0018 per share and $1,038, or $0.000 per share respectively.</w:t>
      </w:r>
    </w:p>
    <w:p w:rsidR="00FB4E75" w:rsidRPr="00FE1CEA" w:rsidRDefault="00FB4E75">
      <w:pPr>
        <w:pStyle w:val="NormalWeb"/>
        <w:rPr>
          <w:sz w:val="18"/>
          <w:szCs w:val="18"/>
        </w:rPr>
      </w:pPr>
      <w:r w:rsidRPr="00FE1CEA">
        <w:rPr>
          <w:i/>
          <w:iCs/>
          <w:sz w:val="18"/>
          <w:szCs w:val="18"/>
        </w:rPr>
        <w:t xml:space="preserve">Liquidity and Capital Resources: </w:t>
      </w:r>
      <w:r w:rsidRPr="00FE1CEA">
        <w:rPr>
          <w:sz w:val="18"/>
          <w:szCs w:val="18"/>
        </w:rPr>
        <w:t>As March 31, 2015, the Company had $87,545 in cash and cash equivalents and a working capital of $212,428 as compared to March 31, 2014 the Company had $85,681 in cash and cash equivalents and a working capital of $232,536. The change in cash is primarily due the Company's subsidiary's financing activities and to the payments made on its debt. The decrease in the working capital is primarily related operations of ANV real estate.</w:t>
      </w:r>
    </w:p>
    <w:p w:rsidR="00FB4E75" w:rsidRPr="00FE1CEA" w:rsidRDefault="00FB4E75">
      <w:pPr>
        <w:pStyle w:val="NormalWeb"/>
        <w:rPr>
          <w:sz w:val="18"/>
          <w:szCs w:val="18"/>
        </w:rPr>
      </w:pPr>
      <w:r w:rsidRPr="00FE1CEA">
        <w:rPr>
          <w:sz w:val="18"/>
          <w:szCs w:val="18"/>
        </w:rPr>
        <w:t>Net cash provided (used) by operating activities for three month period ending March 31, 2015 was 6,521 as compared to March 31, 2014 which was $2,817. The net cash used by operating activities was primarily due to the operations of ANV.</w:t>
      </w:r>
    </w:p>
    <w:p w:rsidR="00FB4E75" w:rsidRPr="00FE1CEA" w:rsidRDefault="00FB4E75">
      <w:pPr>
        <w:pStyle w:val="NormalWeb"/>
        <w:rPr>
          <w:sz w:val="18"/>
          <w:szCs w:val="18"/>
        </w:rPr>
      </w:pPr>
      <w:r w:rsidRPr="00FE1CEA">
        <w:rPr>
          <w:sz w:val="18"/>
          <w:szCs w:val="18"/>
        </w:rPr>
        <w:t>OFF BALANCE SHEET ARRANGEMENTS</w:t>
      </w:r>
    </w:p>
    <w:p w:rsidR="00FB4E75" w:rsidRPr="00FE1CEA" w:rsidRDefault="00FB4E75">
      <w:pPr>
        <w:pStyle w:val="NormalWeb"/>
        <w:rPr>
          <w:sz w:val="18"/>
          <w:szCs w:val="18"/>
        </w:rPr>
      </w:pPr>
      <w:r w:rsidRPr="00FE1CEA">
        <w:rPr>
          <w:sz w:val="18"/>
          <w:szCs w:val="18"/>
        </w:rPr>
        <w:t>We do not currently have any off balance sheet arrangements.</w:t>
      </w:r>
    </w:p>
    <w:p w:rsidR="00FB4E75" w:rsidRPr="00FE1CEA" w:rsidRDefault="00FB4E75">
      <w:pPr>
        <w:pStyle w:val="NormalWeb"/>
        <w:rPr>
          <w:sz w:val="18"/>
          <w:szCs w:val="18"/>
        </w:rPr>
      </w:pPr>
      <w:r w:rsidRPr="00FE1CEA">
        <w:rPr>
          <w:sz w:val="18"/>
          <w:szCs w:val="18"/>
        </w:rPr>
        <w:t>ACQUISITION EFFORTS:</w:t>
      </w:r>
    </w:p>
    <w:p w:rsidR="00FB4E75" w:rsidRPr="00FE1CEA" w:rsidRDefault="00FB4E75">
      <w:pPr>
        <w:pStyle w:val="NormalWeb"/>
        <w:rPr>
          <w:sz w:val="18"/>
          <w:szCs w:val="18"/>
        </w:rPr>
      </w:pPr>
      <w:r w:rsidRPr="00FE1CEA">
        <w:rPr>
          <w:sz w:val="18"/>
          <w:szCs w:val="18"/>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FB4E75" w:rsidRPr="00FE1CEA" w:rsidRDefault="00FB4E75">
      <w:pPr>
        <w:pStyle w:val="NormalWeb"/>
        <w:rPr>
          <w:sz w:val="18"/>
          <w:szCs w:val="18"/>
        </w:rPr>
      </w:pPr>
      <w:r w:rsidRPr="00FE1CEA">
        <w:rPr>
          <w:sz w:val="18"/>
          <w:szCs w:val="18"/>
        </w:rPr>
        <w:t>HISTORICAL OPERATIONS:</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66" style="width:0;height:3pt" o:hralign="center" o:hrstd="t" o:hrnoshade="t" o:hr="t" fillcolor="black" stroked="f"/>
        </w:pict>
      </w:r>
    </w:p>
    <w:p w:rsidR="00370FF0" w:rsidRDefault="00FB4E75">
      <w:pPr>
        <w:pStyle w:val="NormalWeb"/>
        <w:rPr>
          <w:sz w:val="18"/>
          <w:szCs w:val="18"/>
        </w:rPr>
      </w:pPr>
      <w:r w:rsidRPr="00FE1CEA">
        <w:rPr>
          <w:sz w:val="18"/>
          <w:szCs w:val="18"/>
        </w:rPr>
        <w:br/>
      </w:r>
    </w:p>
    <w:p w:rsidR="00370FF0" w:rsidRDefault="00370FF0">
      <w:pPr>
        <w:rPr>
          <w:sz w:val="18"/>
          <w:szCs w:val="18"/>
        </w:rPr>
      </w:pPr>
      <w:r>
        <w:rPr>
          <w:sz w:val="18"/>
          <w:szCs w:val="18"/>
        </w:rPr>
        <w:br w:type="page"/>
      </w:r>
    </w:p>
    <w:p w:rsidR="00FB4E75" w:rsidRPr="00FE1CEA" w:rsidRDefault="00FB4E75">
      <w:pPr>
        <w:pStyle w:val="NormalWeb"/>
        <w:rPr>
          <w:sz w:val="18"/>
          <w:szCs w:val="18"/>
        </w:rPr>
      </w:pPr>
      <w:r w:rsidRPr="00FE1CEA">
        <w:rPr>
          <w:sz w:val="18"/>
          <w:szCs w:val="18"/>
        </w:rPr>
        <w:lastRenderedPageBreak/>
        <w:t>On March 9, 1998, pursuant to an Agreement for Purchase and Sale of Specified Business Assets ("Purchase Agreement"), a Promissory Note ("Note"),and a Security Agreement ("Security Agreement") all dated March 9, 1998, Advanced Oxygen Technologies, Inc. (the "Company") purchased certain tangible and intangible assets (the "Assets") including goodwill and rights under certain contracts, from Integrated Marketing Agency, Inc., a California Corporation ("IMA").</w:t>
      </w:r>
    </w:p>
    <w:p w:rsidR="00FB4E75" w:rsidRPr="00FE1CEA" w:rsidRDefault="00FB4E75">
      <w:pPr>
        <w:pStyle w:val="NormalWeb"/>
        <w:rPr>
          <w:sz w:val="18"/>
          <w:szCs w:val="18"/>
        </w:rPr>
      </w:pPr>
      <w:r w:rsidRPr="00FE1CEA">
        <w:rPr>
          <w:sz w:val="18"/>
          <w:szCs w:val="18"/>
        </w:rPr>
        <w:t xml:space="preserve">Pursuant to an employment agreement dated March 09, 1998 between the Company and John Teuber ("Employment Agreement"), on September 04, 1998 the Company terminated John Teuber for cause without relinquishing any of its rights or remedies. </w:t>
      </w:r>
    </w:p>
    <w:p w:rsidR="00FB4E75" w:rsidRPr="00FE1CEA" w:rsidRDefault="00FB4E75">
      <w:pPr>
        <w:pStyle w:val="NormalWeb"/>
        <w:rPr>
          <w:sz w:val="18"/>
          <w:szCs w:val="18"/>
        </w:rPr>
      </w:pPr>
      <w:r w:rsidRPr="00FE1CEA">
        <w:rPr>
          <w:sz w:val="18"/>
          <w:szCs w:val="18"/>
        </w:rPr>
        <w:t xml:space="preserve">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 </w:t>
      </w:r>
    </w:p>
    <w:p w:rsidR="00FB4E75" w:rsidRPr="00FE1CEA" w:rsidRDefault="00FB4E75">
      <w:pPr>
        <w:pStyle w:val="NormalWeb"/>
        <w:rPr>
          <w:sz w:val="18"/>
          <w:szCs w:val="18"/>
        </w:rPr>
      </w:pPr>
      <w:r w:rsidRPr="00FE1CEA">
        <w:rPr>
          <w:sz w:val="18"/>
          <w:szCs w:val="18"/>
        </w:rPr>
        <w:t xml:space="preserve">The Company entered into a two year employment agreement ("NAG Agreement" as contained in Exhibit I of the registrants SEC Form 10-K for the period ending June 30, 1998) with Nancy Gaylord on March 13, 1998. On September 18, 1998, Nancy Gaylord terminated her employment with the Company. The NAG Agreement had no provision for this termination. The Company entered into a lease agreement as contained in Exhibit I of the registrants SEC Form 10-QSB for the period ending December 31, 1998 with America-United Enterprises Inc. on October 01, 1998 and took possession of 4,700 sf. of premises on November 06,1998 in Santa Clarita for its CA location. Currently, this is the only California location of the Company. </w:t>
      </w:r>
    </w:p>
    <w:p w:rsidR="00FB4E75" w:rsidRPr="00FE1CEA" w:rsidRDefault="00FB4E75">
      <w:pPr>
        <w:pStyle w:val="NormalWeb"/>
        <w:rPr>
          <w:sz w:val="18"/>
          <w:szCs w:val="18"/>
        </w:rPr>
      </w:pPr>
      <w:r w:rsidRPr="00FE1CEA">
        <w:rPr>
          <w:sz w:val="18"/>
          <w:szCs w:val="18"/>
        </w:rPr>
        <w:t xml:space="preserve">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 </w:t>
      </w:r>
    </w:p>
    <w:p w:rsidR="00FB4E75" w:rsidRPr="00FE1CEA" w:rsidRDefault="00FB4E75">
      <w:pPr>
        <w:pStyle w:val="NormalWeb"/>
        <w:rPr>
          <w:sz w:val="18"/>
          <w:szCs w:val="18"/>
        </w:rPr>
      </w:pPr>
      <w:r w:rsidRPr="00FE1CEA">
        <w:rPr>
          <w:sz w:val="18"/>
          <w:szCs w:val="18"/>
        </w:rPr>
        <w:t xml:space="preserve">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 </w:t>
      </w:r>
    </w:p>
    <w:p w:rsidR="00FB4E75" w:rsidRPr="00FE1CEA" w:rsidRDefault="00FB4E75">
      <w:pPr>
        <w:pStyle w:val="NormalWeb"/>
        <w:rPr>
          <w:sz w:val="18"/>
          <w:szCs w:val="18"/>
        </w:rPr>
      </w:pPr>
      <w:r w:rsidRPr="00FE1CEA">
        <w:rPr>
          <w:sz w:val="18"/>
          <w:szCs w:val="18"/>
        </w:rPr>
        <w:t xml:space="preserve">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 s Certificate of Incorporation to change the name of the Company to AOXY, Inc. The Company s current name was adopted in 1985 when the Company was focused on applications of its technology which it has since disposed of or otherwise abandoned. The Board of Directors believes it would be more appropriate for the Company to utilize a </w:t>
      </w:r>
    </w:p>
    <w:p w:rsidR="00FB4E75" w:rsidRPr="00FE1CEA" w:rsidRDefault="00FB4E75">
      <w:pPr>
        <w:pStyle w:val="NormalWeb"/>
        <w:rPr>
          <w:sz w:val="18"/>
          <w:szCs w:val="18"/>
        </w:rPr>
      </w:pPr>
      <w:r w:rsidRPr="00FE1CEA">
        <w:rPr>
          <w:sz w:val="18"/>
          <w:szCs w:val="18"/>
        </w:rPr>
        <w:t>corporate name which more accurately describes the current focus of the Company or is not misleading as to the Company s operations. The above amendments to the Certificate of Incorporation will be filed with the Secretary of State of the State of Delaware, and the Name Change will become effective as of 5:00 p.m. Eastern Time, on the date of such filing.</w:t>
      </w:r>
    </w:p>
    <w:p w:rsidR="00FB4E75" w:rsidRPr="00FE1CEA" w:rsidRDefault="00FB4E75">
      <w:pPr>
        <w:pStyle w:val="NormalWeb"/>
        <w:rPr>
          <w:sz w:val="18"/>
          <w:szCs w:val="18"/>
        </w:rPr>
      </w:pPr>
      <w:r w:rsidRPr="00FE1CEA">
        <w:rPr>
          <w:sz w:val="18"/>
          <w:szCs w:val="18"/>
        </w:rPr>
        <w:t>On December 31, 2000, AOXY entered into an agreement with Eastern Star, ltd, and Baldwin Construction Co (the "Purchasers") whereby  the Purchasers will buy three million shares of capital stock of AOXY for one hundred and twenty five thousand dollars pursuant to a purchase agreement ("Purchase Agreement"). The Company has concluded the issuance and delivery of the shares pursuant to the Purchase Agreement. In addition, the Company received a request from Ann Sejeroe for a conversion of her 1 Preferred Share number P 0002 issued April 16, 1998, and in accordance with the restrictions, terms and conditions, as evidenced on the reverse side of the share certificate, the Company issued 333,333 shares bearing a restrictive legend.</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67" style="width:0;height:3pt" o:hralign="center" o:hrstd="t" o:hrnoshade="t" o:hr="t" fillcolor="black" stroked="f"/>
        </w:pict>
      </w:r>
    </w:p>
    <w:p w:rsidR="00370FF0" w:rsidRDefault="00370FF0">
      <w:pPr>
        <w:rPr>
          <w:sz w:val="18"/>
          <w:szCs w:val="18"/>
        </w:rPr>
      </w:pPr>
      <w:r>
        <w:rPr>
          <w:sz w:val="18"/>
          <w:szCs w:val="18"/>
        </w:rPr>
        <w:br w:type="page"/>
      </w:r>
    </w:p>
    <w:p w:rsidR="00FB4E75" w:rsidRPr="00FE1CEA" w:rsidRDefault="00FB4E75">
      <w:pPr>
        <w:pStyle w:val="NormalWeb"/>
        <w:rPr>
          <w:sz w:val="18"/>
          <w:szCs w:val="18"/>
        </w:rPr>
      </w:pPr>
      <w:r w:rsidRPr="00FE1CEA">
        <w:rPr>
          <w:sz w:val="18"/>
          <w:szCs w:val="18"/>
        </w:rPr>
        <w:lastRenderedPageBreak/>
        <w:t>The Company had a location in Santa Clarita, CA for operations. In 2000 the Company had abandoned this facility and equipment and maintained no staff other than the sole officer of the Company. Currently, the sole officer of the Company allows the Company to maintain its books, records and operations at its office.</w:t>
      </w:r>
    </w:p>
    <w:p w:rsidR="00FB4E75" w:rsidRPr="00FE1CEA" w:rsidRDefault="00FB4E75">
      <w:pPr>
        <w:pStyle w:val="NormalWeb"/>
        <w:rPr>
          <w:sz w:val="18"/>
          <w:szCs w:val="18"/>
        </w:rPr>
      </w:pPr>
      <w:r w:rsidRPr="00FE1CEA">
        <w:rPr>
          <w:sz w:val="18"/>
          <w:szCs w:val="18"/>
        </w:rPr>
        <w:t>On February 14, 2002 the Company gave notice of the change of the Company's location, and location of books and records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FB4E75" w:rsidRPr="00FE1CEA" w:rsidRDefault="00FB4E75">
      <w:pPr>
        <w:pStyle w:val="NormalWeb"/>
        <w:spacing w:after="240" w:afterAutospacing="0"/>
        <w:rPr>
          <w:sz w:val="18"/>
          <w:szCs w:val="18"/>
        </w:rPr>
      </w:pPr>
      <w:r w:rsidRPr="00FE1CEA">
        <w:rPr>
          <w:sz w:val="18"/>
          <w:szCs w:val="18"/>
        </w:rPr>
        <w:t>The Company maintained a database ("Database") of business contacts that have participated in conference events. The Database was obtained through acquisition and the Company's activities of marketing events and producing CD-ROMS for clients. AOXY had a database management contract with Dun and Bradstreet, ("DB") and Walter Karl, Inc., a division of InfoUSA, Inc. ("WK") whereby, Walter Karl, Inc. will broker the Company's Database. Walter Karl's function was to market and rent the data contained in the Database. This was available in one of two formats: on a one time basis, or a 'database' basis whereby the customer will commit to a minimum number of contact names. The majority of the customers using the Database through WK were direct business to business marketers. WK received a fee for each sale. During the year ending June 30, 2002 Walter Karl was the Company s only source of revenue. During this period, Walter Karl was the Company s only customer. At the same time AOXY had an agreement with Dun and Bradstreet whereby DB would update, correct, append, and offer deletions to the Database. DB would evaluate the Database each time, and had the option to purchase contacts on a case by case as they saw fit, in which case AOXY would receive a fee. Correspondingly, should AOXY, rent, sell or otherwise profit from registered DB information, AOXY would pay a fee to DB.</w:t>
      </w:r>
    </w:p>
    <w:p w:rsidR="00FB4E75" w:rsidRPr="00FE1CEA" w:rsidRDefault="00FB4E75">
      <w:pPr>
        <w:pStyle w:val="NormalWeb"/>
        <w:rPr>
          <w:sz w:val="18"/>
          <w:szCs w:val="18"/>
        </w:rPr>
      </w:pPr>
      <w:r w:rsidRPr="00FE1CEA">
        <w:rPr>
          <w:sz w:val="18"/>
          <w:szCs w:val="18"/>
        </w:rPr>
        <w:t>At a special meeting of the Board of Directors, AOXY removed Joseph N. Noll as a director due to his inability to perform his duties as a director. AOXY appointed Kurt Sondergaard and Lawrence Donofrio to the board of directors to replace Joseph N. Noll . Kurt Sondergaard founder and major shareholder of the company, Mr. Sondergaard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FB4E75" w:rsidRPr="00FE1CEA" w:rsidRDefault="00FB4E75">
      <w:pPr>
        <w:pStyle w:val="NormalWeb"/>
        <w:rPr>
          <w:sz w:val="18"/>
          <w:szCs w:val="18"/>
        </w:rPr>
      </w:pPr>
      <w:r w:rsidRPr="00FE1CEA">
        <w:rPr>
          <w:sz w:val="18"/>
          <w:szCs w:val="18"/>
        </w:rPr>
        <w:t>Pursuant to a stock acquisition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Concurrently, pursuant to an Employment Agreement on March 05, 2003 AOXY entered into an agreement with Kurd Sondergaard (Employee). The Employee will be employed by AOXY for four years and will perform duties of president of IP, and AOXY and the Shareholders entered into a covenant of non competition agreement whereby the Shareholders agreed not to compete with IP for a period of five years.</w:t>
      </w:r>
    </w:p>
    <w:p w:rsidR="00FB4E75" w:rsidRPr="00FE1CEA" w:rsidRDefault="00FB4E75">
      <w:pPr>
        <w:pStyle w:val="NormalWeb"/>
        <w:spacing w:after="240" w:afterAutospacing="0"/>
        <w:rPr>
          <w:sz w:val="18"/>
          <w:szCs w:val="18"/>
        </w:rPr>
      </w:pPr>
      <w:r w:rsidRPr="00FE1CEA">
        <w:rPr>
          <w:sz w:val="18"/>
          <w:szCs w:val="18"/>
        </w:rPr>
        <w:t>Pursuant to a stock acquisition agreement, on February 3, 2006 Advanced Oxygen Technologies, Inc. ("AOXY") purchased 100.00% of the stock of Anton Nielsen Vojens ApS ("ANV"), a Danish company from Borkwood Development Ltd. (a previous shareholder of AOXY) for Six Hundred and Fifty Thousand US Dollars. ANV owns commercial real estate and produces rental income.</w:t>
      </w:r>
    </w:p>
    <w:p w:rsidR="00FB4E75" w:rsidRPr="00FE1CEA" w:rsidRDefault="00FB4E75">
      <w:pPr>
        <w:pStyle w:val="NormalWeb"/>
        <w:rPr>
          <w:sz w:val="18"/>
          <w:szCs w:val="18"/>
        </w:rPr>
      </w:pPr>
      <w:r w:rsidRPr="00FE1CEA">
        <w:rPr>
          <w:sz w:val="18"/>
          <w:szCs w:val="18"/>
        </w:rPr>
        <w:t>On August 1, 2006, the Company was notified by Bernstein &amp; Pinchuk LLP that they had resigned as the Company's independent auditors. On September 12, 2006 the Company engaged Horwath Revisorenrne, AS Strandvejen 58, Hellerup, Denmark as its certified independent accounting firm/outside auditor.</w:t>
      </w:r>
    </w:p>
    <w:p w:rsidR="00FB4E75" w:rsidRPr="00FE1CEA" w:rsidRDefault="00FB4E75">
      <w:pPr>
        <w:pStyle w:val="NormalWeb"/>
        <w:rPr>
          <w:sz w:val="18"/>
          <w:szCs w:val="18"/>
        </w:rPr>
      </w:pPr>
      <w:r w:rsidRPr="00FE1CEA">
        <w:rPr>
          <w:sz w:val="18"/>
          <w:szCs w:val="18"/>
        </w:rPr>
        <w:t>On September 1, 2006 the Company sold its minority position of 20% of Mobile Group Inc. to KBA Holding ApS for one dollar.</w:t>
      </w:r>
    </w:p>
    <w:p w:rsidR="00FB4E75" w:rsidRPr="00FE1CEA" w:rsidRDefault="00FB4E75">
      <w:pPr>
        <w:pStyle w:val="NormalWeb"/>
        <w:rPr>
          <w:sz w:val="18"/>
          <w:szCs w:val="18"/>
        </w:rPr>
      </w:pPr>
      <w:r w:rsidRPr="00FE1CEA">
        <w:rPr>
          <w:sz w:val="18"/>
          <w:szCs w:val="18"/>
        </w:rPr>
        <w:t>On January 17 2007,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68" style="width:0;height:3pt" o:hralign="center" o:hrstd="t" o:hrnoshade="t" o:hr="t" fillcolor="black" stroked="f"/>
        </w:pict>
      </w:r>
    </w:p>
    <w:p w:rsidR="00A662A4" w:rsidRDefault="00A662A4">
      <w:pPr>
        <w:rPr>
          <w:sz w:val="18"/>
          <w:szCs w:val="18"/>
        </w:rPr>
      </w:pPr>
      <w:r>
        <w:rPr>
          <w:sz w:val="18"/>
          <w:szCs w:val="18"/>
        </w:rPr>
        <w:br w:type="page"/>
      </w:r>
    </w:p>
    <w:p w:rsidR="00FB4E75" w:rsidRPr="00FE1CEA" w:rsidRDefault="00FB4E75">
      <w:pPr>
        <w:pStyle w:val="NormalWeb"/>
        <w:rPr>
          <w:sz w:val="18"/>
          <w:szCs w:val="18"/>
        </w:rPr>
      </w:pPr>
      <w:r w:rsidRPr="00FE1CEA">
        <w:rPr>
          <w:sz w:val="18"/>
          <w:szCs w:val="18"/>
        </w:rPr>
        <w:lastRenderedPageBreak/>
        <w:t>On March 5 2009, the Company's location, and location of books and records has changed from Advanced Oxygen Technologies, Inc. C/O 100 Maiden Lane, Suite 2003 New York, NY 10038 ("Old Location") to Advanced Oxygen Technologies, Inc. c/o Crossfield, Inc. 653 VT Route 12A, PO Box 189, Randolph VT 05060, Telephone (212)-727-7085, Fax (802)-332-6100. This location is collocated with a related business of the president, Robert E. Wolfe.</w:t>
      </w:r>
    </w:p>
    <w:p w:rsidR="00FB4E75" w:rsidRPr="00FE1CEA" w:rsidRDefault="00FB4E75">
      <w:pPr>
        <w:pStyle w:val="NormalWeb"/>
        <w:rPr>
          <w:sz w:val="18"/>
          <w:szCs w:val="18"/>
        </w:rPr>
      </w:pPr>
      <w:r w:rsidRPr="00FE1CEA">
        <w:rPr>
          <w:sz w:val="18"/>
          <w:szCs w:val="18"/>
        </w:rPr>
        <w:t>On March 04, 2011, the Company was notified by Howarth Revisorerne vmba (“Accountants”) that the Accountants have resigned as the Company’s independent auditors. The Accountant’s audit reports on the Company’s consolidated financial statements for the fiscal years ended June 30, 2009 and 2010 did not contain an adverse opinion or a disclaimer of opinion and were not qualified or modified as to uncertainty, audit scope or accounting principles. During the Company’s fiscal years ended June 30, 2009 and 2010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2009 and 2010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March 04, 2011 is filed as Exhibit II to this Current Report on Form 8-K.</w:t>
      </w:r>
    </w:p>
    <w:p w:rsidR="00FB4E75" w:rsidRPr="00FE1CEA" w:rsidRDefault="00FB4E75">
      <w:pPr>
        <w:pStyle w:val="NormalWeb"/>
        <w:rPr>
          <w:sz w:val="18"/>
          <w:szCs w:val="18"/>
        </w:rPr>
      </w:pPr>
      <w:r w:rsidRPr="00FE1CEA">
        <w:rPr>
          <w:sz w:val="18"/>
          <w:szCs w:val="18"/>
        </w:rPr>
        <w:t>On March 04, 2011 the Company has engaged Chr. Mortensen - Revisionsfirma, statsautoriseret revisionsinteressentskab, Adelgade 15, Copenhagen, 1304, Denmark Telephone +45 3373 4600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FB4E75" w:rsidRPr="00FE1CEA" w:rsidRDefault="00FB4E75">
      <w:pPr>
        <w:pStyle w:val="NormalWeb"/>
        <w:rPr>
          <w:sz w:val="18"/>
          <w:szCs w:val="18"/>
        </w:rPr>
      </w:pPr>
      <w:r w:rsidRPr="00FE1CEA">
        <w:rPr>
          <w:sz w:val="18"/>
          <w:szCs w:val="18"/>
        </w:rPr>
        <w:t xml:space="preserve">On December 5, 2014, the Company effected a reverse stock split of all the outstanding shares of our common stock at an exchange ratio of one for twenty (1:20) (the “Reverse Stock Split”) and changed the number our authorized shares of common stock, par value $0.01 per share, from 90,000,000 to 60,000,000 while maintaining the number of authorized shares of preferred stock, par value $0.01 per share, at 10,000,000 (the “Amendment”). Immediately prior to the effectiveness of the Amendment, we had outstanding 45,853,585 shares of common stock. As a result of the Amendment, the 45,853,585 shares of common stock outstanding have been reduced to approximately 2,292,945 shares of common stock (taking into account the rounding up of fractional share interests). The Reverse Stock Split described hereunder became market effective on December 8, 2014. FINRA has placed a “D” on the ticker symbol for 20 business days to signify that the Reverse Stock Split has occurred. As a result, effective as of December 8, 2014 and for the next 20 business days, our stock will trade under the symbol “AOXYD”. Our new CUSIP number is 00754B301. </w:t>
      </w:r>
    </w:p>
    <w:p w:rsidR="00FB4E75" w:rsidRPr="00FE1CEA" w:rsidRDefault="00FB4E75">
      <w:pPr>
        <w:pStyle w:val="NormalWeb"/>
        <w:rPr>
          <w:sz w:val="18"/>
          <w:szCs w:val="18"/>
        </w:rPr>
      </w:pPr>
      <w:r w:rsidRPr="00FE1CEA">
        <w:rPr>
          <w:b/>
          <w:bCs/>
          <w:sz w:val="18"/>
          <w:szCs w:val="18"/>
        </w:rPr>
        <w:t>ITEM 3. Quantitative and Qualitative Disclosures About Market Risk:</w:t>
      </w:r>
    </w:p>
    <w:p w:rsidR="00FB4E75" w:rsidRPr="00FE1CEA" w:rsidRDefault="00FB4E75">
      <w:pPr>
        <w:pStyle w:val="NormalWeb"/>
        <w:rPr>
          <w:sz w:val="18"/>
          <w:szCs w:val="18"/>
        </w:rPr>
      </w:pPr>
      <w:r w:rsidRPr="00FE1CEA">
        <w:rPr>
          <w:sz w:val="18"/>
          <w:szCs w:val="18"/>
        </w:rPr>
        <w:t>Smaller reporting companies are not required to provide the information required by this Item.</w:t>
      </w:r>
    </w:p>
    <w:p w:rsidR="00FB4E75" w:rsidRPr="00FE1CEA" w:rsidRDefault="00FB4E75">
      <w:pPr>
        <w:pStyle w:val="NormalWeb"/>
        <w:spacing w:after="240" w:afterAutospacing="0"/>
        <w:rPr>
          <w:sz w:val="18"/>
          <w:szCs w:val="18"/>
        </w:rPr>
      </w:pPr>
      <w:r w:rsidRPr="00FE1CEA">
        <w:rPr>
          <w:b/>
          <w:bCs/>
          <w:sz w:val="18"/>
          <w:szCs w:val="18"/>
        </w:rPr>
        <w:t>ITEM 4. CONTROLS AND PROCEDURES</w:t>
      </w:r>
    </w:p>
    <w:p w:rsidR="00FB4E75" w:rsidRPr="00FE1CEA" w:rsidRDefault="00FB4E75">
      <w:pPr>
        <w:pStyle w:val="NormalWeb"/>
        <w:rPr>
          <w:sz w:val="18"/>
          <w:szCs w:val="18"/>
        </w:rPr>
      </w:pPr>
      <w:r w:rsidRPr="00FE1CEA">
        <w:rPr>
          <w:sz w:val="18"/>
          <w:szCs w:val="18"/>
        </w:rPr>
        <w:t>EVALUATION OF DISCLOSURE CONTROLS AND PROCEDURES</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69" style="width:0;height:3pt" o:hralign="center" o:hrstd="t" o:hrnoshade="t" o:hr="t" fillcolor="black" stroked="f"/>
        </w:pict>
      </w:r>
    </w:p>
    <w:p w:rsidR="00A662A4" w:rsidRDefault="00A662A4">
      <w:pPr>
        <w:rPr>
          <w:b/>
          <w:bCs/>
          <w:sz w:val="18"/>
          <w:szCs w:val="18"/>
        </w:rPr>
      </w:pPr>
      <w:r>
        <w:rPr>
          <w:b/>
          <w:bCs/>
          <w:sz w:val="18"/>
          <w:szCs w:val="18"/>
        </w:rPr>
        <w:br w:type="page"/>
      </w:r>
    </w:p>
    <w:p w:rsidR="00FB4E75" w:rsidRPr="00FE1CEA" w:rsidRDefault="00FB4E75">
      <w:pPr>
        <w:pStyle w:val="NormalWeb"/>
        <w:rPr>
          <w:sz w:val="18"/>
          <w:szCs w:val="18"/>
        </w:rPr>
      </w:pPr>
      <w:r w:rsidRPr="00FE1CEA">
        <w:rPr>
          <w:b/>
          <w:bCs/>
          <w:sz w:val="18"/>
          <w:szCs w:val="18"/>
        </w:rPr>
        <w:lastRenderedPageBreak/>
        <w:t xml:space="preserve">PART II </w:t>
      </w:r>
    </w:p>
    <w:p w:rsidR="00FB4E75" w:rsidRPr="00FE1CEA" w:rsidRDefault="00FB4E75">
      <w:pPr>
        <w:pStyle w:val="NormalWeb"/>
        <w:rPr>
          <w:sz w:val="18"/>
          <w:szCs w:val="18"/>
        </w:rPr>
      </w:pPr>
      <w:r w:rsidRPr="00FE1CEA">
        <w:rPr>
          <w:sz w:val="18"/>
          <w:szCs w:val="18"/>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March 31, 2015 that our disclosure controls and procedures were effective at ensuring that the material information required to be disclosed in the Exchange Act reports is recorded, processed, summarized and reported as required in applicable SEC rules and forms.</w:t>
      </w:r>
    </w:p>
    <w:p w:rsidR="00FB4E75" w:rsidRPr="00FE1CEA" w:rsidRDefault="00FB4E75">
      <w:pPr>
        <w:pStyle w:val="NormalWeb"/>
        <w:rPr>
          <w:sz w:val="18"/>
          <w:szCs w:val="18"/>
        </w:rPr>
      </w:pPr>
      <w:r w:rsidRPr="00FE1CEA">
        <w:rPr>
          <w:sz w:val="18"/>
          <w:szCs w:val="18"/>
        </w:rPr>
        <w:t>During the quarter ended March 31, 2015,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FB4E75" w:rsidRPr="00FE1CEA" w:rsidRDefault="00FB4E75">
      <w:pPr>
        <w:pStyle w:val="NormalWeb"/>
        <w:rPr>
          <w:sz w:val="18"/>
          <w:szCs w:val="18"/>
        </w:rPr>
      </w:pPr>
      <w:r w:rsidRPr="00FE1CEA">
        <w:rPr>
          <w:b/>
          <w:bCs/>
          <w:sz w:val="18"/>
          <w:szCs w:val="18"/>
        </w:rPr>
        <w:t>ITEM 1: LEGAL PROCEEDINGS</w:t>
      </w:r>
    </w:p>
    <w:p w:rsidR="00FB4E75" w:rsidRPr="00FE1CEA" w:rsidRDefault="00FB4E75">
      <w:pPr>
        <w:pStyle w:val="NormalWeb"/>
        <w:rPr>
          <w:sz w:val="18"/>
          <w:szCs w:val="18"/>
        </w:rPr>
      </w:pPr>
      <w:r w:rsidRPr="00FE1CEA">
        <w:rPr>
          <w:sz w:val="18"/>
          <w:szCs w:val="18"/>
        </w:rPr>
        <w:t>None</w:t>
      </w:r>
      <w:r w:rsidRPr="00FE1CEA">
        <w:rPr>
          <w:sz w:val="18"/>
          <w:szCs w:val="18"/>
        </w:rPr>
        <w:br/>
      </w:r>
      <w:r w:rsidRPr="00FE1CEA">
        <w:rPr>
          <w:sz w:val="18"/>
          <w:szCs w:val="18"/>
        </w:rPr>
        <w:br/>
      </w:r>
      <w:r w:rsidRPr="00FE1CEA">
        <w:rPr>
          <w:b/>
          <w:bCs/>
          <w:sz w:val="18"/>
          <w:szCs w:val="18"/>
        </w:rPr>
        <w:t>ITEM 2. UNREGISTERED SALES OF EQUITY SECURITIES AND USE OF PROCEEDS</w:t>
      </w:r>
    </w:p>
    <w:p w:rsidR="00FB4E75" w:rsidRPr="00FE1CEA" w:rsidRDefault="00FB4E75">
      <w:pPr>
        <w:pStyle w:val="NormalWeb"/>
        <w:rPr>
          <w:sz w:val="18"/>
          <w:szCs w:val="18"/>
        </w:rPr>
      </w:pPr>
      <w:r w:rsidRPr="00FE1CEA">
        <w:rPr>
          <w:sz w:val="18"/>
          <w:szCs w:val="18"/>
        </w:rPr>
        <w:t>None</w:t>
      </w:r>
      <w:r w:rsidRPr="00FE1CEA">
        <w:rPr>
          <w:sz w:val="18"/>
          <w:szCs w:val="18"/>
        </w:rPr>
        <w:br/>
      </w:r>
      <w:r w:rsidRPr="00FE1CEA">
        <w:rPr>
          <w:sz w:val="18"/>
          <w:szCs w:val="18"/>
        </w:rPr>
        <w:br/>
      </w:r>
      <w:r w:rsidRPr="00FE1CEA">
        <w:rPr>
          <w:b/>
          <w:bCs/>
          <w:sz w:val="18"/>
          <w:szCs w:val="18"/>
        </w:rPr>
        <w:t>ITEM 3. DEFAULTS UPON SENIOR SECURITIES</w:t>
      </w:r>
    </w:p>
    <w:p w:rsidR="00FB4E75" w:rsidRPr="00FE1CEA" w:rsidRDefault="00FB4E75">
      <w:pPr>
        <w:pStyle w:val="NormalWeb"/>
        <w:rPr>
          <w:sz w:val="18"/>
          <w:szCs w:val="18"/>
        </w:rPr>
      </w:pPr>
      <w:r w:rsidRPr="00FE1CEA">
        <w:rPr>
          <w:sz w:val="18"/>
          <w:szCs w:val="18"/>
        </w:rPr>
        <w:t>None</w:t>
      </w:r>
    </w:p>
    <w:p w:rsidR="00FB4E75" w:rsidRPr="00FE1CEA" w:rsidRDefault="00FB4E75">
      <w:pPr>
        <w:pStyle w:val="NormalWeb"/>
        <w:rPr>
          <w:sz w:val="18"/>
          <w:szCs w:val="18"/>
        </w:rPr>
      </w:pPr>
      <w:r w:rsidRPr="00FE1CEA">
        <w:rPr>
          <w:b/>
          <w:bCs/>
          <w:sz w:val="18"/>
          <w:szCs w:val="18"/>
        </w:rPr>
        <w:t>ITEM 4. MINE SAFETY DISCLOSURES</w:t>
      </w:r>
    </w:p>
    <w:p w:rsidR="00FB4E75" w:rsidRPr="00FE1CEA" w:rsidRDefault="00FB4E75">
      <w:pPr>
        <w:pStyle w:val="NormalWeb"/>
        <w:rPr>
          <w:sz w:val="18"/>
          <w:szCs w:val="18"/>
        </w:rPr>
      </w:pPr>
      <w:r w:rsidRPr="00FE1CEA">
        <w:rPr>
          <w:sz w:val="18"/>
          <w:szCs w:val="18"/>
        </w:rPr>
        <w:t>None</w:t>
      </w:r>
    </w:p>
    <w:p w:rsidR="00FB4E75" w:rsidRPr="00FE1CEA" w:rsidRDefault="00FB4E75">
      <w:pPr>
        <w:pStyle w:val="NormalWeb"/>
        <w:rPr>
          <w:sz w:val="18"/>
          <w:szCs w:val="18"/>
        </w:rPr>
      </w:pPr>
      <w:r w:rsidRPr="00FE1CEA">
        <w:rPr>
          <w:b/>
          <w:bCs/>
          <w:sz w:val="18"/>
          <w:szCs w:val="18"/>
        </w:rPr>
        <w:t>ITEM 5. OTHER INFORMATION</w:t>
      </w:r>
    </w:p>
    <w:p w:rsidR="00FB4E75" w:rsidRPr="00FE1CEA" w:rsidRDefault="00FB4E75">
      <w:pPr>
        <w:pStyle w:val="NormalWeb"/>
        <w:rPr>
          <w:sz w:val="18"/>
          <w:szCs w:val="18"/>
        </w:rPr>
      </w:pPr>
      <w:r w:rsidRPr="00FE1CEA">
        <w:rPr>
          <w:sz w:val="18"/>
          <w:szCs w:val="18"/>
        </w:rPr>
        <w:t>None</w:t>
      </w:r>
    </w:p>
    <w:p w:rsidR="00FB4E75" w:rsidRPr="00FE1CEA" w:rsidRDefault="00EB2809">
      <w:pPr>
        <w:pStyle w:val="NormalWeb"/>
        <w:rPr>
          <w:sz w:val="18"/>
          <w:szCs w:val="18"/>
        </w:rPr>
      </w:pPr>
      <w:hyperlink w:anchor="toc" w:history="1">
        <w:r w:rsidR="00FB4E75" w:rsidRPr="00FE1CEA">
          <w:rPr>
            <w:rStyle w:val="Hyperlink"/>
            <w:b/>
            <w:bCs/>
            <w:sz w:val="18"/>
            <w:szCs w:val="18"/>
          </w:rPr>
          <w:t>Return to Table of Contents</w:t>
        </w:r>
      </w:hyperlink>
    </w:p>
    <w:p w:rsidR="00FB4E75" w:rsidRPr="00FE1CEA" w:rsidRDefault="00EB2809">
      <w:pPr>
        <w:rPr>
          <w:rFonts w:eastAsia="Times New Roman"/>
          <w:sz w:val="18"/>
          <w:szCs w:val="18"/>
        </w:rPr>
      </w:pPr>
      <w:r w:rsidRPr="00EB2809">
        <w:rPr>
          <w:rFonts w:eastAsia="Times New Roman"/>
          <w:sz w:val="18"/>
          <w:szCs w:val="18"/>
        </w:rPr>
        <w:pict>
          <v:rect id="_x0000_i1070" style="width:0;height:3pt" o:hralign="center" o:hrstd="t" o:hrnoshade="t" o:hr="t" fillcolor="black" stroked="f"/>
        </w:pict>
      </w:r>
    </w:p>
    <w:p w:rsidR="00A662A4" w:rsidRDefault="00A662A4">
      <w:pPr>
        <w:rPr>
          <w:b/>
          <w:bCs/>
          <w:sz w:val="18"/>
          <w:szCs w:val="18"/>
        </w:rPr>
      </w:pPr>
      <w:r>
        <w:rPr>
          <w:b/>
          <w:bCs/>
          <w:sz w:val="18"/>
          <w:szCs w:val="18"/>
        </w:rPr>
        <w:br w:type="page"/>
      </w:r>
    </w:p>
    <w:p w:rsidR="00FB4E75" w:rsidRPr="00FE1CEA" w:rsidRDefault="00FB4E75">
      <w:pPr>
        <w:pStyle w:val="NormalWeb"/>
        <w:rPr>
          <w:sz w:val="18"/>
          <w:szCs w:val="18"/>
        </w:rPr>
      </w:pPr>
      <w:r w:rsidRPr="00FE1CEA">
        <w:rPr>
          <w:b/>
          <w:bCs/>
          <w:sz w:val="18"/>
          <w:szCs w:val="18"/>
        </w:rPr>
        <w:lastRenderedPageBreak/>
        <w:t>ITEM 6: EXHIBITS AND REPORTS ON FORM 8-K</w:t>
      </w:r>
    </w:p>
    <w:p w:rsidR="00FB4E75" w:rsidRPr="00FE1CEA" w:rsidRDefault="00FB4E75">
      <w:pPr>
        <w:pStyle w:val="NormalWeb"/>
        <w:rPr>
          <w:sz w:val="18"/>
          <w:szCs w:val="18"/>
        </w:rPr>
      </w:pPr>
      <w:r w:rsidRPr="00FE1CEA">
        <w:rPr>
          <w:sz w:val="18"/>
          <w:szCs w:val="18"/>
        </w:rPr>
        <w:t>During the 3 month period ending March 31, 2015, the Company filed no reports on Form 8-K.</w:t>
      </w:r>
    </w:p>
    <w:p w:rsidR="00FB4E75" w:rsidRPr="00FE1CEA" w:rsidRDefault="00FB4E75">
      <w:pPr>
        <w:pStyle w:val="NormalWeb"/>
        <w:rPr>
          <w:sz w:val="18"/>
          <w:szCs w:val="18"/>
        </w:rPr>
      </w:pPr>
      <w:r w:rsidRPr="00FE1CEA">
        <w:rPr>
          <w:b/>
          <w:bCs/>
          <w:sz w:val="18"/>
          <w:szCs w:val="18"/>
        </w:rPr>
        <w:t>EXHIBIT 99.906CERT (A)</w:t>
      </w:r>
      <w:r w:rsidRPr="00FE1CEA">
        <w:rPr>
          <w:b/>
          <w:bCs/>
          <w:sz w:val="18"/>
          <w:szCs w:val="18"/>
        </w:rPr>
        <w:br/>
        <w:t>CERTIFICATION OF CHIEF EXECUTIVE OFFICER</w:t>
      </w:r>
      <w:r w:rsidRPr="00FE1CEA">
        <w:rPr>
          <w:b/>
          <w:bCs/>
          <w:sz w:val="18"/>
          <w:szCs w:val="18"/>
        </w:rPr>
        <w:br/>
        <w:t>PURSUANT TO 18 U.S.C. SECTION 1350, AS ADOPTED PURSUANT TO</w:t>
      </w:r>
      <w:r w:rsidRPr="00FE1CEA">
        <w:rPr>
          <w:b/>
          <w:bCs/>
          <w:sz w:val="18"/>
          <w:szCs w:val="18"/>
        </w:rPr>
        <w:br/>
        <w:t>SECTION 906 OF THE SARBANES-OXLEY ACT OF 2002</w:t>
      </w:r>
    </w:p>
    <w:p w:rsidR="00FB4E75" w:rsidRPr="00FE1CEA" w:rsidRDefault="00FB4E75">
      <w:pPr>
        <w:pStyle w:val="NormalWeb"/>
        <w:rPr>
          <w:sz w:val="18"/>
          <w:szCs w:val="18"/>
        </w:rPr>
      </w:pPr>
      <w:r w:rsidRPr="00FE1CEA">
        <w:rPr>
          <w:b/>
          <w:bCs/>
          <w:sz w:val="18"/>
          <w:szCs w:val="18"/>
        </w:rPr>
        <w:t>EXHIBIT 99.906CERT (B)</w:t>
      </w:r>
      <w:r w:rsidRPr="00FE1CEA">
        <w:rPr>
          <w:b/>
          <w:bCs/>
          <w:sz w:val="18"/>
          <w:szCs w:val="18"/>
        </w:rPr>
        <w:br/>
        <w:t>CERTIFICATION OF TREASURER</w:t>
      </w:r>
      <w:r w:rsidRPr="00FE1CEA">
        <w:rPr>
          <w:b/>
          <w:bCs/>
          <w:sz w:val="18"/>
          <w:szCs w:val="18"/>
        </w:rPr>
        <w:br/>
        <w:t>PURSUANT TO18 U.S.C. SECTION 1350, AS ADOPTED PURSUANT TO</w:t>
      </w:r>
      <w:r w:rsidRPr="00FE1CEA">
        <w:rPr>
          <w:b/>
          <w:bCs/>
          <w:sz w:val="18"/>
          <w:szCs w:val="18"/>
        </w:rPr>
        <w:br/>
        <w:t>SECTION 906 OF THE SARBANES-OXLEY ACT OF 2002</w:t>
      </w:r>
    </w:p>
    <w:p w:rsidR="00FB4E75" w:rsidRPr="00FE1CEA" w:rsidRDefault="00FB4E75">
      <w:pPr>
        <w:pStyle w:val="NormalWeb"/>
        <w:rPr>
          <w:sz w:val="18"/>
          <w:szCs w:val="18"/>
        </w:rPr>
      </w:pPr>
      <w:r w:rsidRPr="00FE1CEA">
        <w:rPr>
          <w:b/>
          <w:bCs/>
          <w:sz w:val="18"/>
          <w:szCs w:val="18"/>
        </w:rPr>
        <w:t>EXHIBIT 99.CERT (C)</w:t>
      </w:r>
      <w:r w:rsidRPr="00FE1CEA">
        <w:rPr>
          <w:b/>
          <w:bCs/>
          <w:sz w:val="18"/>
          <w:szCs w:val="18"/>
        </w:rPr>
        <w:br/>
        <w:t>CERTIFICATION PURSUANT TO</w:t>
      </w:r>
      <w:r w:rsidRPr="00FE1CEA">
        <w:rPr>
          <w:b/>
          <w:bCs/>
          <w:sz w:val="18"/>
          <w:szCs w:val="18"/>
        </w:rPr>
        <w:br/>
        <w:t>SECTION 302 OF THE SARBANES-OXLEY ACT OF 2002</w:t>
      </w:r>
    </w:p>
    <w:p w:rsidR="00FB4E75" w:rsidRPr="00FE1CEA" w:rsidRDefault="00FB4E75">
      <w:pPr>
        <w:pStyle w:val="NormalWeb"/>
        <w:rPr>
          <w:sz w:val="18"/>
          <w:szCs w:val="18"/>
        </w:rPr>
      </w:pPr>
      <w:r w:rsidRPr="00FE1CEA">
        <w:rPr>
          <w:b/>
          <w:bCs/>
          <w:sz w:val="18"/>
          <w:szCs w:val="18"/>
        </w:rPr>
        <w:t>EXHIBIT 99.CERT (D)</w:t>
      </w:r>
      <w:r w:rsidRPr="00FE1CEA">
        <w:rPr>
          <w:b/>
          <w:bCs/>
          <w:sz w:val="18"/>
          <w:szCs w:val="18"/>
        </w:rPr>
        <w:br/>
        <w:t>CERTIFICATION PURSUANT TO</w:t>
      </w:r>
      <w:r w:rsidRPr="00FE1CEA">
        <w:rPr>
          <w:b/>
          <w:bCs/>
          <w:sz w:val="18"/>
          <w:szCs w:val="18"/>
        </w:rPr>
        <w:br/>
        <w:t>SECTION 302 OF THE SARBANES-OXLEY ACT OF 2002</w:t>
      </w:r>
    </w:p>
    <w:p w:rsidR="00FB4E75" w:rsidRPr="00FE1CEA" w:rsidRDefault="00FB4E75">
      <w:pPr>
        <w:pStyle w:val="NormalWeb"/>
        <w:rPr>
          <w:sz w:val="18"/>
          <w:szCs w:val="18"/>
        </w:rPr>
      </w:pPr>
    </w:p>
    <w:p w:rsidR="00FB4E75" w:rsidRPr="00FE1CEA" w:rsidRDefault="00FB4E75">
      <w:pPr>
        <w:pStyle w:val="NormalWeb"/>
        <w:rPr>
          <w:sz w:val="18"/>
          <w:szCs w:val="18"/>
        </w:rPr>
      </w:pPr>
      <w:r w:rsidRPr="00FE1CEA">
        <w:rPr>
          <w:sz w:val="18"/>
          <w:szCs w:val="18"/>
        </w:rPr>
        <w:t xml:space="preserve">SIGNATURE </w:t>
      </w:r>
    </w:p>
    <w:p w:rsidR="00FB4E75" w:rsidRPr="00FE1CEA" w:rsidRDefault="00FB4E75">
      <w:pPr>
        <w:pStyle w:val="NormalWeb"/>
        <w:rPr>
          <w:sz w:val="18"/>
          <w:szCs w:val="18"/>
        </w:rPr>
      </w:pPr>
      <w:r w:rsidRPr="00FE1CEA">
        <w:rPr>
          <w:sz w:val="18"/>
          <w:szCs w:val="18"/>
        </w:rPr>
        <w:t xml:space="preserve">In accordance with the requirements of the Exchange Act, the Registrant has caused this report to be signed on its behalf by the undersigned, thereunto duly authorized. </w:t>
      </w:r>
    </w:p>
    <w:p w:rsidR="00FB4E75" w:rsidRPr="00FE1CEA" w:rsidRDefault="00FB4E75">
      <w:pPr>
        <w:pStyle w:val="NormalWeb"/>
        <w:rPr>
          <w:sz w:val="18"/>
          <w:szCs w:val="18"/>
        </w:rPr>
      </w:pPr>
      <w:r w:rsidRPr="00FE1CEA">
        <w:rPr>
          <w:sz w:val="18"/>
          <w:szCs w:val="18"/>
        </w:rPr>
        <w:t>Date: May 7, 2015</w:t>
      </w:r>
    </w:p>
    <w:p w:rsidR="00FB4E75" w:rsidRPr="00FE1CEA" w:rsidRDefault="00FB4E75">
      <w:pPr>
        <w:pStyle w:val="NormalWeb"/>
        <w:rPr>
          <w:sz w:val="18"/>
          <w:szCs w:val="18"/>
        </w:rPr>
      </w:pPr>
      <w:r w:rsidRPr="00FE1CEA">
        <w:rPr>
          <w:sz w:val="18"/>
          <w:szCs w:val="18"/>
        </w:rPr>
        <w:t> </w:t>
      </w:r>
    </w:p>
    <w:p w:rsidR="00FB4E75" w:rsidRPr="00FE1CEA" w:rsidRDefault="00FB4E75">
      <w:pPr>
        <w:pStyle w:val="NormalWeb"/>
        <w:rPr>
          <w:sz w:val="18"/>
          <w:szCs w:val="18"/>
        </w:rPr>
      </w:pPr>
      <w:r w:rsidRPr="00FE1CEA">
        <w:rPr>
          <w:sz w:val="18"/>
          <w:szCs w:val="18"/>
        </w:rPr>
        <w:t>/s/ Robert E. Wolfe /s/</w:t>
      </w:r>
      <w:r w:rsidRPr="00FE1CEA">
        <w:rPr>
          <w:sz w:val="18"/>
          <w:szCs w:val="18"/>
        </w:rPr>
        <w:br/>
        <w:t>------------------------------------------</w:t>
      </w:r>
      <w:r w:rsidRPr="00FE1CEA">
        <w:rPr>
          <w:sz w:val="18"/>
          <w:szCs w:val="18"/>
        </w:rPr>
        <w:br/>
        <w:t>Robert E. Wolfe, Chairman of the Board and</w:t>
      </w:r>
      <w:r w:rsidRPr="00FE1CEA">
        <w:rPr>
          <w:sz w:val="18"/>
          <w:szCs w:val="18"/>
        </w:rPr>
        <w:br/>
        <w:t>Chief Executive Officer and Principal</w:t>
      </w:r>
      <w:r w:rsidRPr="00FE1CEA">
        <w:rPr>
          <w:sz w:val="18"/>
          <w:szCs w:val="18"/>
        </w:rPr>
        <w:br/>
        <w:t xml:space="preserve">Financial Officer </w:t>
      </w:r>
    </w:p>
    <w:p w:rsidR="00FB4E75" w:rsidRPr="00FE1CEA" w:rsidRDefault="00FB4E75">
      <w:pPr>
        <w:pStyle w:val="NormalWeb"/>
        <w:rPr>
          <w:sz w:val="18"/>
          <w:szCs w:val="18"/>
        </w:rPr>
      </w:pPr>
      <w:r w:rsidRPr="00FE1CEA">
        <w:rPr>
          <w:sz w:val="18"/>
          <w:szCs w:val="18"/>
        </w:rPr>
        <w:t> </w:t>
      </w:r>
    </w:p>
    <w:sectPr w:rsidR="00FB4E75" w:rsidRPr="00FE1CEA" w:rsidSect="00B16BA9">
      <w:pgSz w:w="12240" w:h="15840"/>
      <w:pgMar w:top="270" w:right="720" w:bottom="27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E46" w:rsidRDefault="00585E46" w:rsidP="00E64C78">
      <w:r>
        <w:separator/>
      </w:r>
    </w:p>
  </w:endnote>
  <w:endnote w:type="continuationSeparator" w:id="0">
    <w:p w:rsidR="00585E46" w:rsidRDefault="00585E46" w:rsidP="00E64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75" w:rsidRDefault="00FB4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75" w:rsidRDefault="00FB4E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75" w:rsidRDefault="00FB4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E46" w:rsidRDefault="00585E46" w:rsidP="00E64C78">
      <w:r>
        <w:separator/>
      </w:r>
    </w:p>
  </w:footnote>
  <w:footnote w:type="continuationSeparator" w:id="0">
    <w:p w:rsidR="00585E46" w:rsidRDefault="00585E46" w:rsidP="00E64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75" w:rsidRDefault="00FB4E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75" w:rsidRDefault="00FB4E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75" w:rsidRDefault="00FB4E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A3F"/>
    <w:rsid w:val="00021976"/>
    <w:rsid w:val="001F1D89"/>
    <w:rsid w:val="002B0AB4"/>
    <w:rsid w:val="00370FF0"/>
    <w:rsid w:val="0043333B"/>
    <w:rsid w:val="0054277E"/>
    <w:rsid w:val="005756F3"/>
    <w:rsid w:val="00585E46"/>
    <w:rsid w:val="006C42AE"/>
    <w:rsid w:val="00A62F9D"/>
    <w:rsid w:val="00A662A4"/>
    <w:rsid w:val="00B16BA9"/>
    <w:rsid w:val="00B71ED4"/>
    <w:rsid w:val="00BC4C4C"/>
    <w:rsid w:val="00C96094"/>
    <w:rsid w:val="00D47A3F"/>
    <w:rsid w:val="00E64C78"/>
    <w:rsid w:val="00E7268E"/>
    <w:rsid w:val="00EB2809"/>
    <w:rsid w:val="00FB4E75"/>
    <w:rsid w:val="00FE1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0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2809"/>
    <w:rPr>
      <w:color w:val="0000FF"/>
      <w:u w:val="single"/>
    </w:rPr>
  </w:style>
  <w:style w:type="character" w:styleId="FollowedHyperlink">
    <w:name w:val="FollowedHyperlink"/>
    <w:basedOn w:val="DefaultParagraphFont"/>
    <w:uiPriority w:val="99"/>
    <w:semiHidden/>
    <w:unhideWhenUsed/>
    <w:rsid w:val="00EB2809"/>
    <w:rPr>
      <w:color w:val="800080"/>
      <w:u w:val="single"/>
    </w:rPr>
  </w:style>
  <w:style w:type="paragraph" w:styleId="NormalWeb">
    <w:name w:val="Normal (Web)"/>
    <w:basedOn w:val="Normal"/>
    <w:uiPriority w:val="99"/>
    <w:unhideWhenUsed/>
    <w:rsid w:val="00EB2809"/>
    <w:pPr>
      <w:spacing w:before="100" w:beforeAutospacing="1" w:after="100" w:afterAutospacing="1"/>
    </w:pPr>
  </w:style>
  <w:style w:type="character" w:styleId="Strong">
    <w:name w:val="Strong"/>
    <w:basedOn w:val="DefaultParagraphFont"/>
    <w:uiPriority w:val="22"/>
    <w:qFormat/>
    <w:rsid w:val="00EB2809"/>
    <w:rPr>
      <w:b/>
      <w:bCs/>
    </w:rPr>
  </w:style>
  <w:style w:type="paragraph" w:styleId="Header">
    <w:name w:val="header"/>
    <w:basedOn w:val="Normal"/>
    <w:link w:val="HeaderChar"/>
    <w:uiPriority w:val="99"/>
    <w:semiHidden/>
    <w:unhideWhenUsed/>
    <w:rsid w:val="00E64C78"/>
    <w:pPr>
      <w:tabs>
        <w:tab w:val="center" w:pos="4680"/>
        <w:tab w:val="right" w:pos="9360"/>
      </w:tabs>
    </w:pPr>
  </w:style>
  <w:style w:type="character" w:customStyle="1" w:styleId="HeaderChar">
    <w:name w:val="Header Char"/>
    <w:basedOn w:val="DefaultParagraphFont"/>
    <w:link w:val="Header"/>
    <w:uiPriority w:val="99"/>
    <w:semiHidden/>
    <w:rsid w:val="00E64C78"/>
    <w:rPr>
      <w:rFonts w:eastAsiaTheme="minorEastAsia"/>
      <w:sz w:val="24"/>
      <w:szCs w:val="24"/>
    </w:rPr>
  </w:style>
  <w:style w:type="paragraph" w:styleId="Footer">
    <w:name w:val="footer"/>
    <w:basedOn w:val="Normal"/>
    <w:link w:val="FooterChar"/>
    <w:uiPriority w:val="99"/>
    <w:semiHidden/>
    <w:unhideWhenUsed/>
    <w:rsid w:val="00E64C78"/>
    <w:pPr>
      <w:tabs>
        <w:tab w:val="center" w:pos="4680"/>
        <w:tab w:val="right" w:pos="9360"/>
      </w:tabs>
    </w:pPr>
  </w:style>
  <w:style w:type="character" w:customStyle="1" w:styleId="FooterChar">
    <w:name w:val="Footer Char"/>
    <w:basedOn w:val="DefaultParagraphFont"/>
    <w:link w:val="Footer"/>
    <w:uiPriority w:val="99"/>
    <w:semiHidden/>
    <w:rsid w:val="00E64C78"/>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56773132">
      <w:marLeft w:val="0"/>
      <w:marRight w:val="0"/>
      <w:marTop w:val="0"/>
      <w:marBottom w:val="0"/>
      <w:divBdr>
        <w:top w:val="none" w:sz="0" w:space="0" w:color="auto"/>
        <w:left w:val="none" w:sz="0" w:space="0" w:color="auto"/>
        <w:bottom w:val="none" w:sz="0" w:space="0" w:color="auto"/>
        <w:right w:val="none" w:sz="0" w:space="0" w:color="auto"/>
      </w:divBdr>
    </w:div>
    <w:div w:id="160783560">
      <w:marLeft w:val="0"/>
      <w:marRight w:val="0"/>
      <w:marTop w:val="0"/>
      <w:marBottom w:val="0"/>
      <w:divBdr>
        <w:top w:val="none" w:sz="0" w:space="0" w:color="auto"/>
        <w:left w:val="none" w:sz="0" w:space="0" w:color="auto"/>
        <w:bottom w:val="none" w:sz="0" w:space="0" w:color="auto"/>
        <w:right w:val="none" w:sz="0" w:space="0" w:color="auto"/>
      </w:divBdr>
    </w:div>
    <w:div w:id="286276983">
      <w:marLeft w:val="0"/>
      <w:marRight w:val="0"/>
      <w:marTop w:val="0"/>
      <w:marBottom w:val="0"/>
      <w:divBdr>
        <w:top w:val="none" w:sz="0" w:space="0" w:color="auto"/>
        <w:left w:val="none" w:sz="0" w:space="0" w:color="auto"/>
        <w:bottom w:val="none" w:sz="0" w:space="0" w:color="auto"/>
        <w:right w:val="none" w:sz="0" w:space="0" w:color="auto"/>
      </w:divBdr>
    </w:div>
    <w:div w:id="413429574">
      <w:marLeft w:val="0"/>
      <w:marRight w:val="0"/>
      <w:marTop w:val="0"/>
      <w:marBottom w:val="0"/>
      <w:divBdr>
        <w:top w:val="none" w:sz="0" w:space="0" w:color="auto"/>
        <w:left w:val="none" w:sz="0" w:space="0" w:color="auto"/>
        <w:bottom w:val="none" w:sz="0" w:space="0" w:color="auto"/>
        <w:right w:val="none" w:sz="0" w:space="0" w:color="auto"/>
      </w:divBdr>
      <w:divsChild>
        <w:div w:id="1375884328">
          <w:marLeft w:val="0"/>
          <w:marRight w:val="0"/>
          <w:marTop w:val="0"/>
          <w:marBottom w:val="0"/>
          <w:divBdr>
            <w:top w:val="none" w:sz="0" w:space="0" w:color="auto"/>
            <w:left w:val="none" w:sz="0" w:space="0" w:color="auto"/>
            <w:bottom w:val="none" w:sz="0" w:space="0" w:color="auto"/>
            <w:right w:val="none" w:sz="0" w:space="0" w:color="auto"/>
          </w:divBdr>
          <w:divsChild>
            <w:div w:id="36202479">
              <w:marLeft w:val="0"/>
              <w:marRight w:val="0"/>
              <w:marTop w:val="0"/>
              <w:marBottom w:val="0"/>
              <w:divBdr>
                <w:top w:val="none" w:sz="0" w:space="0" w:color="auto"/>
                <w:left w:val="none" w:sz="0" w:space="0" w:color="auto"/>
                <w:bottom w:val="none" w:sz="0" w:space="0" w:color="auto"/>
                <w:right w:val="none" w:sz="0" w:space="0" w:color="auto"/>
              </w:divBdr>
              <w:divsChild>
                <w:div w:id="304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2175">
      <w:marLeft w:val="0"/>
      <w:marRight w:val="0"/>
      <w:marTop w:val="0"/>
      <w:marBottom w:val="0"/>
      <w:divBdr>
        <w:top w:val="none" w:sz="0" w:space="0" w:color="auto"/>
        <w:left w:val="none" w:sz="0" w:space="0" w:color="auto"/>
        <w:bottom w:val="none" w:sz="0" w:space="0" w:color="auto"/>
        <w:right w:val="none" w:sz="0" w:space="0" w:color="auto"/>
      </w:divBdr>
    </w:div>
    <w:div w:id="949093021">
      <w:marLeft w:val="0"/>
      <w:marRight w:val="0"/>
      <w:marTop w:val="0"/>
      <w:marBottom w:val="0"/>
      <w:divBdr>
        <w:top w:val="none" w:sz="0" w:space="0" w:color="auto"/>
        <w:left w:val="none" w:sz="0" w:space="0" w:color="auto"/>
        <w:bottom w:val="none" w:sz="0" w:space="0" w:color="auto"/>
        <w:right w:val="none" w:sz="0" w:space="0" w:color="auto"/>
      </w:divBdr>
      <w:divsChild>
        <w:div w:id="9526830">
          <w:marLeft w:val="0"/>
          <w:marRight w:val="0"/>
          <w:marTop w:val="0"/>
          <w:marBottom w:val="0"/>
          <w:divBdr>
            <w:top w:val="none" w:sz="0" w:space="0" w:color="auto"/>
            <w:left w:val="none" w:sz="0" w:space="0" w:color="auto"/>
            <w:bottom w:val="none" w:sz="0" w:space="0" w:color="auto"/>
            <w:right w:val="none" w:sz="0" w:space="0" w:color="auto"/>
          </w:divBdr>
          <w:divsChild>
            <w:div w:id="1503004776">
              <w:marLeft w:val="0"/>
              <w:marRight w:val="0"/>
              <w:marTop w:val="0"/>
              <w:marBottom w:val="0"/>
              <w:divBdr>
                <w:top w:val="none" w:sz="0" w:space="0" w:color="auto"/>
                <w:left w:val="none" w:sz="0" w:space="0" w:color="auto"/>
                <w:bottom w:val="none" w:sz="0" w:space="0" w:color="auto"/>
                <w:right w:val="none" w:sz="0" w:space="0" w:color="auto"/>
              </w:divBdr>
              <w:divsChild>
                <w:div w:id="1175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13317">
      <w:marLeft w:val="0"/>
      <w:marRight w:val="0"/>
      <w:marTop w:val="0"/>
      <w:marBottom w:val="0"/>
      <w:divBdr>
        <w:top w:val="none" w:sz="0" w:space="0" w:color="auto"/>
        <w:left w:val="none" w:sz="0" w:space="0" w:color="auto"/>
        <w:bottom w:val="none" w:sz="0" w:space="0" w:color="auto"/>
        <w:right w:val="none" w:sz="0" w:space="0" w:color="auto"/>
      </w:divBdr>
      <w:divsChild>
        <w:div w:id="430587081">
          <w:marLeft w:val="0"/>
          <w:marRight w:val="0"/>
          <w:marTop w:val="0"/>
          <w:marBottom w:val="0"/>
          <w:divBdr>
            <w:top w:val="none" w:sz="0" w:space="0" w:color="auto"/>
            <w:left w:val="none" w:sz="0" w:space="0" w:color="auto"/>
            <w:bottom w:val="none" w:sz="0" w:space="0" w:color="auto"/>
            <w:right w:val="none" w:sz="0" w:space="0" w:color="auto"/>
          </w:divBdr>
        </w:div>
      </w:divsChild>
    </w:div>
    <w:div w:id="2144610714">
      <w:marLeft w:val="0"/>
      <w:marRight w:val="0"/>
      <w:marTop w:val="0"/>
      <w:marBottom w:val="0"/>
      <w:divBdr>
        <w:top w:val="none" w:sz="0" w:space="0" w:color="auto"/>
        <w:left w:val="none" w:sz="0" w:space="0" w:color="auto"/>
        <w:bottom w:val="none" w:sz="0" w:space="0" w:color="auto"/>
        <w:right w:val="none" w:sz="0" w:space="0" w:color="auto"/>
      </w:divBdr>
      <w:divsChild>
        <w:div w:id="469982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wolfer2\myfiles\AOXY\edgar\2014\12-31-14%2010Q\"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9780</Words>
  <Characters>55752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March 31, 2015 10Q</vt:lpstr>
    </vt:vector>
  </TitlesOfParts>
  <Company/>
  <LinksUpToDate>false</LinksUpToDate>
  <CharactersWithSpaces>65402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2015 10Q</dc:title>
  <dc:creator>Robert Wolfe</dc:creator>
  <cp:lastModifiedBy>Robert Wolfe</cp:lastModifiedBy>
  <cp:revision>9</cp:revision>
  <dcterms:created xsi:type="dcterms:W3CDTF">2015-05-01T13:08:00Z</dcterms:created>
  <dcterms:modified xsi:type="dcterms:W3CDTF">2015-05-04T11:36:00Z</dcterms:modified>
</cp:coreProperties>
</file>