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9F" w:rsidRDefault="000B193D">
      <w:pPr>
        <w:divId w:val="2096589496"/>
        <w:rPr>
          <w:rFonts w:eastAsia="Times New Roman"/>
        </w:rPr>
      </w:pPr>
      <w:r>
        <w:rPr>
          <w:rFonts w:eastAsia="Times New Roman"/>
        </w:rPr>
        <w:pict>
          <v:rect id="_x0000_i1025" style="width:0;height:1.5pt" o:hralign="center" o:hrstd="t" o:hrnoshade="t" o:hr="t" fillcolor="black" stroked="f"/>
        </w:pict>
      </w:r>
    </w:p>
    <w:p w:rsidR="00DD679F" w:rsidRDefault="000B193D">
      <w:pPr>
        <w:divId w:val="2096589496"/>
        <w:rPr>
          <w:rFonts w:eastAsia="Times New Roman"/>
        </w:rPr>
      </w:pPr>
      <w:r>
        <w:rPr>
          <w:rFonts w:eastAsia="Times New Roman"/>
        </w:rPr>
        <w:pict>
          <v:rect id="_x0000_i1026" style="width:0;height:.4pt" o:hralign="center" o:hrstd="t" o:hrnoshade="t" o:hr="t" fillcolor="black" stroked="f"/>
        </w:pict>
      </w:r>
    </w:p>
    <w:p w:rsidR="00DD679F" w:rsidRDefault="000E4A48">
      <w:pPr>
        <w:divId w:val="856849180"/>
        <w:rPr>
          <w:rFonts w:eastAsia="Times New Roman"/>
        </w:rPr>
      </w:pPr>
      <w:r>
        <w:rPr>
          <w:rFonts w:eastAsia="Times New Roman"/>
        </w:rPr>
        <w:t> </w:t>
      </w:r>
    </w:p>
    <w:p w:rsidR="00DD679F" w:rsidRDefault="000E4A48">
      <w:pPr>
        <w:pStyle w:val="NormalWeb"/>
        <w:spacing w:before="0" w:beforeAutospacing="0" w:after="0" w:afterAutospacing="0" w:line="320" w:lineRule="atLeast"/>
        <w:jc w:val="center"/>
        <w:rPr>
          <w:sz w:val="28"/>
          <w:szCs w:val="28"/>
        </w:rPr>
      </w:pPr>
      <w:r>
        <w:rPr>
          <w:b/>
          <w:bCs/>
          <w:sz w:val="28"/>
          <w:szCs w:val="28"/>
        </w:rPr>
        <w:t>UNITED STATES</w:t>
      </w:r>
    </w:p>
    <w:p w:rsidR="00DD679F" w:rsidRDefault="000E4A48">
      <w:pPr>
        <w:pStyle w:val="NormalWeb"/>
        <w:spacing w:before="0" w:beforeAutospacing="0" w:after="0" w:afterAutospacing="0" w:line="320" w:lineRule="atLeast"/>
        <w:jc w:val="center"/>
        <w:rPr>
          <w:sz w:val="28"/>
          <w:szCs w:val="28"/>
        </w:rPr>
      </w:pPr>
      <w:r>
        <w:rPr>
          <w:b/>
          <w:bCs/>
          <w:sz w:val="28"/>
          <w:szCs w:val="28"/>
        </w:rPr>
        <w:t>SECURITIES AND EXCHANGE COMMISSION</w:t>
      </w:r>
    </w:p>
    <w:p w:rsidR="00DD679F" w:rsidRDefault="000E4A48">
      <w:pPr>
        <w:pStyle w:val="NormalWeb"/>
        <w:spacing w:before="0" w:beforeAutospacing="0" w:after="0" w:afterAutospacing="0"/>
        <w:jc w:val="center"/>
      </w:pPr>
      <w:r>
        <w:rPr>
          <w:b/>
          <w:bCs/>
        </w:rPr>
        <w:t>Washington, D.C. 20549</w:t>
      </w:r>
    </w:p>
    <w:p w:rsidR="00DD679F" w:rsidRDefault="00DD679F">
      <w:pPr>
        <w:pStyle w:val="NormalWeb"/>
        <w:spacing w:before="0" w:beforeAutospacing="0" w:after="0" w:afterAutospacing="0"/>
        <w:jc w:val="center"/>
      </w:pPr>
    </w:p>
    <w:p w:rsidR="00DD679F" w:rsidRDefault="000E4A48">
      <w:pPr>
        <w:pStyle w:val="NormalWeb"/>
        <w:spacing w:before="0" w:beforeAutospacing="0" w:after="0" w:afterAutospacing="0"/>
        <w:jc w:val="center"/>
      </w:pPr>
      <w:r>
        <w:t>———————</w:t>
      </w:r>
    </w:p>
    <w:p w:rsidR="00DD679F" w:rsidRDefault="000E4A48">
      <w:pPr>
        <w:pStyle w:val="NormalWeb"/>
        <w:spacing w:before="0" w:beforeAutospacing="0" w:after="0" w:afterAutospacing="0" w:line="320" w:lineRule="atLeast"/>
        <w:jc w:val="center"/>
        <w:rPr>
          <w:sz w:val="28"/>
          <w:szCs w:val="28"/>
        </w:rPr>
      </w:pPr>
      <w:r>
        <w:rPr>
          <w:b/>
          <w:bCs/>
          <w:sz w:val="28"/>
          <w:szCs w:val="28"/>
        </w:rPr>
        <w:t>FORM 10-Q</w:t>
      </w:r>
    </w:p>
    <w:p w:rsidR="00DD679F" w:rsidRDefault="000E4A48">
      <w:pPr>
        <w:pStyle w:val="NormalWeb"/>
        <w:spacing w:before="0" w:beforeAutospacing="0" w:after="0" w:afterAutospacing="0"/>
        <w:jc w:val="center"/>
      </w:pPr>
      <w:r>
        <w:t>———————</w:t>
      </w:r>
    </w:p>
    <w:p w:rsidR="00DD679F" w:rsidRDefault="000E4A48">
      <w:pPr>
        <w:pStyle w:val="NormalWeb"/>
        <w:spacing w:before="0" w:beforeAutospacing="0" w:after="0" w:afterAutospacing="0"/>
        <w:jc w:val="center"/>
      </w:pPr>
      <w:r>
        <w:t>(Mark One)</w:t>
      </w:r>
    </w:p>
    <w:p w:rsidR="00DD679F" w:rsidRDefault="00DD679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05"/>
        <w:gridCol w:w="5257"/>
      </w:tblGrid>
      <w:tr w:rsidR="00DD679F">
        <w:trPr>
          <w:tblCellSpacing w:w="0" w:type="dxa"/>
          <w:jc w:val="center"/>
        </w:trPr>
        <w:tc>
          <w:tcPr>
            <w:tcW w:w="143" w:type="dxa"/>
            <w:vAlign w:val="center"/>
            <w:hideMark/>
          </w:tcPr>
          <w:p w:rsidR="00DD679F" w:rsidRDefault="00DD679F"/>
        </w:tc>
        <w:tc>
          <w:tcPr>
            <w:tcW w:w="5250" w:type="dxa"/>
            <w:vAlign w:val="center"/>
            <w:hideMark/>
          </w:tcPr>
          <w:p w:rsidR="00DD679F" w:rsidRDefault="00DD679F">
            <w:pPr>
              <w:rPr>
                <w:rFonts w:eastAsia="Times New Roman"/>
                <w:sz w:val="20"/>
                <w:szCs w:val="20"/>
              </w:rPr>
            </w:pPr>
          </w:p>
        </w:tc>
      </w:tr>
      <w:tr w:rsidR="00DD679F">
        <w:trPr>
          <w:tblCellSpacing w:w="0" w:type="dxa"/>
          <w:jc w:val="center"/>
        </w:trPr>
        <w:tc>
          <w:tcPr>
            <w:tcW w:w="143" w:type="dxa"/>
            <w:tcBorders>
              <w:top w:val="single" w:sz="6" w:space="0" w:color="000000"/>
              <w:left w:val="single" w:sz="6" w:space="0" w:color="000000"/>
              <w:bottom w:val="single" w:sz="6" w:space="0" w:color="000000"/>
              <w:right w:val="single" w:sz="6" w:space="0" w:color="000000"/>
            </w:tcBorders>
            <w:hideMark/>
          </w:tcPr>
          <w:p w:rsidR="00DD679F" w:rsidRDefault="000E4A48">
            <w:pPr>
              <w:pStyle w:val="NormalWeb"/>
              <w:spacing w:before="0" w:beforeAutospacing="0" w:after="0" w:afterAutospacing="0"/>
              <w:jc w:val="center"/>
              <w:rPr>
                <w:sz w:val="20"/>
                <w:szCs w:val="20"/>
              </w:rPr>
            </w:pPr>
            <w:r>
              <w:rPr>
                <w:b/>
                <w:bCs/>
                <w:sz w:val="20"/>
                <w:szCs w:val="20"/>
              </w:rPr>
              <w:t>X</w:t>
            </w:r>
          </w:p>
        </w:tc>
        <w:tc>
          <w:tcPr>
            <w:tcW w:w="5250" w:type="dxa"/>
            <w:hideMark/>
          </w:tcPr>
          <w:p w:rsidR="00DD679F" w:rsidRDefault="000E4A48">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DD679F">
        <w:trPr>
          <w:tblCellSpacing w:w="0" w:type="dxa"/>
          <w:jc w:val="center"/>
        </w:trPr>
        <w:tc>
          <w:tcPr>
            <w:tcW w:w="143" w:type="dxa"/>
            <w:hideMark/>
          </w:tcPr>
          <w:p w:rsidR="00DD679F" w:rsidRDefault="000E4A48">
            <w:pPr>
              <w:pStyle w:val="NormalWeb"/>
              <w:rPr>
                <w:sz w:val="20"/>
                <w:szCs w:val="20"/>
              </w:rPr>
            </w:pPr>
            <w:r>
              <w:rPr>
                <w:sz w:val="20"/>
                <w:szCs w:val="20"/>
              </w:rPr>
              <w:t> </w:t>
            </w:r>
          </w:p>
        </w:tc>
        <w:tc>
          <w:tcPr>
            <w:tcW w:w="5250" w:type="dxa"/>
            <w:hideMark/>
          </w:tcPr>
          <w:p w:rsidR="00DD679F" w:rsidRDefault="000E4A48">
            <w:pPr>
              <w:pStyle w:val="NormalWeb"/>
              <w:spacing w:before="0" w:beforeAutospacing="0" w:after="0" w:afterAutospacing="0"/>
              <w:rPr>
                <w:sz w:val="20"/>
                <w:szCs w:val="20"/>
              </w:rPr>
            </w:pPr>
            <w:r>
              <w:rPr>
                <w:b/>
                <w:bCs/>
                <w:sz w:val="20"/>
                <w:szCs w:val="20"/>
              </w:rPr>
              <w:t> </w:t>
            </w:r>
          </w:p>
        </w:tc>
      </w:tr>
      <w:tr w:rsidR="00DD679F">
        <w:trPr>
          <w:tblCellSpacing w:w="0" w:type="dxa"/>
          <w:jc w:val="center"/>
        </w:trPr>
        <w:tc>
          <w:tcPr>
            <w:tcW w:w="5400" w:type="dxa"/>
            <w:gridSpan w:val="2"/>
            <w:hideMark/>
          </w:tcPr>
          <w:p w:rsidR="00DD679F" w:rsidRDefault="000E4A48">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December 31, 2015</w:t>
            </w:r>
          </w:p>
        </w:tc>
      </w:tr>
      <w:tr w:rsidR="00DD679F">
        <w:trPr>
          <w:tblCellSpacing w:w="0" w:type="dxa"/>
          <w:jc w:val="center"/>
        </w:trPr>
        <w:tc>
          <w:tcPr>
            <w:tcW w:w="5400" w:type="dxa"/>
            <w:gridSpan w:val="2"/>
            <w:hideMark/>
          </w:tcPr>
          <w:p w:rsidR="00DD679F" w:rsidRDefault="000E4A48">
            <w:pPr>
              <w:pStyle w:val="NormalWeb"/>
              <w:spacing w:before="0" w:beforeAutospacing="0" w:after="0" w:afterAutospacing="0"/>
              <w:jc w:val="center"/>
              <w:rPr>
                <w:sz w:val="20"/>
                <w:szCs w:val="20"/>
              </w:rPr>
            </w:pPr>
            <w:r>
              <w:rPr>
                <w:sz w:val="20"/>
                <w:szCs w:val="20"/>
              </w:rPr>
              <w:t>Or</w:t>
            </w:r>
          </w:p>
        </w:tc>
      </w:tr>
      <w:tr w:rsidR="00DD679F">
        <w:trPr>
          <w:tblCellSpacing w:w="0" w:type="dxa"/>
          <w:jc w:val="center"/>
        </w:trPr>
        <w:tc>
          <w:tcPr>
            <w:tcW w:w="143" w:type="dxa"/>
            <w:hideMark/>
          </w:tcPr>
          <w:p w:rsidR="00DD679F" w:rsidRDefault="000E4A48">
            <w:pPr>
              <w:pStyle w:val="NormalWeb"/>
              <w:rPr>
                <w:sz w:val="20"/>
                <w:szCs w:val="20"/>
              </w:rPr>
            </w:pPr>
            <w:r>
              <w:rPr>
                <w:sz w:val="20"/>
                <w:szCs w:val="20"/>
              </w:rPr>
              <w:t> </w:t>
            </w:r>
          </w:p>
        </w:tc>
        <w:tc>
          <w:tcPr>
            <w:tcW w:w="5250" w:type="dxa"/>
            <w:hideMark/>
          </w:tcPr>
          <w:p w:rsidR="00DD679F" w:rsidRDefault="000E4A48">
            <w:pPr>
              <w:pStyle w:val="NormalWeb"/>
              <w:rPr>
                <w:sz w:val="20"/>
                <w:szCs w:val="20"/>
              </w:rPr>
            </w:pPr>
            <w:r>
              <w:rPr>
                <w:sz w:val="20"/>
                <w:szCs w:val="20"/>
              </w:rPr>
              <w:t> </w:t>
            </w:r>
          </w:p>
        </w:tc>
      </w:tr>
      <w:tr w:rsidR="00DD679F">
        <w:trPr>
          <w:tblCellSpacing w:w="0" w:type="dxa"/>
          <w:jc w:val="center"/>
        </w:trPr>
        <w:tc>
          <w:tcPr>
            <w:tcW w:w="143" w:type="dxa"/>
            <w:tcBorders>
              <w:top w:val="single" w:sz="6" w:space="0" w:color="000000"/>
              <w:left w:val="single" w:sz="6" w:space="0" w:color="000000"/>
              <w:bottom w:val="single" w:sz="6" w:space="0" w:color="000000"/>
              <w:right w:val="single" w:sz="6" w:space="0" w:color="000000"/>
            </w:tcBorders>
            <w:hideMark/>
          </w:tcPr>
          <w:p w:rsidR="00DD679F" w:rsidRDefault="00DD679F">
            <w:pPr>
              <w:rPr>
                <w:sz w:val="20"/>
                <w:szCs w:val="20"/>
              </w:rPr>
            </w:pPr>
          </w:p>
        </w:tc>
        <w:tc>
          <w:tcPr>
            <w:tcW w:w="5250" w:type="dxa"/>
            <w:hideMark/>
          </w:tcPr>
          <w:p w:rsidR="00DD679F" w:rsidRDefault="000E4A48">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DD679F">
        <w:trPr>
          <w:tblCellSpacing w:w="0" w:type="dxa"/>
          <w:jc w:val="center"/>
        </w:trPr>
        <w:tc>
          <w:tcPr>
            <w:tcW w:w="143" w:type="dxa"/>
            <w:hideMark/>
          </w:tcPr>
          <w:p w:rsidR="00DD679F" w:rsidRDefault="000E4A48">
            <w:pPr>
              <w:pStyle w:val="NormalWeb"/>
              <w:rPr>
                <w:sz w:val="20"/>
                <w:szCs w:val="20"/>
              </w:rPr>
            </w:pPr>
            <w:r>
              <w:rPr>
                <w:sz w:val="20"/>
                <w:szCs w:val="20"/>
              </w:rPr>
              <w:t> </w:t>
            </w:r>
          </w:p>
        </w:tc>
        <w:tc>
          <w:tcPr>
            <w:tcW w:w="5250" w:type="dxa"/>
            <w:hideMark/>
          </w:tcPr>
          <w:p w:rsidR="00DD679F" w:rsidRDefault="00DD679F">
            <w:pPr>
              <w:rPr>
                <w:sz w:val="20"/>
                <w:szCs w:val="20"/>
              </w:rPr>
            </w:pPr>
          </w:p>
        </w:tc>
      </w:tr>
      <w:tr w:rsidR="00DD679F">
        <w:trPr>
          <w:tblCellSpacing w:w="0" w:type="dxa"/>
          <w:jc w:val="center"/>
        </w:trPr>
        <w:tc>
          <w:tcPr>
            <w:tcW w:w="5400" w:type="dxa"/>
            <w:gridSpan w:val="2"/>
            <w:hideMark/>
          </w:tcPr>
          <w:p w:rsidR="00DD679F" w:rsidRDefault="000E4A48">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DD679F" w:rsidRDefault="00DD679F">
      <w:pPr>
        <w:pStyle w:val="NormalWeb"/>
        <w:spacing w:before="0" w:beforeAutospacing="0" w:after="0" w:afterAutospacing="0"/>
        <w:jc w:val="center"/>
      </w:pPr>
    </w:p>
    <w:p w:rsidR="00DD679F" w:rsidRDefault="000E4A48">
      <w:pPr>
        <w:pStyle w:val="NormalWeb"/>
        <w:spacing w:before="0" w:beforeAutospacing="0" w:after="0" w:afterAutospacing="0"/>
        <w:jc w:val="center"/>
      </w:pPr>
      <w:r>
        <w:t>———————</w:t>
      </w:r>
    </w:p>
    <w:p w:rsidR="00DD679F" w:rsidRDefault="000E4A48">
      <w:pPr>
        <w:jc w:val="center"/>
        <w:rPr>
          <w:rFonts w:eastAsia="Times New Roman"/>
        </w:rPr>
      </w:pPr>
      <w:r>
        <w:rPr>
          <w:rStyle w:val="Strong"/>
          <w:rFonts w:eastAsia="Times New Roman"/>
          <w:sz w:val="32"/>
          <w:szCs w:val="32"/>
        </w:rPr>
        <w:t>ADVANCED OXYGEN TECHNOLOGIES, INC.</w:t>
      </w:r>
    </w:p>
    <w:p w:rsidR="00DD679F" w:rsidRDefault="000E4A48">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DD679F" w:rsidRDefault="000E4A48">
      <w:pPr>
        <w:pStyle w:val="NormalWeb"/>
        <w:spacing w:before="0" w:beforeAutospacing="0" w:after="0" w:afterAutospacing="0"/>
        <w:jc w:val="center"/>
      </w:pPr>
      <w:r>
        <w:t>———————</w:t>
      </w:r>
    </w:p>
    <w:p w:rsidR="00DD679F" w:rsidRDefault="00DD679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800"/>
        <w:gridCol w:w="1800"/>
        <w:gridCol w:w="1793"/>
      </w:tblGrid>
      <w:tr w:rsidR="00DD679F">
        <w:trPr>
          <w:tblCellSpacing w:w="0" w:type="dxa"/>
          <w:jc w:val="center"/>
        </w:trPr>
        <w:tc>
          <w:tcPr>
            <w:tcW w:w="1800" w:type="dxa"/>
            <w:vAlign w:val="center"/>
            <w:hideMark/>
          </w:tcPr>
          <w:p w:rsidR="00DD679F" w:rsidRDefault="00DD679F"/>
        </w:tc>
        <w:tc>
          <w:tcPr>
            <w:tcW w:w="1800" w:type="dxa"/>
            <w:vAlign w:val="center"/>
            <w:hideMark/>
          </w:tcPr>
          <w:p w:rsidR="00DD679F" w:rsidRDefault="00DD679F">
            <w:pPr>
              <w:rPr>
                <w:rFonts w:eastAsia="Times New Roman"/>
                <w:sz w:val="20"/>
                <w:szCs w:val="20"/>
              </w:rPr>
            </w:pPr>
          </w:p>
        </w:tc>
        <w:tc>
          <w:tcPr>
            <w:tcW w:w="1793" w:type="dxa"/>
            <w:vAlign w:val="center"/>
            <w:hideMark/>
          </w:tcPr>
          <w:p w:rsidR="00DD679F" w:rsidRDefault="00DD679F">
            <w:pPr>
              <w:rPr>
                <w:rFonts w:eastAsia="Times New Roman"/>
                <w:sz w:val="20"/>
                <w:szCs w:val="20"/>
              </w:rPr>
            </w:pPr>
          </w:p>
        </w:tc>
      </w:tr>
      <w:tr w:rsidR="00DD679F">
        <w:trPr>
          <w:tblCellSpacing w:w="0" w:type="dxa"/>
          <w:jc w:val="center"/>
        </w:trPr>
        <w:tc>
          <w:tcPr>
            <w:tcW w:w="1800" w:type="dxa"/>
            <w:hideMark/>
          </w:tcPr>
          <w:p w:rsidR="00DD679F" w:rsidRDefault="000E4A48">
            <w:pPr>
              <w:pStyle w:val="NormalWeb"/>
              <w:spacing w:before="0" w:beforeAutospacing="0" w:after="0" w:afterAutospacing="0"/>
              <w:jc w:val="center"/>
              <w:rPr>
                <w:sz w:val="20"/>
                <w:szCs w:val="20"/>
              </w:rPr>
            </w:pPr>
            <w:r>
              <w:rPr>
                <w:b/>
                <w:bCs/>
                <w:sz w:val="20"/>
                <w:szCs w:val="20"/>
              </w:rPr>
              <w:t>Delaware</w:t>
            </w:r>
          </w:p>
        </w:tc>
        <w:tc>
          <w:tcPr>
            <w:tcW w:w="1800" w:type="dxa"/>
            <w:hideMark/>
          </w:tcPr>
          <w:p w:rsidR="00DD679F" w:rsidRDefault="000E4A48">
            <w:pPr>
              <w:pStyle w:val="NormalWeb"/>
              <w:spacing w:before="0" w:beforeAutospacing="0" w:after="0" w:afterAutospacing="0"/>
              <w:jc w:val="center"/>
              <w:rPr>
                <w:sz w:val="20"/>
                <w:szCs w:val="20"/>
              </w:rPr>
            </w:pPr>
            <w:r>
              <w:rPr>
                <w:rStyle w:val="Strong"/>
                <w:sz w:val="20"/>
                <w:szCs w:val="20"/>
              </w:rPr>
              <w:t>0-9951</w:t>
            </w:r>
          </w:p>
        </w:tc>
        <w:tc>
          <w:tcPr>
            <w:tcW w:w="1793" w:type="dxa"/>
            <w:hideMark/>
          </w:tcPr>
          <w:p w:rsidR="00DD679F" w:rsidRDefault="000E4A48">
            <w:pPr>
              <w:pStyle w:val="NormalWeb"/>
              <w:spacing w:before="0" w:beforeAutospacing="0" w:after="0" w:afterAutospacing="0"/>
              <w:jc w:val="center"/>
              <w:rPr>
                <w:sz w:val="20"/>
                <w:szCs w:val="20"/>
              </w:rPr>
            </w:pPr>
            <w:r>
              <w:rPr>
                <w:rStyle w:val="Strong"/>
                <w:sz w:val="20"/>
                <w:szCs w:val="20"/>
              </w:rPr>
              <w:t>91-1143622</w:t>
            </w:r>
          </w:p>
        </w:tc>
      </w:tr>
      <w:tr w:rsidR="00DD679F">
        <w:trPr>
          <w:tblCellSpacing w:w="0" w:type="dxa"/>
          <w:jc w:val="center"/>
        </w:trPr>
        <w:tc>
          <w:tcPr>
            <w:tcW w:w="1800" w:type="dxa"/>
            <w:hideMark/>
          </w:tcPr>
          <w:p w:rsidR="00DD679F" w:rsidRDefault="000E4A48">
            <w:pPr>
              <w:pStyle w:val="NormalWeb"/>
              <w:spacing w:before="0" w:beforeAutospacing="0" w:after="0" w:afterAutospacing="0" w:line="200" w:lineRule="atLeast"/>
              <w:jc w:val="center"/>
              <w:rPr>
                <w:sz w:val="16"/>
                <w:szCs w:val="16"/>
              </w:rPr>
            </w:pPr>
            <w:r>
              <w:rPr>
                <w:sz w:val="16"/>
                <w:szCs w:val="16"/>
              </w:rPr>
              <w:t>(State or Other Jurisdiction</w:t>
            </w:r>
          </w:p>
        </w:tc>
        <w:tc>
          <w:tcPr>
            <w:tcW w:w="1800" w:type="dxa"/>
            <w:hideMark/>
          </w:tcPr>
          <w:p w:rsidR="00DD679F" w:rsidRDefault="000E4A48">
            <w:pPr>
              <w:pStyle w:val="NormalWeb"/>
              <w:spacing w:before="0" w:beforeAutospacing="0" w:after="0" w:afterAutospacing="0" w:line="200" w:lineRule="atLeast"/>
              <w:jc w:val="center"/>
              <w:rPr>
                <w:sz w:val="16"/>
                <w:szCs w:val="16"/>
              </w:rPr>
            </w:pPr>
            <w:r>
              <w:rPr>
                <w:sz w:val="16"/>
                <w:szCs w:val="16"/>
              </w:rPr>
              <w:t>(Commission</w:t>
            </w:r>
          </w:p>
        </w:tc>
        <w:tc>
          <w:tcPr>
            <w:tcW w:w="1793" w:type="dxa"/>
            <w:hideMark/>
          </w:tcPr>
          <w:p w:rsidR="00DD679F" w:rsidRDefault="000E4A48">
            <w:pPr>
              <w:pStyle w:val="NormalWeb"/>
              <w:spacing w:before="0" w:beforeAutospacing="0" w:after="0" w:afterAutospacing="0" w:line="200" w:lineRule="atLeast"/>
              <w:jc w:val="center"/>
              <w:rPr>
                <w:sz w:val="16"/>
                <w:szCs w:val="16"/>
              </w:rPr>
            </w:pPr>
            <w:r>
              <w:rPr>
                <w:sz w:val="16"/>
                <w:szCs w:val="16"/>
              </w:rPr>
              <w:t>(I.R.S. Employer</w:t>
            </w:r>
          </w:p>
        </w:tc>
      </w:tr>
      <w:tr w:rsidR="00DD679F">
        <w:trPr>
          <w:tblCellSpacing w:w="0" w:type="dxa"/>
          <w:jc w:val="center"/>
        </w:trPr>
        <w:tc>
          <w:tcPr>
            <w:tcW w:w="1800" w:type="dxa"/>
            <w:hideMark/>
          </w:tcPr>
          <w:p w:rsidR="00DD679F" w:rsidRDefault="000E4A48">
            <w:pPr>
              <w:pStyle w:val="NormalWeb"/>
              <w:spacing w:before="0" w:beforeAutospacing="0" w:after="0" w:afterAutospacing="0" w:line="200" w:lineRule="atLeast"/>
              <w:jc w:val="center"/>
              <w:rPr>
                <w:sz w:val="16"/>
                <w:szCs w:val="16"/>
              </w:rPr>
            </w:pPr>
            <w:r>
              <w:rPr>
                <w:sz w:val="16"/>
                <w:szCs w:val="16"/>
              </w:rPr>
              <w:t>of Incorporation)</w:t>
            </w:r>
          </w:p>
        </w:tc>
        <w:tc>
          <w:tcPr>
            <w:tcW w:w="1800" w:type="dxa"/>
            <w:hideMark/>
          </w:tcPr>
          <w:p w:rsidR="00DD679F" w:rsidRDefault="000E4A48">
            <w:pPr>
              <w:pStyle w:val="NormalWeb"/>
              <w:spacing w:before="0" w:beforeAutospacing="0" w:after="0" w:afterAutospacing="0" w:line="200" w:lineRule="atLeast"/>
              <w:jc w:val="center"/>
              <w:rPr>
                <w:sz w:val="16"/>
                <w:szCs w:val="16"/>
              </w:rPr>
            </w:pPr>
            <w:r>
              <w:rPr>
                <w:sz w:val="16"/>
                <w:szCs w:val="16"/>
              </w:rPr>
              <w:t>File Number)</w:t>
            </w:r>
          </w:p>
        </w:tc>
        <w:tc>
          <w:tcPr>
            <w:tcW w:w="1793" w:type="dxa"/>
            <w:hideMark/>
          </w:tcPr>
          <w:p w:rsidR="00DD679F" w:rsidRDefault="000E4A48">
            <w:pPr>
              <w:pStyle w:val="NormalWeb"/>
              <w:spacing w:before="0" w:beforeAutospacing="0" w:after="0" w:afterAutospacing="0" w:line="200" w:lineRule="atLeast"/>
              <w:jc w:val="center"/>
              <w:rPr>
                <w:sz w:val="16"/>
                <w:szCs w:val="16"/>
              </w:rPr>
            </w:pPr>
            <w:r>
              <w:rPr>
                <w:sz w:val="16"/>
                <w:szCs w:val="16"/>
              </w:rPr>
              <w:t>Identification No.)</w:t>
            </w:r>
          </w:p>
        </w:tc>
      </w:tr>
    </w:tbl>
    <w:p w:rsidR="00DD679F" w:rsidRDefault="00DD679F">
      <w:pPr>
        <w:pStyle w:val="NormalWeb"/>
        <w:spacing w:before="0" w:beforeAutospacing="0" w:after="0" w:afterAutospacing="0"/>
        <w:jc w:val="center"/>
      </w:pPr>
    </w:p>
    <w:p w:rsidR="00DD679F" w:rsidRDefault="000E4A48">
      <w:pPr>
        <w:pStyle w:val="NormalWeb"/>
        <w:spacing w:before="0" w:beforeAutospacing="0" w:after="0" w:afterAutospacing="0"/>
        <w:jc w:val="center"/>
      </w:pPr>
      <w:r>
        <w:rPr>
          <w:b/>
          <w:bCs/>
        </w:rPr>
        <w:t xml:space="preserve">C/O Crossfield, Inc., 653 VT Route 12A, PO Box 189, Randolph, VT 05060 </w:t>
      </w:r>
    </w:p>
    <w:p w:rsidR="00DD679F" w:rsidRDefault="000E4A48">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DD679F" w:rsidRDefault="00DD679F">
      <w:pPr>
        <w:pStyle w:val="NormalWeb"/>
        <w:spacing w:before="0" w:beforeAutospacing="0" w:after="0" w:afterAutospacing="0"/>
        <w:jc w:val="center"/>
      </w:pPr>
    </w:p>
    <w:p w:rsidR="00DD679F" w:rsidRDefault="000E4A48">
      <w:pPr>
        <w:pStyle w:val="NormalWeb"/>
        <w:spacing w:before="0" w:beforeAutospacing="0" w:after="0" w:afterAutospacing="0"/>
        <w:jc w:val="center"/>
      </w:pPr>
      <w:r>
        <w:rPr>
          <w:b/>
          <w:bCs/>
        </w:rPr>
        <w:t>(212) 727-7085</w:t>
      </w:r>
    </w:p>
    <w:p w:rsidR="00DD679F" w:rsidRDefault="000E4A48">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DD679F" w:rsidRDefault="000E4A48">
      <w:pPr>
        <w:pStyle w:val="NormalWeb"/>
        <w:spacing w:before="133" w:beforeAutospacing="0" w:after="0" w:afterAutospacing="0"/>
        <w:jc w:val="center"/>
      </w:pPr>
      <w:r>
        <w:rPr>
          <w:b/>
          <w:bCs/>
        </w:rPr>
        <w:t>C/O Crossfield, Inc., 100 Maiden Lane, Suite 2003, New York, NY 10038</w:t>
      </w:r>
    </w:p>
    <w:p w:rsidR="00DD679F" w:rsidRDefault="000E4A48">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DD679F" w:rsidRDefault="000E4A48">
      <w:pPr>
        <w:pStyle w:val="NormalWeb"/>
        <w:jc w:val="center"/>
        <w:divId w:val="975111870"/>
      </w:pPr>
      <w:r>
        <w:rPr>
          <w:sz w:val="20"/>
          <w:szCs w:val="20"/>
        </w:rPr>
        <w:t>Securities registered under Section 12(g) of the Exchange Act: Common Stock, par value $.01per share</w:t>
      </w:r>
    </w:p>
    <w:p w:rsidR="00DD679F" w:rsidRDefault="000E4A48">
      <w:pPr>
        <w:pStyle w:val="NormalWeb"/>
        <w:jc w:val="center"/>
        <w:divId w:val="755705839"/>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327"/>
        <w:gridCol w:w="4867"/>
        <w:gridCol w:w="357"/>
      </w:tblGrid>
      <w:tr w:rsidR="00DD679F">
        <w:trPr>
          <w:divId w:val="97511187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DD679F" w:rsidRDefault="000E4A48">
            <w:pPr>
              <w:pStyle w:val="NormalWeb"/>
            </w:pPr>
            <w:r>
              <w:rPr>
                <w:sz w:val="20"/>
                <w:szCs w:val="20"/>
              </w:rPr>
              <w:t xml:space="preserve">Indicate by check mark if the registrant is a well-known seasoned issuer, as defined in Rule 405 of the Securities Act. Yes </w:t>
            </w:r>
            <w:proofErr w:type="spellStart"/>
            <w:r>
              <w:rPr>
                <w:b/>
                <w:bCs/>
                <w:sz w:val="20"/>
                <w:szCs w:val="20"/>
              </w:rPr>
              <w:t>o</w:t>
            </w:r>
            <w:proofErr w:type="spellEnd"/>
            <w:r>
              <w:rPr>
                <w:sz w:val="20"/>
                <w:szCs w:val="20"/>
              </w:rPr>
              <w:t xml:space="preserve">  No </w:t>
            </w:r>
            <w:r>
              <w:rPr>
                <w:b/>
                <w:bCs/>
                <w:sz w:val="20"/>
                <w:szCs w:val="20"/>
              </w:rPr>
              <w:t>þ</w:t>
            </w:r>
            <w:r>
              <w:rPr>
                <w:sz w:val="20"/>
                <w:szCs w:val="20"/>
              </w:rPr>
              <w:t> </w:t>
            </w:r>
            <w:r>
              <w:t xml:space="preserve"> </w:t>
            </w:r>
          </w:p>
          <w:p w:rsidR="00DD679F" w:rsidRDefault="000E4A48">
            <w:pPr>
              <w:pStyle w:val="NormalWeb"/>
            </w:pPr>
            <w:r>
              <w:rPr>
                <w:sz w:val="20"/>
                <w:szCs w:val="20"/>
              </w:rPr>
              <w:lastRenderedPageBreak/>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DD679F" w:rsidRDefault="000E4A48">
            <w:pPr>
              <w:pStyle w:val="NormalWeb"/>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DD679F" w:rsidRDefault="000E4A48">
            <w:pPr>
              <w:pStyle w:val="NormalWeb"/>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DD679F" w:rsidRDefault="000E4A48">
            <w:pPr>
              <w:pStyle w:val="NormalWeb"/>
            </w:pPr>
            <w:r>
              <w:rPr>
                <w:sz w:val="20"/>
                <w:szCs w:val="20"/>
              </w:rPr>
              <w:t>Indicate by check mark if disclosure of delinquent filers in response to Item 405 of Regulation S-</w:t>
            </w:r>
            <w:proofErr w:type="gramStart"/>
            <w:r>
              <w:rPr>
                <w:sz w:val="20"/>
                <w:szCs w:val="20"/>
              </w:rPr>
              <w:t>K(</w:t>
            </w:r>
            <w:proofErr w:type="gramEnd"/>
            <w:r>
              <w:rPr>
                <w:sz w:val="20"/>
                <w:szCs w:val="20"/>
              </w:rPr>
              <w:t xml:space="preserve">§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DD679F" w:rsidRDefault="000E4A48">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DD679F">
        <w:trPr>
          <w:divId w:val="9751118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b/>
                <w:bCs/>
                <w:sz w:val="20"/>
                <w:szCs w:val="20"/>
              </w:rPr>
              <w:t>o</w:t>
            </w:r>
          </w:p>
        </w:tc>
      </w:tr>
      <w:tr w:rsidR="00DD679F">
        <w:trPr>
          <w:divId w:val="9751118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rPr>
                <w:b/>
                <w:bCs/>
                <w:sz w:val="20"/>
                <w:szCs w:val="20"/>
              </w:rPr>
              <w:t>þ</w:t>
            </w:r>
          </w:p>
        </w:tc>
      </w:tr>
      <w:tr w:rsidR="00DD679F">
        <w:trPr>
          <w:divId w:val="97511187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D679F" w:rsidRDefault="000E4A48">
            <w:pPr>
              <w:pStyle w:val="NormalWeb"/>
            </w:pPr>
            <w:r>
              <w:t> </w:t>
            </w:r>
          </w:p>
          <w:p w:rsidR="00DD679F" w:rsidRDefault="000E4A48">
            <w:pPr>
              <w:pStyle w:val="NormalWeb"/>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DD679F" w:rsidRDefault="000D13B5">
            <w:pPr>
              <w:pStyle w:val="NormalWeb"/>
            </w:pPr>
            <w:r>
              <w:rPr>
                <w:sz w:val="20"/>
                <w:szCs w:val="20"/>
              </w:rPr>
              <w:t>Indicate the nu</w:t>
            </w:r>
            <w:r w:rsidR="000E4A48">
              <w:rPr>
                <w:sz w:val="20"/>
                <w:szCs w:val="20"/>
              </w:rPr>
              <w:t>mber of shares outstanding of each of the issuer's classes of common stock, as of the last practicable da</w:t>
            </w:r>
            <w:r>
              <w:rPr>
                <w:sz w:val="20"/>
                <w:szCs w:val="20"/>
              </w:rPr>
              <w:t xml:space="preserve">te: As of </w:t>
            </w:r>
            <w:r w:rsidR="00BE302D">
              <w:rPr>
                <w:sz w:val="20"/>
                <w:szCs w:val="20"/>
              </w:rPr>
              <w:t>February 9</w:t>
            </w:r>
            <w:r>
              <w:rPr>
                <w:sz w:val="20"/>
                <w:szCs w:val="20"/>
              </w:rPr>
              <w:t>, 2016</w:t>
            </w:r>
            <w:r w:rsidR="000E4A48">
              <w:rPr>
                <w:sz w:val="20"/>
                <w:szCs w:val="20"/>
              </w:rPr>
              <w:t>, there were 2,292,945 issued shares and outstanding shares of the registrant's Common Stock, $.01 par value.</w:t>
            </w:r>
          </w:p>
          <w:p w:rsidR="00DD679F" w:rsidRDefault="000E4A48">
            <w:pPr>
              <w:pStyle w:val="NormalWeb"/>
            </w:pPr>
            <w:r>
              <w:rPr>
                <w:sz w:val="20"/>
                <w:szCs w:val="20"/>
              </w:rPr>
              <w:t>Documents incorporated by reference: None.</w:t>
            </w:r>
          </w:p>
        </w:tc>
      </w:tr>
    </w:tbl>
    <w:p w:rsidR="00DD679F" w:rsidRDefault="000B193D">
      <w:pPr>
        <w:rPr>
          <w:rFonts w:eastAsia="Times New Roman"/>
        </w:rPr>
      </w:pPr>
      <w:r>
        <w:rPr>
          <w:rFonts w:eastAsia="Times New Roman"/>
        </w:rPr>
        <w:pict>
          <v:rect id="_x0000_i1027" style="width:0;height:.4pt" o:hralign="center" o:hrstd="t" o:hrnoshade="t" o:hr="t" fillcolor="black" stroked="f"/>
        </w:pict>
      </w:r>
    </w:p>
    <w:p w:rsidR="00DD679F" w:rsidRDefault="000B193D">
      <w:pPr>
        <w:rPr>
          <w:rFonts w:eastAsia="Times New Roman"/>
        </w:rPr>
      </w:pPr>
      <w:r>
        <w:rPr>
          <w:rFonts w:eastAsia="Times New Roman"/>
        </w:rPr>
        <w:pict>
          <v:rect id="_x0000_i1028" style="width:0;height:1.5pt" o:hralign="center" o:hrstd="t" o:hrnoshade="t" o:hr="t" fillcolor="black" stroked="f"/>
        </w:pict>
      </w:r>
    </w:p>
    <w:p w:rsidR="00654F2F" w:rsidRDefault="00654F2F">
      <w:pPr>
        <w:rPr>
          <w:b/>
          <w:bCs/>
        </w:rPr>
      </w:pPr>
      <w:r>
        <w:rPr>
          <w:b/>
          <w:bCs/>
        </w:rPr>
        <w:br w:type="page"/>
      </w:r>
    </w:p>
    <w:p w:rsidR="00DD679F" w:rsidRDefault="000E4A48">
      <w:pPr>
        <w:pStyle w:val="NormalWeb"/>
        <w:jc w:val="center"/>
      </w:pPr>
      <w:r>
        <w:rPr>
          <w:b/>
          <w:bCs/>
        </w:rPr>
        <w:lastRenderedPageBreak/>
        <w:t>ADVANCED OXYGEN TECHNOLOGIES, INC.</w:t>
      </w:r>
    </w:p>
    <w:p w:rsidR="00DD679F" w:rsidRDefault="000E4A48">
      <w:pPr>
        <w:pStyle w:val="NormalWeb"/>
        <w:jc w:val="center"/>
      </w:pPr>
      <w:bookmarkStart w:id="0" w:name="toc"/>
      <w:bookmarkEnd w:id="0"/>
      <w:r>
        <w:t> Table of Contents</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
        <w:gridCol w:w="145"/>
        <w:gridCol w:w="8104"/>
        <w:gridCol w:w="533"/>
        <w:gridCol w:w="780"/>
      </w:tblGrid>
      <w:tr w:rsidR="00DD679F">
        <w:trPr>
          <w:tblCellSpacing w:w="0" w:type="dxa"/>
          <w:jc w:val="center"/>
        </w:trPr>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center"/>
            </w:pPr>
            <w:r>
              <w:rPr>
                <w:b/>
                <w:bCs/>
                <w:sz w:val="20"/>
                <w:szCs w:val="20"/>
              </w:rPr>
              <w:t>INDEX</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b/>
                <w:bCs/>
                <w:sz w:val="20"/>
                <w:szCs w:val="20"/>
              </w:rPr>
              <w:t>PART 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 xml:space="preserve">Item I: Financial Statements (unaudited)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Page</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Unaudited consolidated Balance Sheet as of December 31, 2015 and June 30, 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Unaudited Consolidated Statement of Operations and Changes in Accumulated Deficit for the three months ended December 31, 2015 and December 31,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3</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Unaudited Consolidated Statement of Changes in Stockholders’ Equity and (Capital Deficiency) for the three months ended December 31, 2015 and December 31,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4</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Unaudited Consolidated Statement of Cash Flow for the three months ended December 31, 2015 and December 31,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5</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Notes to the Consolidated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6</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 xml:space="preserve">Item 2: Management's Discussion and Analysis of Financial Condition and Results of Operations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11</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 xml:space="preserve">Item 3: Quantitative and Qualitative Disclosures about Market Risk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16</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Item 4: Controls and Procedures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16</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PART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 xml:space="preserve">Item 1: Legal Proceedings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18</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 xml:space="preserve">Item 2: Unregistered Sales of Equity Securities and Use of Proceeds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18</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Item 3: Defaults Upon Senior Securities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18</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Item 4: Submission of Matters To a Vote of Security Holders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18</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 xml:space="preserve">Item 5: Other Information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18</w:t>
            </w:r>
          </w:p>
        </w:tc>
      </w:tr>
      <w:tr w:rsidR="00DD679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 xml:space="preserve">Item 6. Exhibits and Reports on Form 8-K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18</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Signature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19</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EXHIBIT 31 (A), 31(B)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EX 31</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EXHIBIT 32 (C), 32(D)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EX 32</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EXHIBIT 101.INS XBRL Instance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EX 101.INS</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EXHIBIT 101.SCH XBRL Taxonomy Extension Schema Document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EX 101.SCH</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EXHIBIT 101.CAL XBRL Taxonomy Extension Calculation Document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EX 101.CAL</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EXHIBIT 101.DEF XBRL Taxonomy Extension Definition Document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EX 101.DEF</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EXHIBIT 101.LAB XBRL Taxonomy Extension Labels Document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EX 101.LAB</w:t>
            </w:r>
          </w:p>
        </w:tc>
      </w:tr>
      <w:tr w:rsidR="00DD679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EXHIBIT 101.PRE XBRL Taxonomy Extension Presentation Document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EX 101.PRE</w:t>
            </w:r>
          </w:p>
        </w:tc>
      </w:tr>
    </w:tbl>
    <w:p w:rsidR="00DD679F" w:rsidRDefault="000B193D">
      <w:pPr>
        <w:rPr>
          <w:rFonts w:eastAsia="Times New Roman"/>
        </w:rPr>
      </w:pPr>
      <w:r>
        <w:rPr>
          <w:rFonts w:eastAsia="Times New Roman"/>
        </w:rPr>
        <w:pict>
          <v:rect id="_x0000_i1029" style="width:0;height:1.5pt" o:hralign="center" o:hrstd="t" o:hrnoshade="t" o:hr="t" fillcolor="black" stroked="f"/>
        </w:pict>
      </w:r>
    </w:p>
    <w:p w:rsidR="00654F2F" w:rsidRDefault="00654F2F">
      <w:pPr>
        <w:rPr>
          <w:b/>
          <w:bCs/>
          <w:sz w:val="20"/>
          <w:szCs w:val="20"/>
        </w:rPr>
      </w:pPr>
      <w:r>
        <w:rPr>
          <w:b/>
          <w:bCs/>
          <w:sz w:val="20"/>
          <w:szCs w:val="20"/>
        </w:rPr>
        <w:br w:type="page"/>
      </w:r>
    </w:p>
    <w:p w:rsidR="00DD679F" w:rsidRDefault="000E4A48">
      <w:pPr>
        <w:pStyle w:val="NormalWeb"/>
      </w:pPr>
      <w:r>
        <w:rPr>
          <w:b/>
          <w:bCs/>
          <w:sz w:val="20"/>
          <w:szCs w:val="20"/>
        </w:rPr>
        <w:lastRenderedPageBreak/>
        <w:t xml:space="preserve">PART 1: FINANCIAL INFORMATION </w:t>
      </w:r>
    </w:p>
    <w:p w:rsidR="00DD679F" w:rsidRDefault="000E4A48">
      <w:pPr>
        <w:divId w:val="516239294"/>
        <w:rPr>
          <w:rFonts w:eastAsia="Times New Roman"/>
          <w:sz w:val="20"/>
          <w:szCs w:val="20"/>
        </w:rPr>
      </w:pPr>
      <w:r>
        <w:rPr>
          <w:rFonts w:eastAsia="Times New Roman"/>
          <w:sz w:val="20"/>
          <w:szCs w:val="20"/>
        </w:rPr>
        <w:t>   </w:t>
      </w:r>
      <w:r>
        <w:rPr>
          <w:rFonts w:eastAsia="Times New Roman"/>
          <w:b/>
          <w:bCs/>
          <w:sz w:val="20"/>
          <w:szCs w:val="20"/>
        </w:rPr>
        <w:t>Item I</w:t>
      </w:r>
      <w:r>
        <w:rPr>
          <w:rFonts w:eastAsia="Times New Roman"/>
          <w:sz w:val="20"/>
          <w:szCs w:val="20"/>
        </w:rPr>
        <w:t>: Consolidated Financial Statements for the three months ending December 31, 2015 (unaudited).</w:t>
      </w:r>
      <w:r>
        <w:rPr>
          <w:rFonts w:eastAsia="Times New Roman"/>
          <w:sz w:val="20"/>
          <w:szCs w:val="20"/>
        </w:rPr>
        <w:br/>
      </w:r>
      <w:r>
        <w:rPr>
          <w:rFonts w:eastAsia="Times New Roman"/>
          <w:sz w:val="20"/>
          <w:szCs w:val="20"/>
        </w:rPr>
        <w:br/>
      </w:r>
    </w:p>
    <w:p w:rsidR="00DD679F" w:rsidRDefault="000E4A48">
      <w:pPr>
        <w:pStyle w:val="NormalWeb"/>
        <w:spacing w:before="0" w:beforeAutospacing="0" w:after="0" w:afterAutospacing="0"/>
        <w:jc w:val="both"/>
        <w:divId w:val="516239294"/>
        <w:rPr>
          <w:sz w:val="20"/>
          <w:szCs w:val="20"/>
        </w:rPr>
      </w:pPr>
      <w:r>
        <w:rPr>
          <w:sz w:val="20"/>
          <w:szCs w:val="20"/>
        </w:rPr>
        <w:t>The accompanying financial statements have been prepared in accordance with generally accepted accounting principles for interim financial information and in accordance with the instructions for Form 10-Q. Accordingly, they do not include all of the information and footnotes required by generally accepted accounting principles for complete financial statements.</w:t>
      </w:r>
    </w:p>
    <w:p w:rsidR="00DD679F" w:rsidRDefault="000E4A48">
      <w:pPr>
        <w:pStyle w:val="NormalWeb"/>
        <w:spacing w:before="0" w:beforeAutospacing="0" w:after="0" w:afterAutospacing="0"/>
        <w:ind w:firstLine="720"/>
        <w:divId w:val="516239294"/>
        <w:rPr>
          <w:sz w:val="20"/>
          <w:szCs w:val="20"/>
        </w:rPr>
      </w:pPr>
      <w:r>
        <w:rPr>
          <w:sz w:val="20"/>
          <w:szCs w:val="20"/>
        </w:rPr>
        <w:t> </w:t>
      </w:r>
    </w:p>
    <w:p w:rsidR="00DD679F" w:rsidRDefault="000E4A48">
      <w:pPr>
        <w:pStyle w:val="NormalWeb"/>
        <w:spacing w:before="0" w:beforeAutospacing="0" w:after="0" w:afterAutospacing="0"/>
        <w:jc w:val="both"/>
        <w:divId w:val="516239294"/>
        <w:rPr>
          <w:sz w:val="20"/>
          <w:szCs w:val="20"/>
        </w:rPr>
      </w:pPr>
      <w:r>
        <w:rPr>
          <w:sz w:val="20"/>
          <w:szCs w:val="20"/>
        </w:rPr>
        <w:t>In the opinion of management, the financial statements contain all material adjustments, consisting only of normal recurring adjustments necessary to present fairly the financial condition, results of operations, and cash flows of the Company for the interim periods presented.</w:t>
      </w:r>
    </w:p>
    <w:p w:rsidR="00DD679F" w:rsidRDefault="000E4A48">
      <w:pPr>
        <w:pStyle w:val="NormalWeb"/>
        <w:spacing w:before="0" w:beforeAutospacing="0" w:after="0" w:afterAutospacing="0"/>
        <w:ind w:firstLine="720"/>
        <w:jc w:val="both"/>
        <w:divId w:val="516239294"/>
        <w:rPr>
          <w:sz w:val="20"/>
          <w:szCs w:val="20"/>
        </w:rPr>
      </w:pPr>
      <w:r>
        <w:rPr>
          <w:sz w:val="20"/>
          <w:szCs w:val="20"/>
        </w:rPr>
        <w:t> </w:t>
      </w:r>
    </w:p>
    <w:p w:rsidR="00DD679F" w:rsidRDefault="000E4A48">
      <w:pPr>
        <w:pStyle w:val="NormalWeb"/>
        <w:spacing w:before="0" w:beforeAutospacing="0" w:after="0" w:afterAutospacing="0"/>
        <w:jc w:val="both"/>
        <w:divId w:val="516239294"/>
        <w:rPr>
          <w:sz w:val="20"/>
          <w:szCs w:val="20"/>
        </w:rPr>
      </w:pPr>
      <w:r>
        <w:rPr>
          <w:sz w:val="20"/>
          <w:szCs w:val="20"/>
        </w:rPr>
        <w:t>The results for the period ended December 31, 2015 are not necessarily indicative of the results of operations for the full year. These financial statements and related footnotes should be read in conjunction with the financial statements and footnotes thereto included in the Company’s Form 10K for the fiscal year ended June 30, 2015 filed with the Securities and Exchange Commission on September 29, 2015.</w:t>
      </w:r>
    </w:p>
    <w:p w:rsidR="00DD679F" w:rsidRDefault="000B193D">
      <w:pPr>
        <w:pStyle w:val="NormalWeb"/>
        <w:divId w:val="97334415"/>
        <w:rPr>
          <w:sz w:val="20"/>
          <w:szCs w:val="20"/>
        </w:rPr>
      </w:pPr>
      <w:hyperlink w:anchor="toc" w:history="1">
        <w:r w:rsidR="000E4A48">
          <w:rPr>
            <w:rStyle w:val="Hyperlink"/>
            <w:b/>
            <w:bCs/>
            <w:sz w:val="20"/>
            <w:szCs w:val="20"/>
          </w:rPr>
          <w:t>Return to Table of Contents</w:t>
        </w:r>
      </w:hyperlink>
    </w:p>
    <w:p w:rsidR="00654F2F" w:rsidRDefault="000B193D">
      <w:pPr>
        <w:divId w:val="516239294"/>
        <w:rPr>
          <w:rFonts w:eastAsia="Times New Roman"/>
          <w:sz w:val="20"/>
          <w:szCs w:val="20"/>
        </w:rPr>
      </w:pPr>
      <w:r>
        <w:rPr>
          <w:rFonts w:eastAsia="Times New Roman"/>
          <w:sz w:val="20"/>
          <w:szCs w:val="20"/>
        </w:rPr>
        <w:pict>
          <v:rect id="_x0000_i1030" style="width:0;height:1.5pt" o:hralign="center" o:hrstd="t" o:hrnoshade="t" o:hr="t" fillcolor="black" stroked="f"/>
        </w:pict>
      </w:r>
    </w:p>
    <w:p w:rsidR="00654F2F" w:rsidRDefault="00654F2F">
      <w:pPr>
        <w:rPr>
          <w:rFonts w:eastAsia="Times New Roman"/>
          <w:sz w:val="20"/>
          <w:szCs w:val="20"/>
        </w:rPr>
      </w:pPr>
      <w:r>
        <w:rPr>
          <w:rFonts w:eastAsia="Times New Roman"/>
          <w:sz w:val="20"/>
          <w:szCs w:val="20"/>
        </w:rPr>
        <w:br w:type="page"/>
      </w:r>
    </w:p>
    <w:p w:rsidR="00DD679F" w:rsidRDefault="00DD679F">
      <w:pPr>
        <w:divId w:val="516239294"/>
        <w:rPr>
          <w:rFonts w:eastAsia="Times New Roman"/>
          <w:sz w:val="20"/>
          <w:szCs w:val="20"/>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4"/>
        <w:gridCol w:w="1384"/>
        <w:gridCol w:w="1384"/>
        <w:gridCol w:w="1384"/>
      </w:tblGrid>
      <w:tr w:rsidR="00DD679F">
        <w:trPr>
          <w:divId w:val="516239294"/>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center"/>
            </w:pPr>
            <w:r>
              <w:rPr>
                <w:sz w:val="20"/>
                <w:szCs w:val="20"/>
              </w:rPr>
              <w:t> </w:t>
            </w:r>
            <w:bookmarkStart w:id="1" w:name="bs0"/>
            <w:bookmarkEnd w:id="1"/>
            <w:r>
              <w:rPr>
                <w:b/>
                <w:bCs/>
                <w:sz w:val="20"/>
                <w:szCs w:val="20"/>
              </w:rPr>
              <w:t xml:space="preserve"> ADVANCED OXYGEN TECHNOLOGIES, INC. </w:t>
            </w:r>
            <w:r>
              <w:rPr>
                <w:b/>
                <w:bCs/>
                <w:sz w:val="20"/>
                <w:szCs w:val="20"/>
              </w:rPr>
              <w:br/>
              <w:t xml:space="preserve">AND SUBSIDIARY </w:t>
            </w:r>
            <w:r>
              <w:rPr>
                <w:b/>
                <w:bCs/>
                <w:sz w:val="20"/>
                <w:szCs w:val="20"/>
              </w:rPr>
              <w:br/>
              <w:t>CONSOLATED BALANCE SHEETS</w:t>
            </w:r>
          </w:p>
        </w:tc>
      </w:tr>
      <w:tr w:rsidR="00DD679F" w:rsidTr="00654F2F">
        <w:trPr>
          <w:divId w:val="516239294"/>
          <w:tblCellSpacing w:w="0" w:type="dxa"/>
        </w:trPr>
        <w:tc>
          <w:tcPr>
            <w:tcW w:w="28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center"/>
            </w:pPr>
            <w:r>
              <w:rPr>
                <w:b/>
                <w:bCs/>
                <w:sz w:val="20"/>
                <w:szCs w:val="20"/>
              </w:rPr>
              <w:t>As of December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center"/>
            </w:pPr>
            <w:r>
              <w:rPr>
                <w:b/>
                <w:bCs/>
                <w:sz w:val="20"/>
                <w:szCs w:val="20"/>
              </w:rPr>
              <w:t>As of June 30,</w:t>
            </w:r>
          </w:p>
        </w:tc>
      </w:tr>
      <w:tr w:rsidR="00DD679F" w:rsidTr="00654F2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pPr>
            <w:r>
              <w:rPr>
                <w:b/>
                <w:bCs/>
                <w:sz w:val="20"/>
                <w:szCs w:val="20"/>
              </w:rPr>
              <w:t>ASSETS</w:t>
            </w:r>
          </w:p>
        </w:tc>
        <w:tc>
          <w:tcPr>
            <w:tcW w:w="713"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center"/>
              <w:rPr>
                <w:b/>
                <w:bCs/>
                <w:sz w:val="20"/>
                <w:szCs w:val="20"/>
              </w:rPr>
            </w:pPr>
            <w:r>
              <w:rPr>
                <w:b/>
                <w:bCs/>
                <w:sz w:val="20"/>
                <w:szCs w:val="20"/>
              </w:rPr>
              <w:t xml:space="preserve">2015 </w:t>
            </w:r>
            <w:r>
              <w:rPr>
                <w:b/>
                <w:bCs/>
                <w:sz w:val="20"/>
                <w:szCs w:val="20"/>
              </w:rPr>
              <w:br/>
              <w:t>(unaudited)</w:t>
            </w:r>
          </w:p>
          <w:p w:rsidR="00DD679F" w:rsidRDefault="000B193D">
            <w:pPr>
              <w:rPr>
                <w:rFonts w:eastAsia="Times New Roman"/>
                <w:b/>
                <w:bCs/>
                <w:sz w:val="20"/>
                <w:szCs w:val="20"/>
              </w:rPr>
            </w:pPr>
            <w:r>
              <w:rPr>
                <w:rFonts w:eastAsia="Times New Roman"/>
                <w:b/>
                <w:bCs/>
                <w:sz w:val="20"/>
                <w:szCs w:val="20"/>
              </w:rPr>
              <w:pict>
                <v:rect id="_x0000_i1031" style="width:.05pt;height:.75pt" o:hralign="center" o:hrstd="t" o:hr="t" fillcolor="#a0a0a0" stroked="f"/>
              </w:pict>
            </w:r>
          </w:p>
        </w:tc>
        <w:tc>
          <w:tcPr>
            <w:tcW w:w="713"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center"/>
              <w:rPr>
                <w:b/>
                <w:bCs/>
                <w:sz w:val="20"/>
                <w:szCs w:val="20"/>
              </w:rPr>
            </w:pPr>
            <w:r>
              <w:rPr>
                <w:b/>
                <w:bCs/>
                <w:sz w:val="20"/>
                <w:szCs w:val="20"/>
              </w:rPr>
              <w:t>2015</w:t>
            </w:r>
          </w:p>
          <w:p w:rsidR="00DD679F" w:rsidRDefault="000B193D">
            <w:pPr>
              <w:rPr>
                <w:rFonts w:eastAsia="Times New Roman"/>
                <w:b/>
                <w:bCs/>
                <w:sz w:val="20"/>
                <w:szCs w:val="20"/>
              </w:rPr>
            </w:pPr>
            <w:r>
              <w:rPr>
                <w:rFonts w:eastAsia="Times New Roman"/>
                <w:b/>
                <w:bCs/>
                <w:sz w:val="20"/>
                <w:szCs w:val="20"/>
              </w:rPr>
              <w:pict>
                <v:rect id="_x0000_i1032" style="width:.05pt;height:.75pt" o:hralign="center" o:hrstd="t" o:hr="t" fillcolor="#a0a0a0" stroked="f"/>
              </w:pict>
            </w:r>
          </w:p>
        </w:tc>
        <w:tc>
          <w:tcPr>
            <w:tcW w:w="713"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center"/>
              <w:rPr>
                <w:b/>
                <w:bCs/>
                <w:sz w:val="20"/>
                <w:szCs w:val="20"/>
              </w:rPr>
            </w:pPr>
            <w:r>
              <w:rPr>
                <w:b/>
                <w:bCs/>
                <w:sz w:val="20"/>
                <w:szCs w:val="20"/>
              </w:rPr>
              <w:t>2014</w:t>
            </w:r>
          </w:p>
          <w:p w:rsidR="00DD679F" w:rsidRDefault="000B193D">
            <w:pPr>
              <w:rPr>
                <w:rFonts w:eastAsia="Times New Roman"/>
                <w:b/>
                <w:bCs/>
                <w:sz w:val="20"/>
                <w:szCs w:val="20"/>
              </w:rPr>
            </w:pPr>
            <w:r>
              <w:rPr>
                <w:rFonts w:eastAsia="Times New Roman"/>
                <w:b/>
                <w:bCs/>
                <w:sz w:val="20"/>
                <w:szCs w:val="20"/>
              </w:rPr>
              <w:pict>
                <v:rect id="_x0000_i1033" style="width:.05pt;height:.75pt" o:hralign="center" o:hrstd="t" o:hr="t" fillcolor="#a0a0a0" stroked="f"/>
              </w:pic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DD679F"/>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DD679F"/>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     58,645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     68,260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     100,825</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jc w:val="right"/>
              <w:rPr>
                <w:rFonts w:eastAsia="Times New Roman"/>
              </w:rPr>
            </w:pPr>
            <w:r>
              <w:rPr>
                <w:rFonts w:eastAsia="Times New Roman"/>
                <w:sz w:val="20"/>
                <w:szCs w:val="20"/>
              </w:rPr>
              <w:t>1,194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jc w:val="right"/>
              <w:rPr>
                <w:rFonts w:eastAsia="Times New Roman"/>
              </w:rPr>
            </w:pPr>
            <w:r>
              <w:rPr>
                <w:rFonts w:eastAsia="Times New Roman"/>
                <w:sz w:val="20"/>
                <w:szCs w:val="20"/>
              </w:rPr>
              <w:t>1,194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jc w:val="right"/>
              <w:rPr>
                <w:rFonts w:eastAsia="Times New Roman"/>
              </w:rPr>
            </w:pPr>
            <w:r>
              <w:rPr>
                <w:rFonts w:eastAsia="Times New Roman"/>
                <w:sz w:val="20"/>
                <w:szCs w:val="20"/>
              </w:rPr>
              <w:t>1,644</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Total 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59,839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69,454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102,469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FIXED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605,960</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TOTAL ASSETS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    538,279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    547,894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    708,429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center"/>
            </w:pPr>
            <w:r>
              <w:rPr>
                <w:sz w:val="20"/>
                <w:szCs w:val="20"/>
              </w:rPr>
              <w:t> </w:t>
            </w: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r>
    </w:tbl>
    <w:p w:rsidR="00654F2F" w:rsidRDefault="00654F2F">
      <w:pPr>
        <w:divId w:val="516239294"/>
      </w:pPr>
      <w:r>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4"/>
        <w:gridCol w:w="1384"/>
        <w:gridCol w:w="1384"/>
        <w:gridCol w:w="1384"/>
      </w:tblGrid>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b/>
                <w:bCs/>
                <w:sz w:val="20"/>
                <w:szCs w:val="20"/>
              </w:rPr>
              <w:lastRenderedPageBreak/>
              <w:t>            LIABILITIES AND STOCKHOLDERS' EQUITY              </w:t>
            </w: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Accounts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  24,389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  24,260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  9,261</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24,804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24,804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35,985</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127,029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3,945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27,217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58,026</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Total 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184,167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203,310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230,301</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137,099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149,648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213,900</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Due to affiliate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76,667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60,998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56,259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Total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213,766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210,646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270,159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Total Liabilities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397,933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413,956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500,460</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DD679F"/>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STOCKHOLDERS'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DD679F"/>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Convertible preferred stock, Series 2, par value $0.01; authorized  10,000,000 shares; issued and outstanding 5,000 shares liquidating preference $25,000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50</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Convertible preferred stock, Series 3, par value $0.01; authorized and issued, 1,670,000 shares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16,700</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Convertible preferred stock, Series 4; issued and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b/>
                <w:bCs/>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Convertible preferred stock, Series 5; issued, 1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b/>
                <w:bCs/>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xml:space="preserve">   Common stock, par value $0.01; At </w:t>
            </w:r>
            <w:r w:rsidR="008B065A">
              <w:rPr>
                <w:sz w:val="20"/>
                <w:szCs w:val="20"/>
              </w:rPr>
              <w:t>December 31</w:t>
            </w:r>
            <w:r>
              <w:rPr>
                <w:sz w:val="20"/>
                <w:szCs w:val="20"/>
              </w:rPr>
              <w:t xml:space="preserve">, 2015 and June 30, 2015, authorized 60,000,000 shares; issued and outstanding 2,292,945 shares. At June 30, 2014 authorized, 90,000,000 shares; issued 46,973,585 shares; outstanding 45,853,585 shares.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22,929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22,929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469,736</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Additional paid-in capital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20,944,575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20,944,575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20,497,769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(20,836,624)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(20,843,032)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(20,769,002)</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Less treasury stock, at cost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1,670,000 shares of convertible preferred   stock, Series 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(7,284)</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xml:space="preserve">      1,120,000 shares of common stock as of June 30, 2014 and 0 shares as of June 30, 2015 and </w:t>
            </w:r>
            <w:r w:rsidR="008B065A">
              <w:rPr>
                <w:sz w:val="20"/>
                <w:szCs w:val="20"/>
              </w:rPr>
              <w:t>December 31</w:t>
            </w:r>
            <w:r>
              <w:rPr>
                <w:sz w:val="20"/>
                <w:szCs w:val="20"/>
              </w:rPr>
              <w:t>, 2015</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sz w:val="20"/>
                <w:szCs w:val="20"/>
              </w:rPr>
              <w:t>  TOTAL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140,346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133,938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sz w:val="20"/>
                <w:szCs w:val="20"/>
              </w:rPr>
              <w:t>207,969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pPr>
            <w:r>
              <w:rPr>
                <w:b/>
                <w:bCs/>
                <w:sz w:val="20"/>
                <w:szCs w:val="20"/>
              </w:rPr>
              <w:t>  TOTAL LIABILITIES AND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b/>
                <w:bCs/>
                <w:sz w:val="20"/>
                <w:szCs w:val="20"/>
              </w:rPr>
              <w:t>$   538,279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b/>
                <w:bCs/>
                <w:sz w:val="20"/>
                <w:szCs w:val="20"/>
              </w:rPr>
              <w:t>$   547,894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right"/>
            </w:pPr>
            <w:r>
              <w:rPr>
                <w:b/>
                <w:bCs/>
                <w:sz w:val="20"/>
                <w:szCs w:val="20"/>
              </w:rPr>
              <w:t>$   708,429</w:t>
            </w:r>
          </w:p>
        </w:tc>
      </w:tr>
      <w:tr w:rsidR="00DD679F">
        <w:trPr>
          <w:divId w:val="5162392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DD679F" w:rsidRDefault="000E4A48">
            <w:pPr>
              <w:pStyle w:val="NormalWeb"/>
              <w:jc w:val="right"/>
            </w:pPr>
            <w:r>
              <w:rPr>
                <w:sz w:val="20"/>
                <w:szCs w:val="20"/>
              </w:rPr>
              <w:t>============</w:t>
            </w:r>
          </w:p>
        </w:tc>
      </w:tr>
      <w:tr w:rsidR="00DD679F">
        <w:trPr>
          <w:divId w:val="516239294"/>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bottom"/>
            <w:hideMark/>
          </w:tcPr>
          <w:p w:rsidR="00DD679F" w:rsidRDefault="000E4A48">
            <w:pPr>
              <w:pStyle w:val="NormalWeb"/>
              <w:jc w:val="center"/>
            </w:pPr>
            <w:r>
              <w:rPr>
                <w:b/>
                <w:bCs/>
                <w:sz w:val="20"/>
                <w:szCs w:val="20"/>
              </w:rPr>
              <w:t>See accompanying notes to financial statements.</w:t>
            </w:r>
          </w:p>
        </w:tc>
      </w:tr>
    </w:tbl>
    <w:p w:rsidR="00DD679F" w:rsidRDefault="000B193D">
      <w:pPr>
        <w:pStyle w:val="NormalWeb"/>
        <w:divId w:val="516239294"/>
      </w:pPr>
      <w:hyperlink w:anchor="toc" w:history="1">
        <w:r w:rsidR="000E4A48">
          <w:rPr>
            <w:rStyle w:val="Hyperlink"/>
            <w:b/>
            <w:bCs/>
            <w:sz w:val="20"/>
            <w:szCs w:val="20"/>
          </w:rPr>
          <w:t>Return to Table of Contents</w:t>
        </w:r>
      </w:hyperlink>
    </w:p>
    <w:p w:rsidR="00DD679F" w:rsidRDefault="000B193D">
      <w:pPr>
        <w:rPr>
          <w:rFonts w:eastAsia="Times New Roman"/>
        </w:rPr>
      </w:pPr>
      <w:r>
        <w:rPr>
          <w:rFonts w:eastAsia="Times New Roman"/>
        </w:rPr>
        <w:pict>
          <v:rect id="_x0000_i1034" style="width:0;height:1.5pt" o:hralign="center" o:hrstd="t" o:hrnoshade="t" o:hr="t" fillcolor="black" stroked="f"/>
        </w:pic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6"/>
        <w:gridCol w:w="1180"/>
        <w:gridCol w:w="936"/>
        <w:gridCol w:w="1161"/>
        <w:gridCol w:w="1081"/>
        <w:gridCol w:w="1252"/>
      </w:tblGrid>
      <w:tr w:rsidR="00DD679F" w:rsidTr="0004370D">
        <w:trPr>
          <w:tblCellSpacing w:w="0" w:type="dxa"/>
        </w:trPr>
        <w:tc>
          <w:tcPr>
            <w:tcW w:w="3200" w:type="pct"/>
            <w:gridSpan w:val="3"/>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jc w:val="center"/>
            </w:pPr>
            <w:r>
              <w:lastRenderedPageBreak/>
              <w:t> </w:t>
            </w:r>
            <w:r>
              <w:rPr>
                <w:b/>
                <w:bCs/>
                <w:sz w:val="20"/>
                <w:szCs w:val="20"/>
              </w:rPr>
              <w:t>ADVANCED OXYGEN TECHNOLOGIES, INC.</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DD679F" w:rsidTr="0004370D">
        <w:trPr>
          <w:tblCellSpacing w:w="0" w:type="dxa"/>
        </w:trPr>
        <w:tc>
          <w:tcPr>
            <w:tcW w:w="32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center"/>
              <w:rPr>
                <w:rFonts w:eastAsia="Times New Roman"/>
              </w:rPr>
            </w:pPr>
            <w:r>
              <w:rPr>
                <w:rFonts w:eastAsia="Times New Roman"/>
                <w:b/>
                <w:bCs/>
                <w:sz w:val="20"/>
                <w:szCs w:val="20"/>
              </w:rPr>
              <w:t>Consolidated Statement of Operations and Changes in Accumulated Deficit</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rPr>
              <w:t> </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rPr>
            </w:pP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DD679F"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rsidP="0004370D">
            <w:pPr>
              <w:jc w:val="center"/>
            </w:pPr>
            <w:r>
              <w:rPr>
                <w:rFonts w:eastAsia="Times New Roman"/>
                <w:sz w:val="20"/>
                <w:szCs w:val="20"/>
              </w:rPr>
              <w:t>3 Month Period Ending</w:t>
            </w:r>
            <w:r>
              <w:rPr>
                <w:rFonts w:eastAsia="Times New Roman"/>
                <w:sz w:val="20"/>
                <w:szCs w:val="20"/>
              </w:rPr>
              <w:br/>
              <w:t>December 31,</w:t>
            </w:r>
            <w:r>
              <w:t> </w:t>
            </w:r>
          </w:p>
        </w:tc>
        <w:tc>
          <w:tcPr>
            <w:tcW w:w="115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rsidP="0004370D">
            <w:pPr>
              <w:jc w:val="center"/>
              <w:rPr>
                <w:rFonts w:eastAsia="Times New Roman"/>
              </w:rPr>
            </w:pPr>
            <w:r>
              <w:rPr>
                <w:rFonts w:eastAsia="Times New Roman"/>
                <w:sz w:val="20"/>
                <w:szCs w:val="20"/>
              </w:rPr>
              <w:t>6 Month Period Ending</w:t>
            </w:r>
            <w:r>
              <w:rPr>
                <w:rFonts w:eastAsia="Times New Roman"/>
                <w:sz w:val="20"/>
                <w:szCs w:val="20"/>
              </w:rPr>
              <w:br/>
              <w:t>December 31,</w:t>
            </w:r>
          </w:p>
          <w:p w:rsidR="00DD679F" w:rsidRDefault="000E4A48" w:rsidP="0004370D">
            <w:pPr>
              <w:pStyle w:val="NormalWeb"/>
              <w:spacing w:before="0" w:beforeAutospacing="0" w:after="0" w:afterAutospacing="0"/>
              <w:jc w:val="center"/>
            </w:pPr>
            <w:r>
              <w:t> </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rsidP="0004370D">
            <w:pPr>
              <w:pStyle w:val="NormalWeb"/>
              <w:spacing w:before="0" w:beforeAutospacing="0" w:after="0" w:afterAutospacing="0"/>
              <w:jc w:val="center"/>
            </w:pPr>
            <w:r>
              <w:rPr>
                <w:sz w:val="20"/>
                <w:szCs w:val="20"/>
              </w:rPr>
              <w:t>12 Month Period Ending</w:t>
            </w:r>
            <w:r>
              <w:rPr>
                <w:sz w:val="20"/>
                <w:szCs w:val="20"/>
              </w:rPr>
              <w:br/>
              <w:t>June 30,</w:t>
            </w:r>
          </w:p>
        </w:tc>
      </w:tr>
      <w:tr w:rsidR="00DD679F"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tc>
        <w:tc>
          <w:tcPr>
            <w:tcW w:w="1090" w:type="pct"/>
            <w:gridSpan w:val="2"/>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center"/>
              <w:rPr>
                <w:rFonts w:eastAsia="Times New Roman"/>
              </w:rPr>
            </w:pPr>
            <w:r>
              <w:rPr>
                <w:rFonts w:eastAsia="Times New Roman"/>
                <w:b/>
                <w:bCs/>
                <w:sz w:val="20"/>
                <w:szCs w:val="20"/>
              </w:rPr>
              <w:t>(Unaudited)</w:t>
            </w:r>
          </w:p>
        </w:tc>
        <w:tc>
          <w:tcPr>
            <w:tcW w:w="1155" w:type="pct"/>
            <w:gridSpan w:val="2"/>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rsidP="0004370D">
            <w:pPr>
              <w:jc w:val="center"/>
            </w:pPr>
            <w:r>
              <w:rPr>
                <w:rFonts w:eastAsia="Times New Roman"/>
                <w:b/>
                <w:bCs/>
                <w:sz w:val="20"/>
                <w:szCs w:val="20"/>
              </w:rPr>
              <w:t>(Unaudited)</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jc w:val="center"/>
            </w:pPr>
            <w:r>
              <w:rPr>
                <w:b/>
                <w:bCs/>
                <w:sz w:val="20"/>
                <w:szCs w:val="20"/>
              </w:rPr>
              <w:t>(Audited)</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 </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center"/>
            </w:pPr>
            <w:r>
              <w:rPr>
                <w:b/>
                <w:bCs/>
                <w:sz w:val="20"/>
                <w:szCs w:val="20"/>
              </w:rPr>
              <w:t>2015</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right"/>
            </w:pPr>
            <w:r>
              <w:rPr>
                <w:b/>
                <w:bCs/>
                <w:sz w:val="20"/>
                <w:szCs w:val="20"/>
              </w:rPr>
              <w:t>2014</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center"/>
            </w:pPr>
            <w:r>
              <w:rPr>
                <w:b/>
                <w:bCs/>
                <w:sz w:val="20"/>
                <w:szCs w:val="20"/>
              </w:rPr>
              <w:t>2015</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right"/>
            </w:pPr>
            <w:r>
              <w:rPr>
                <w:b/>
                <w:bCs/>
                <w:sz w:val="20"/>
                <w:szCs w:val="20"/>
              </w:rPr>
              <w:t>2014</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center"/>
            </w:pPr>
            <w:r>
              <w:rPr>
                <w:b/>
                <w:bCs/>
                <w:sz w:val="20"/>
                <w:szCs w:val="20"/>
              </w:rPr>
              <w:t>2015</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Revenues</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rPr>
            </w:pP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Real Estate Rental Income, subsidiary</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9,057</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10,140</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18,115</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20,055</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38,585</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Foreign Exchange Income</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35,323</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rPr>
              <w:t> </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Total Revenues</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9,057</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10,140</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18,115</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20,055</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73,908</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 </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rPr>
            </w:pP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Cost of Sales</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rPr>
            </w:pP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Cost of Sales, subsidiary</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 </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Gross Profit</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9,057</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10,140</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18,115</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20,055</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73,908</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 </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rPr>
            </w:pP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Expenses</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rPr>
                <w:rFonts w:eastAsia="Times New Roman"/>
              </w:rPr>
            </w:pP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Accounting Expense</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6,143</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6,757</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6,143</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6,757</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8,884</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Interest Expense</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2,128</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2,808</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4,332</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5,793</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10,410</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General &amp; Administrative</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1,008</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3,600</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1,231</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7,261</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4,196</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Foreign Exchange Expense</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Taxes</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Transfer Agent Expenses</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2,100</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Total Expenses</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9,279</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13,165</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11,706</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19,811</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25,590</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b/>
                <w:bCs/>
                <w:sz w:val="20"/>
                <w:szCs w:val="20"/>
              </w:rPr>
              <w:t>Income (loss) from Operations</w:t>
            </w:r>
          </w:p>
        </w:tc>
        <w:tc>
          <w:tcPr>
            <w:tcW w:w="60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(222)</w:t>
            </w:r>
          </w:p>
        </w:tc>
        <w:tc>
          <w:tcPr>
            <w:tcW w:w="48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(3,025)</w:t>
            </w:r>
          </w:p>
        </w:tc>
        <w:tc>
          <w:tcPr>
            <w:tcW w:w="59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6,409</w:t>
            </w:r>
          </w:p>
        </w:tc>
        <w:tc>
          <w:tcPr>
            <w:tcW w:w="55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244</w:t>
            </w:r>
          </w:p>
        </w:tc>
        <w:tc>
          <w:tcPr>
            <w:tcW w:w="64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48,319</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 </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rPr>
              <w:t> </w:t>
            </w: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b/>
                <w:bCs/>
                <w:sz w:val="20"/>
                <w:szCs w:val="20"/>
              </w:rPr>
              <w:t>Income Tax Benefit (Expense)</w:t>
            </w:r>
          </w:p>
        </w:tc>
        <w:tc>
          <w:tcPr>
            <w:tcW w:w="60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5,169</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sz w:val="20"/>
                <w:szCs w:val="20"/>
              </w:rPr>
            </w:pP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c>
          <w:tcPr>
            <w:tcW w:w="6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Other Income (Expense)</w:t>
            </w:r>
          </w:p>
        </w:tc>
        <w:tc>
          <w:tcPr>
            <w:tcW w:w="60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rPr>
                <w:rFonts w:eastAsia="Times New Roman"/>
              </w:rPr>
            </w:pPr>
          </w:p>
        </w:tc>
        <w:tc>
          <w:tcPr>
            <w:tcW w:w="48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sz w:val="20"/>
                <w:szCs w:val="20"/>
              </w:rPr>
            </w:pPr>
          </w:p>
        </w:tc>
        <w:tc>
          <w:tcPr>
            <w:tcW w:w="59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sz w:val="20"/>
                <w:szCs w:val="20"/>
              </w:rPr>
            </w:pPr>
          </w:p>
        </w:tc>
        <w:tc>
          <w:tcPr>
            <w:tcW w:w="55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sz w:val="20"/>
                <w:szCs w:val="20"/>
              </w:rPr>
            </w:pPr>
          </w:p>
        </w:tc>
        <w:tc>
          <w:tcPr>
            <w:tcW w:w="64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Interest Income</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Foreign Exchange gain (loss) of Land and Buildings</w:t>
            </w:r>
          </w:p>
        </w:tc>
        <w:tc>
          <w:tcPr>
            <w:tcW w:w="60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(127,520)</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Vendor Debt Write Down</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Total Other Income (Expense)</w:t>
            </w:r>
          </w:p>
        </w:tc>
        <w:tc>
          <w:tcPr>
            <w:tcW w:w="60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(127,520)</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 </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b/>
                <w:bCs/>
                <w:sz w:val="20"/>
                <w:szCs w:val="20"/>
              </w:rPr>
              <w:t>Net Income (Loss)</w:t>
            </w:r>
          </w:p>
        </w:tc>
        <w:tc>
          <w:tcPr>
            <w:tcW w:w="60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(222)</w:t>
            </w:r>
          </w:p>
        </w:tc>
        <w:tc>
          <w:tcPr>
            <w:tcW w:w="482"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(3,025)</w:t>
            </w:r>
          </w:p>
        </w:tc>
        <w:tc>
          <w:tcPr>
            <w:tcW w:w="59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6,409</w:t>
            </w:r>
          </w:p>
        </w:tc>
        <w:tc>
          <w:tcPr>
            <w:tcW w:w="557"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244</w:t>
            </w:r>
          </w:p>
        </w:tc>
        <w:tc>
          <w:tcPr>
            <w:tcW w:w="645"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(74,032)</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 </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rPr>
                <w:rFonts w:eastAsia="Times New Roman"/>
              </w:rPr>
            </w:pP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Basic net income per share</w:t>
            </w:r>
          </w:p>
        </w:tc>
        <w:tc>
          <w:tcPr>
            <w:tcW w:w="60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(0.0001)</w:t>
            </w:r>
          </w:p>
        </w:tc>
        <w:tc>
          <w:tcPr>
            <w:tcW w:w="48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(0.0013)</w:t>
            </w:r>
          </w:p>
        </w:tc>
        <w:tc>
          <w:tcPr>
            <w:tcW w:w="59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$ 0.0028</w:t>
            </w:r>
          </w:p>
        </w:tc>
        <w:tc>
          <w:tcPr>
            <w:tcW w:w="55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$ 0.0000</w:t>
            </w:r>
          </w:p>
        </w:tc>
        <w:tc>
          <w:tcPr>
            <w:tcW w:w="64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(0.032)</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Basic weighted average shares outstanding</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2,292,945</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45,853,585</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2,292,945</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45,853,585</w:t>
            </w:r>
          </w:p>
        </w:tc>
        <w:tc>
          <w:tcPr>
            <w:tcW w:w="645"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2,292,945</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Diluted net income per share</w:t>
            </w:r>
          </w:p>
        </w:tc>
        <w:tc>
          <w:tcPr>
            <w:tcW w:w="60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(0.0001)</w:t>
            </w:r>
          </w:p>
        </w:tc>
        <w:tc>
          <w:tcPr>
            <w:tcW w:w="48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(0.0013)</w:t>
            </w:r>
          </w:p>
        </w:tc>
        <w:tc>
          <w:tcPr>
            <w:tcW w:w="598"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$ 0.0028</w:t>
            </w:r>
          </w:p>
        </w:tc>
        <w:tc>
          <w:tcPr>
            <w:tcW w:w="55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$ 0.0000</w:t>
            </w:r>
          </w:p>
        </w:tc>
        <w:tc>
          <w:tcPr>
            <w:tcW w:w="64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 (0.0034)</w:t>
            </w:r>
          </w:p>
        </w:tc>
      </w:tr>
      <w:tr w:rsidR="0004370D" w:rsidTr="0004370D">
        <w:trPr>
          <w:tblCellSpacing w:w="0" w:type="dxa"/>
        </w:trPr>
        <w:tc>
          <w:tcPr>
            <w:tcW w:w="211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Diluted weighted average shares outstanding</w:t>
            </w:r>
          </w:p>
        </w:tc>
        <w:tc>
          <w:tcPr>
            <w:tcW w:w="60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2,292,945</w:t>
            </w:r>
          </w:p>
        </w:tc>
        <w:tc>
          <w:tcPr>
            <w:tcW w:w="482"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45,853,585</w:t>
            </w:r>
          </w:p>
        </w:tc>
        <w:tc>
          <w:tcPr>
            <w:tcW w:w="59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2,292,945</w:t>
            </w:r>
          </w:p>
        </w:tc>
        <w:tc>
          <w:tcPr>
            <w:tcW w:w="557"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45,853,585</w:t>
            </w:r>
          </w:p>
        </w:tc>
        <w:tc>
          <w:tcPr>
            <w:tcW w:w="6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21,440,479</w:t>
            </w:r>
          </w:p>
        </w:tc>
      </w:tr>
      <w:tr w:rsidR="00DD679F" w:rsidTr="0004370D">
        <w:trPr>
          <w:tblCellSpacing w:w="0" w:type="dxa"/>
        </w:trPr>
        <w:tc>
          <w:tcPr>
            <w:tcW w:w="32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center"/>
              <w:rPr>
                <w:rFonts w:eastAsia="Times New Roman"/>
              </w:rPr>
            </w:pPr>
            <w:r>
              <w:rPr>
                <w:rFonts w:eastAsia="Times New Roman"/>
                <w:b/>
                <w:bCs/>
                <w:sz w:val="20"/>
                <w:szCs w:val="20"/>
              </w:rPr>
              <w:t>See accompanying notes to financial statements.</w:t>
            </w: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rPr>
              <w:t> </w:t>
            </w:r>
          </w:p>
        </w:tc>
        <w:tc>
          <w:tcPr>
            <w:tcW w:w="5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rPr>
            </w:pPr>
          </w:p>
        </w:tc>
        <w:tc>
          <w:tcPr>
            <w:tcW w:w="6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right"/>
              <w:rPr>
                <w:rFonts w:eastAsia="Times New Roman"/>
                <w:sz w:val="20"/>
                <w:szCs w:val="20"/>
              </w:rPr>
            </w:pPr>
          </w:p>
        </w:tc>
      </w:tr>
    </w:tbl>
    <w:p w:rsidR="00DD679F" w:rsidRDefault="000B193D">
      <w:pPr>
        <w:pStyle w:val="NormalWeb"/>
        <w:jc w:val="center"/>
      </w:pPr>
      <w:hyperlink w:anchor="toc" w:history="1">
        <w:r w:rsidR="000E4A48">
          <w:rPr>
            <w:rStyle w:val="Hyperlink"/>
            <w:b/>
            <w:bCs/>
            <w:sz w:val="20"/>
            <w:szCs w:val="20"/>
          </w:rPr>
          <w:t>Return to Table of Contents</w:t>
        </w:r>
      </w:hyperlink>
    </w:p>
    <w:p w:rsidR="0004370D" w:rsidRDefault="000B193D">
      <w:pPr>
        <w:rPr>
          <w:rFonts w:eastAsia="Times New Roman"/>
        </w:rPr>
        <w:sectPr w:rsidR="0004370D" w:rsidSect="00174D18">
          <w:pgSz w:w="12240" w:h="15840"/>
          <w:pgMar w:top="720" w:right="720" w:bottom="720" w:left="720" w:header="720" w:footer="720" w:gutter="0"/>
          <w:cols w:space="720"/>
          <w:docGrid w:linePitch="360"/>
        </w:sectPr>
      </w:pPr>
      <w:r>
        <w:rPr>
          <w:rFonts w:eastAsia="Times New Roman"/>
        </w:rPr>
        <w:pict>
          <v:rect id="_x0000_i1035" style="width:0;height:1.5pt" o:hralign="center" o:hrstd="t" o:hrnoshade="t" o:hr="t" fillcolor="black" stroked="f"/>
        </w:pict>
      </w:r>
    </w:p>
    <w:bookmarkStart w:id="2" w:name="_MON_1515901092"/>
    <w:bookmarkEnd w:id="2"/>
    <w:p w:rsidR="00DD679F" w:rsidRDefault="004D3348">
      <w:pPr>
        <w:rPr>
          <w:rFonts w:eastAsia="Times New Roman"/>
        </w:rPr>
      </w:pPr>
      <w:r>
        <w:rPr>
          <w:rFonts w:eastAsia="Times New Roman"/>
        </w:rPr>
        <w:object w:dxaOrig="17139" w:dyaOrig="9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24.95pt;height:482.05pt" o:ole="">
            <v:imagedata r:id="rId4" o:title=""/>
          </v:shape>
          <o:OLEObject Type="Embed" ProgID="Excel.Sheet.12" ShapeID="_x0000_i1036" DrawAspect="Content" ObjectID="_1516162671" r:id="rId5"/>
        </w:object>
      </w:r>
    </w:p>
    <w:p w:rsidR="00DD679F" w:rsidRDefault="000B193D">
      <w:pPr>
        <w:pStyle w:val="NormalWeb"/>
        <w:jc w:val="center"/>
        <w:divId w:val="1203010667"/>
      </w:pPr>
      <w:hyperlink w:anchor="toc" w:history="1">
        <w:r w:rsidR="000E4A48">
          <w:rPr>
            <w:rStyle w:val="Hyperlink"/>
            <w:b/>
            <w:bCs/>
            <w:sz w:val="20"/>
            <w:szCs w:val="20"/>
          </w:rPr>
          <w:t>Return to Table of Contents</w:t>
        </w:r>
      </w:hyperlink>
    </w:p>
    <w:p w:rsidR="0004370D" w:rsidRDefault="000B193D">
      <w:pPr>
        <w:divId w:val="1203010667"/>
        <w:rPr>
          <w:rFonts w:eastAsia="Times New Roman"/>
        </w:rPr>
        <w:sectPr w:rsidR="0004370D" w:rsidSect="0004370D">
          <w:pgSz w:w="15840" w:h="12240" w:orient="landscape"/>
          <w:pgMar w:top="720" w:right="720" w:bottom="720" w:left="720" w:header="720" w:footer="720" w:gutter="0"/>
          <w:cols w:space="720"/>
          <w:docGrid w:linePitch="360"/>
        </w:sectPr>
      </w:pPr>
      <w:r>
        <w:rPr>
          <w:rFonts w:eastAsia="Times New Roman"/>
        </w:rPr>
        <w:lastRenderedPageBreak/>
        <w:pict>
          <v:rect id="_x0000_i1037" style="width:0;height:1.5pt" o:hralign="center" o:hrstd="t" o:hrnoshade="t" o:hr="t" fillcolor="black" stroked="f"/>
        </w:pic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3"/>
        <w:gridCol w:w="862"/>
        <w:gridCol w:w="714"/>
        <w:gridCol w:w="1347"/>
      </w:tblGrid>
      <w:tr w:rsidR="00DD679F">
        <w:trPr>
          <w:divId w:val="1203010667"/>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jc w:val="center"/>
            </w:pPr>
            <w:r>
              <w:rPr>
                <w:b/>
                <w:bCs/>
                <w:sz w:val="20"/>
                <w:szCs w:val="20"/>
              </w:rPr>
              <w:lastRenderedPageBreak/>
              <w:t>ADVANCED OXYGEN TECHNOLOGIES, INC.</w:t>
            </w:r>
          </w:p>
        </w:tc>
      </w:tr>
      <w:tr w:rsidR="00DD679F">
        <w:trPr>
          <w:divId w:val="1203010667"/>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center"/>
              <w:rPr>
                <w:rFonts w:eastAsia="Times New Roman"/>
              </w:rPr>
            </w:pPr>
            <w:r>
              <w:rPr>
                <w:rFonts w:eastAsia="Times New Roman"/>
                <w:b/>
                <w:bCs/>
                <w:sz w:val="20"/>
                <w:szCs w:val="20"/>
              </w:rPr>
              <w:t>Consolidated Statement of Cash Flow </w:t>
            </w:r>
          </w:p>
        </w:tc>
      </w:tr>
      <w:tr w:rsidR="00DD679F" w:rsidTr="0004370D">
        <w:trPr>
          <w:divId w:val="1203010667"/>
          <w:tblCellSpacing w:w="0" w:type="dxa"/>
        </w:trPr>
        <w:tc>
          <w:tcPr>
            <w:tcW w:w="349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center"/>
              <w:rPr>
                <w:rFonts w:eastAsia="Times New Roman"/>
              </w:rPr>
            </w:pP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rPr>
              <w:t> </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rPr>
            </w:pPr>
          </w:p>
        </w:tc>
        <w:tc>
          <w:tcPr>
            <w:tcW w:w="69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center"/>
            </w:pPr>
            <w:r>
              <w:rPr>
                <w:sz w:val="20"/>
                <w:szCs w:val="20"/>
              </w:rPr>
              <w:t>6 Month Period Ending</w:t>
            </w:r>
            <w:r>
              <w:rPr>
                <w:sz w:val="20"/>
                <w:szCs w:val="20"/>
              </w:rPr>
              <w:br/>
              <w:t>December 31</w:t>
            </w:r>
          </w:p>
        </w:tc>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center"/>
            </w:pPr>
            <w:r>
              <w:rPr>
                <w:sz w:val="20"/>
                <w:szCs w:val="20"/>
              </w:rPr>
              <w:t>12 Month Period Ending June 30</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jc w:val="center"/>
            </w:pPr>
            <w:r>
              <w:rPr>
                <w:b/>
                <w:bCs/>
                <w:sz w:val="20"/>
                <w:szCs w:val="20"/>
              </w:rPr>
              <w:t xml:space="preserve">(unaudited) </w:t>
            </w:r>
          </w:p>
        </w:tc>
        <w:tc>
          <w:tcPr>
            <w:tcW w:w="69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center"/>
            </w:pPr>
            <w:r>
              <w:rPr>
                <w:b/>
                <w:bCs/>
                <w:sz w:val="20"/>
                <w:szCs w:val="20"/>
              </w:rPr>
              <w:t xml:space="preserve">(audited) </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 </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center"/>
              <w:rPr>
                <w:b/>
                <w:bCs/>
              </w:rPr>
            </w:pPr>
            <w:r>
              <w:rPr>
                <w:b/>
                <w:bCs/>
                <w:sz w:val="20"/>
                <w:szCs w:val="20"/>
              </w:rPr>
              <w:t>2015</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jc w:val="center"/>
              <w:rPr>
                <w:b/>
                <w:bCs/>
              </w:rPr>
            </w:pPr>
            <w:r>
              <w:rPr>
                <w:b/>
                <w:bCs/>
                <w:sz w:val="20"/>
                <w:szCs w:val="20"/>
              </w:rPr>
              <w:t>2014</w:t>
            </w:r>
          </w:p>
        </w:tc>
        <w:tc>
          <w:tcPr>
            <w:tcW w:w="69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auto-style1"/>
            </w:pPr>
            <w:r>
              <w:rPr>
                <w:b/>
                <w:bCs/>
                <w:sz w:val="20"/>
                <w:szCs w:val="20"/>
              </w:rPr>
              <w:t>2015</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b/>
                <w:bCs/>
                <w:sz w:val="20"/>
                <w:szCs w:val="20"/>
              </w:rPr>
              <w:t>Cash flow from operating activities</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rPr>
            </w:pP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Net Income (Loss)</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6,409</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(74,032)</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 </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rPr>
            </w:pP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Adjustments to reconcile net loss to cash provided by operations</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Accounts Receivable &amp; Value Added Tax Receivable</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450</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Accounts Payable and Accrued Expenses</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4,129</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14,999</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Current Portion of Long Term Debt</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(11,181)</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Taxes Payable</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(23,272)</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483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(30,809)</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Land &amp; Buildings</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127,520</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Rounding</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Total Adjustments</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(19,143)</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(2,583)</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100,980</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rPr>
            </w:pP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rPr>
                <w:rFonts w:eastAsia="Times New Roman"/>
                <w:sz w:val="20"/>
                <w:szCs w:val="20"/>
              </w:rPr>
            </w:pP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b/>
                <w:bCs/>
                <w:sz w:val="20"/>
                <w:szCs w:val="20"/>
              </w:rPr>
              <w:t>Net Cash provided (used) by operations</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(12,734)</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(2,339)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b/>
                <w:bCs/>
                <w:sz w:val="20"/>
                <w:szCs w:val="20"/>
              </w:rPr>
              <w:t>26,948</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 </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rPr>
                <w:rFonts w:eastAsia="Times New Roman"/>
              </w:rPr>
            </w:pP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b/>
                <w:bCs/>
                <w:sz w:val="20"/>
                <w:szCs w:val="20"/>
              </w:rPr>
              <w:t>Cash Flows from financing activities:</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rPr>
            </w:pP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Proceeds From:</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rPr>
                <w:rFonts w:eastAsia="Times New Roman"/>
              </w:rPr>
            </w:pP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Note Payable, Crossfield</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15,669</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4,739</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Proceeds Used For:</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rPr>
                <w:rFonts w:eastAsia="Times New Roman"/>
              </w:rPr>
            </w:pP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Long Term Debt</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(12,550)</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(13,836)</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(64,251)</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b/>
                <w:bCs/>
                <w:sz w:val="20"/>
                <w:szCs w:val="20"/>
              </w:rPr>
              <w:t>Net Cash Flows used in Financing Activities:</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3,119</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(11,736)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(59,513)</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 </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rPr>
                <w:rFonts w:eastAsia="Times New Roman"/>
              </w:rPr>
            </w:pP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b/>
                <w:bCs/>
                <w:sz w:val="20"/>
                <w:szCs w:val="20"/>
              </w:rPr>
              <w:t>Net Increase (decrease) in Cash</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(9,615)</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(14,075)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(32,565)</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 </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rPr>
              <w:t> </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DD679F">
            <w:pPr>
              <w:jc w:val="right"/>
              <w:rPr>
                <w:rFonts w:eastAsia="Times New Roman"/>
                <w:sz w:val="20"/>
                <w:szCs w:val="20"/>
              </w:rPr>
            </w:pP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b/>
                <w:bCs/>
                <w:sz w:val="20"/>
                <w:szCs w:val="20"/>
              </w:rPr>
              <w:t>Cash Balance at beginning of Period</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68,260</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100,825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sz w:val="20"/>
                <w:szCs w:val="20"/>
              </w:rPr>
              <w:t>100,825</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b/>
                <w:bCs/>
                <w:sz w:val="20"/>
                <w:szCs w:val="20"/>
              </w:rPr>
              <w:t>Cash Balance at End of Period</w:t>
            </w:r>
          </w:p>
        </w:tc>
        <w:tc>
          <w:tcPr>
            <w:tcW w:w="444"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58,645</w:t>
            </w:r>
          </w:p>
        </w:tc>
        <w:tc>
          <w:tcPr>
            <w:tcW w:w="368"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86,750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right"/>
              <w:rPr>
                <w:rFonts w:eastAsia="Times New Roman"/>
              </w:rPr>
            </w:pPr>
            <w:r>
              <w:rPr>
                <w:rFonts w:eastAsia="Times New Roman"/>
                <w:sz w:val="20"/>
                <w:szCs w:val="20"/>
              </w:rPr>
              <w:t>68,260</w:t>
            </w:r>
          </w:p>
        </w:tc>
      </w:tr>
      <w:tr w:rsidR="00DD679F" w:rsidTr="0004370D">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 </w:t>
            </w:r>
          </w:p>
        </w:tc>
        <w:tc>
          <w:tcPr>
            <w:tcW w:w="444"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jc w:val="right"/>
              <w:rPr>
                <w:rFonts w:eastAsia="Times New Roman"/>
              </w:rPr>
            </w:pPr>
            <w:r>
              <w:rPr>
                <w:rFonts w:eastAsia="Times New Roman"/>
              </w:rPr>
              <w:t> </w:t>
            </w:r>
          </w:p>
        </w:tc>
        <w:tc>
          <w:tcPr>
            <w:tcW w:w="368"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D679F" w:rsidRDefault="00DD679F">
            <w:pPr>
              <w:jc w:val="right"/>
              <w:rPr>
                <w:rFonts w:eastAsia="Times New Roman"/>
                <w:sz w:val="20"/>
                <w:szCs w:val="20"/>
              </w:rPr>
            </w:pPr>
          </w:p>
        </w:tc>
      </w:tr>
      <w:tr w:rsidR="00DD679F">
        <w:trPr>
          <w:divId w:val="1203010667"/>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rPr>
      </w:pPr>
      <w:r>
        <w:rPr>
          <w:rFonts w:eastAsia="Times New Roman"/>
        </w:rPr>
        <w:pict>
          <v:rect id="_x0000_i1038" style="width:0;height:1.5pt" o:hralign="center" o:hrstd="t" o:hrnoshade="t" o:hr="t" fillcolor="black" stroked="f"/>
        </w:pict>
      </w:r>
    </w:p>
    <w:p w:rsidR="00DD49F7" w:rsidRDefault="00DD49F7">
      <w:pPr>
        <w:rPr>
          <w:b/>
          <w:bCs/>
          <w:sz w:val="20"/>
          <w:szCs w:val="20"/>
        </w:rPr>
      </w:pPr>
      <w:bookmarkStart w:id="3" w:name="notes"/>
      <w:bookmarkEnd w:id="3"/>
      <w:r>
        <w:rPr>
          <w:b/>
          <w:bCs/>
          <w:sz w:val="20"/>
          <w:szCs w:val="20"/>
        </w:rPr>
        <w:br w:type="page"/>
      </w:r>
    </w:p>
    <w:p w:rsidR="00DD679F" w:rsidRDefault="000E4A48">
      <w:pPr>
        <w:pStyle w:val="NormalWeb"/>
        <w:divId w:val="1203010667"/>
      </w:pPr>
      <w:r>
        <w:rPr>
          <w:b/>
          <w:bCs/>
          <w:sz w:val="20"/>
          <w:szCs w:val="20"/>
        </w:rPr>
        <w:lastRenderedPageBreak/>
        <w:t>NOTE 1- ORGANIZATION AND LINE OF BUSINESS</w:t>
      </w:r>
    </w:p>
    <w:p w:rsidR="00DD679F" w:rsidRDefault="000E4A48">
      <w:pPr>
        <w:pStyle w:val="NormalWeb"/>
        <w:divId w:val="1203010667"/>
      </w:pPr>
      <w:r>
        <w:rPr>
          <w:b/>
          <w:bCs/>
        </w:rPr>
        <w:t>LINE OF BUSINESS</w:t>
      </w:r>
    </w:p>
    <w:p w:rsidR="00DD679F" w:rsidRDefault="000E4A48">
      <w:pPr>
        <w:pStyle w:val="NormalWeb"/>
        <w:divId w:val="1203010667"/>
      </w:pPr>
      <w:r>
        <w:rPr>
          <w:sz w:val="20"/>
          <w:szCs w:val="20"/>
        </w:rPr>
        <w:t>Organization:</w:t>
      </w:r>
    </w:p>
    <w:p w:rsidR="00DD679F" w:rsidRDefault="000E4A48">
      <w:pPr>
        <w:pStyle w:val="NormalWeb"/>
        <w:divId w:val="1203010667"/>
      </w:pPr>
      <w:r>
        <w:rPr>
          <w:sz w:val="20"/>
          <w:szCs w:val="20"/>
        </w:rPr>
        <w:t xml:space="preserve">Advanced Oxygen Technologies, Inc. (formerly </w:t>
      </w:r>
      <w:proofErr w:type="spellStart"/>
      <w:r>
        <w:rPr>
          <w:sz w:val="20"/>
          <w:szCs w:val="20"/>
        </w:rPr>
        <w:t>Aquanautic</w:t>
      </w:r>
      <w:proofErr w:type="spellEnd"/>
      <w:r>
        <w:rPr>
          <w:sz w:val="20"/>
          <w:szCs w:val="20"/>
        </w:rPr>
        <w:t xml:space="preserve">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DD679F" w:rsidRDefault="000E4A48">
      <w:pPr>
        <w:pStyle w:val="NormalWeb"/>
        <w:divId w:val="1203010667"/>
      </w:pPr>
      <w:r>
        <w:rPr>
          <w:sz w:val="20"/>
          <w:szCs w:val="20"/>
        </w:rPr>
        <w:t>Lines of Business:</w:t>
      </w:r>
    </w:p>
    <w:p w:rsidR="00DD679F" w:rsidRDefault="000E4A48">
      <w:pPr>
        <w:pStyle w:val="NormalWeb"/>
        <w:divId w:val="1203010667"/>
      </w:pPr>
      <w:r>
        <w:rPr>
          <w:sz w:val="20"/>
          <w:szCs w:val="20"/>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DD679F" w:rsidRDefault="000E4A48">
      <w:pPr>
        <w:pStyle w:val="NormalWeb"/>
        <w:divId w:val="1203010667"/>
      </w:pPr>
      <w:r>
        <w:rPr>
          <w:b/>
          <w:bCs/>
          <w:sz w:val="20"/>
          <w:szCs w:val="20"/>
        </w:rPr>
        <w:t>NOTE 2 - SUMMARY OF SIGNIFICANT ACCOUNTING POLICIES</w:t>
      </w:r>
      <w:proofErr w:type="gramStart"/>
      <w:r>
        <w:rPr>
          <w:b/>
          <w:bCs/>
          <w:sz w:val="20"/>
          <w:szCs w:val="20"/>
        </w:rPr>
        <w:t>:</w:t>
      </w:r>
      <w:proofErr w:type="gramEnd"/>
      <w:r>
        <w:rPr>
          <w:sz w:val="20"/>
          <w:szCs w:val="20"/>
        </w:rPr>
        <w:br/>
      </w:r>
      <w:r>
        <w:rPr>
          <w:sz w:val="20"/>
          <w:szCs w:val="20"/>
        </w:rPr>
        <w:br/>
      </w:r>
      <w:r>
        <w:rPr>
          <w:i/>
          <w:iCs/>
        </w:rPr>
        <w:t>Revenue Recognition</w:t>
      </w:r>
      <w:r>
        <w:t>:</w:t>
      </w:r>
    </w:p>
    <w:p w:rsidR="00DD679F" w:rsidRDefault="000E4A48">
      <w:pPr>
        <w:pStyle w:val="NormalWeb"/>
        <w:divId w:val="1203010667"/>
      </w:pPr>
      <w:r>
        <w:rPr>
          <w:i/>
          <w:iCs/>
          <w:sz w:val="20"/>
          <w:szCs w:val="20"/>
        </w:rPr>
        <w:t xml:space="preserve">Recognition of rental income: </w:t>
      </w:r>
      <w:r>
        <w:rPr>
          <w:sz w:val="20"/>
          <w:szCs w:val="20"/>
        </w:rPr>
        <w:t>Rental income for commercial property leases is recognized on a straight-line basis over the respective lease terms.</w:t>
      </w:r>
    </w:p>
    <w:p w:rsidR="00DD679F" w:rsidRDefault="000E4A48">
      <w:pPr>
        <w:pStyle w:val="NormalWeb"/>
        <w:divId w:val="1203010667"/>
      </w:pPr>
      <w:r>
        <w:rPr>
          <w:i/>
          <w:iCs/>
          <w:sz w:val="20"/>
          <w:szCs w:val="20"/>
        </w:rPr>
        <w:t>Real Estate Accounting Principles</w:t>
      </w:r>
      <w:r>
        <w:rPr>
          <w:sz w:val="20"/>
          <w:szCs w:val="20"/>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DD679F" w:rsidRDefault="000E4A48">
      <w:pPr>
        <w:divId w:val="1203010667"/>
        <w:rPr>
          <w:rFonts w:eastAsia="Times New Roman"/>
        </w:rPr>
      </w:pPr>
      <w:r>
        <w:rPr>
          <w:rFonts w:eastAsia="Times New Roman"/>
          <w:i/>
          <w:iCs/>
          <w:sz w:val="20"/>
          <w:szCs w:val="20"/>
        </w:rPr>
        <w:t>Revenue recognition on the sale of real estate:</w:t>
      </w:r>
      <w:r>
        <w:rPr>
          <w:rFonts w:eastAsia="Times New Roman"/>
        </w:rPr>
        <w:t xml:space="preserve"> </w:t>
      </w:r>
    </w:p>
    <w:p w:rsidR="00DD679F" w:rsidRDefault="000E4A48">
      <w:pPr>
        <w:pStyle w:val="NormalWeb"/>
        <w:divId w:val="1203010667"/>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DD679F" w:rsidRDefault="000E4A48">
      <w:pPr>
        <w:spacing w:before="100" w:beforeAutospacing="1" w:after="240"/>
        <w:divId w:val="1203010667"/>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DD679F" w:rsidRDefault="000E4A48">
      <w:pPr>
        <w:spacing w:before="100" w:beforeAutospacing="1" w:after="240"/>
        <w:divId w:val="1203010667"/>
      </w:pP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p>
    <w:p w:rsidR="00DD679F" w:rsidRDefault="000B193D">
      <w:pPr>
        <w:divId w:val="1203010667"/>
        <w:rPr>
          <w:rFonts w:eastAsia="Times New Roman"/>
          <w:sz w:val="20"/>
          <w:szCs w:val="20"/>
        </w:rPr>
      </w:pPr>
      <w:hyperlink w:anchor="toc" w:history="1">
        <w:r w:rsidR="000E4A48">
          <w:rPr>
            <w:rStyle w:val="Hyperlink"/>
            <w:rFonts w:eastAsia="Times New Roman"/>
            <w:b/>
            <w:bCs/>
            <w:sz w:val="20"/>
            <w:szCs w:val="20"/>
          </w:rPr>
          <w:t>Return to Table of Contents</w:t>
        </w:r>
      </w:hyperlink>
      <w:r w:rsidR="000E4A48">
        <w:rPr>
          <w:rFonts w:eastAsia="Times New Roman"/>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39" style="width:0;height:1.5pt" o:hralign="center" o:hrstd="t" o:hrnoshade="t" o:hr="t" fillcolor="black" stroked="f"/>
        </w:pict>
      </w:r>
    </w:p>
    <w:p w:rsidR="00DD49F7" w:rsidRDefault="00DD49F7">
      <w:pPr>
        <w:rPr>
          <w:i/>
          <w:iCs/>
          <w:sz w:val="20"/>
          <w:szCs w:val="20"/>
        </w:rPr>
      </w:pPr>
      <w:r>
        <w:rPr>
          <w:i/>
          <w:iCs/>
          <w:sz w:val="20"/>
          <w:szCs w:val="20"/>
        </w:rPr>
        <w:br w:type="page"/>
      </w:r>
    </w:p>
    <w:p w:rsidR="00DD679F" w:rsidRDefault="000E4A48">
      <w:pPr>
        <w:spacing w:before="100" w:beforeAutospacing="1" w:after="240"/>
        <w:divId w:val="1203010667"/>
      </w:pPr>
      <w:r>
        <w:rPr>
          <w:i/>
          <w:iCs/>
          <w:sz w:val="20"/>
          <w:szCs w:val="20"/>
        </w:rPr>
        <w:lastRenderedPageBreak/>
        <w:t>Impairment of Real Estate Investments</w:t>
      </w:r>
    </w:p>
    <w:p w:rsidR="00DD679F" w:rsidRDefault="000E4A48">
      <w:pPr>
        <w:spacing w:before="100" w:beforeAutospacing="1" w:after="100" w:afterAutospacing="1"/>
        <w:divId w:val="1203010667"/>
      </w:pPr>
      <w:r>
        <w:rPr>
          <w:sz w:val="20"/>
          <w:szCs w:val="20"/>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w:t>
      </w:r>
    </w:p>
    <w:p w:rsidR="00DD679F" w:rsidRDefault="000E4A48">
      <w:pPr>
        <w:divId w:val="1203010667"/>
        <w:rPr>
          <w:rFonts w:eastAsia="Times New Roman"/>
        </w:rPr>
      </w:pPr>
      <w:r>
        <w:rPr>
          <w:rFonts w:eastAsia="Times New Roman"/>
          <w:i/>
          <w:iCs/>
          <w:sz w:val="20"/>
          <w:szCs w:val="20"/>
        </w:rPr>
        <w:t>Interest Recognition on Notes Receivable</w:t>
      </w:r>
    </w:p>
    <w:p w:rsidR="00DD679F" w:rsidRDefault="000E4A48">
      <w:pPr>
        <w:pStyle w:val="NormalWeb"/>
        <w:divId w:val="1203010667"/>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DD679F" w:rsidRDefault="000E4A48">
      <w:pPr>
        <w:pStyle w:val="NormalWeb"/>
        <w:divId w:val="1203010667"/>
      </w:pPr>
      <w:r>
        <w:rPr>
          <w:i/>
          <w:iCs/>
          <w:sz w:val="20"/>
          <w:szCs w:val="20"/>
        </w:rPr>
        <w:t>Foreign currency translation:</w:t>
      </w:r>
    </w:p>
    <w:p w:rsidR="00DD679F" w:rsidRDefault="000E4A48">
      <w:pPr>
        <w:pStyle w:val="NormalWeb"/>
        <w:divId w:val="1203010667"/>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DD679F" w:rsidRDefault="000E4A48">
      <w:pPr>
        <w:pStyle w:val="NormalWeb"/>
        <w:spacing w:after="240" w:afterAutospacing="0"/>
        <w:divId w:val="1203010667"/>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DD679F" w:rsidRDefault="000B193D">
      <w:pPr>
        <w:divId w:val="1203010667"/>
        <w:rPr>
          <w:rFonts w:eastAsia="Times New Roman"/>
          <w:sz w:val="20"/>
          <w:szCs w:val="20"/>
        </w:rPr>
      </w:pPr>
      <w:hyperlink w:anchor="toc" w:history="1">
        <w:r w:rsidR="000E4A48">
          <w:rPr>
            <w:rStyle w:val="Hyperlink"/>
            <w:rFonts w:eastAsia="Times New Roman"/>
            <w:b/>
            <w:bCs/>
            <w:sz w:val="20"/>
            <w:szCs w:val="20"/>
          </w:rPr>
          <w:t>Return to Table of Contents</w:t>
        </w:r>
      </w:hyperlink>
      <w:r w:rsidR="000E4A48">
        <w:rPr>
          <w:rFonts w:eastAsia="Times New Roman"/>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40" style="width:0;height:1.5pt" o:hralign="center" o:hrstd="t" o:hrnoshade="t" o:hr="t" fillcolor="black" stroked="f"/>
        </w:pict>
      </w:r>
    </w:p>
    <w:p w:rsidR="00A60E01" w:rsidRDefault="00A60E01">
      <w:pPr>
        <w:rPr>
          <w:i/>
          <w:iCs/>
          <w:sz w:val="20"/>
          <w:szCs w:val="20"/>
        </w:rPr>
      </w:pPr>
      <w:r>
        <w:rPr>
          <w:i/>
          <w:iCs/>
          <w:sz w:val="20"/>
          <w:szCs w:val="20"/>
        </w:rPr>
        <w:br w:type="page"/>
      </w:r>
    </w:p>
    <w:p w:rsidR="00DD679F" w:rsidRDefault="000E4A48">
      <w:pPr>
        <w:pStyle w:val="NormalWeb"/>
        <w:divId w:val="1203010667"/>
      </w:pPr>
      <w:r>
        <w:rPr>
          <w:i/>
          <w:iCs/>
          <w:sz w:val="20"/>
          <w:szCs w:val="20"/>
        </w:rPr>
        <w:lastRenderedPageBreak/>
        <w:t>Net Earnings per Share:</w:t>
      </w:r>
    </w:p>
    <w:p w:rsidR="00DD679F" w:rsidRDefault="000E4A48">
      <w:pPr>
        <w:pStyle w:val="NormalWeb"/>
        <w:divId w:val="1203010667"/>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p>
    <w:p w:rsidR="00DD679F" w:rsidRDefault="000E4A48">
      <w:pPr>
        <w:pStyle w:val="NormalWeb"/>
        <w:divId w:val="1203010667"/>
      </w:pPr>
      <w:r>
        <w:rPr>
          <w:sz w:val="20"/>
          <w:szCs w:val="20"/>
        </w:rPr>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accounts which, at December 31, 2015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DD679F" w:rsidRDefault="000E4A48">
      <w:pPr>
        <w:pStyle w:val="NormalWeb"/>
        <w:divId w:val="1203010667"/>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DD679F" w:rsidRDefault="000E4A48">
      <w:pPr>
        <w:pStyle w:val="NormalWeb"/>
        <w:divId w:val="1203010667"/>
      </w:pPr>
      <w:r>
        <w:rPr>
          <w:sz w:val="20"/>
          <w:szCs w:val="20"/>
        </w:rPr>
        <w:t>Financial instruments that potentially subject the Company to major credit risk consist principally of a single subsidiary of Anton Nielsen Vojens ApS and its customer concentration.</w:t>
      </w:r>
    </w:p>
    <w:p w:rsidR="00DD679F" w:rsidRDefault="000B193D">
      <w:pPr>
        <w:divId w:val="1203010667"/>
        <w:rPr>
          <w:rFonts w:eastAsia="Times New Roman"/>
          <w:sz w:val="20"/>
          <w:szCs w:val="20"/>
        </w:rPr>
      </w:pPr>
      <w:hyperlink w:anchor="toc" w:history="1">
        <w:r w:rsidR="000E4A48">
          <w:rPr>
            <w:rStyle w:val="Hyperlink"/>
            <w:rFonts w:eastAsia="Times New Roman"/>
            <w:b/>
            <w:bCs/>
            <w:sz w:val="20"/>
            <w:szCs w:val="20"/>
          </w:rPr>
          <w:t>Return to Table of Contents</w:t>
        </w:r>
      </w:hyperlink>
      <w:r w:rsidR="000E4A48">
        <w:rPr>
          <w:rFonts w:eastAsia="Times New Roman"/>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41" style="width:0;height:1.5pt" o:hralign="center" o:hrstd="t" o:hrnoshade="t" o:hr="t" fillcolor="black" stroked="f"/>
        </w:pict>
      </w:r>
    </w:p>
    <w:p w:rsidR="00A60E01" w:rsidRDefault="00A60E01">
      <w:pPr>
        <w:rPr>
          <w:i/>
          <w:iCs/>
          <w:sz w:val="20"/>
          <w:szCs w:val="20"/>
        </w:rPr>
      </w:pPr>
      <w:r>
        <w:rPr>
          <w:i/>
          <w:iCs/>
          <w:sz w:val="20"/>
          <w:szCs w:val="20"/>
        </w:rPr>
        <w:br w:type="page"/>
      </w:r>
    </w:p>
    <w:p w:rsidR="00DD679F" w:rsidRDefault="000E4A48">
      <w:pPr>
        <w:pStyle w:val="NormalWeb"/>
        <w:divId w:val="1203010667"/>
        <w:rPr>
          <w:sz w:val="20"/>
          <w:szCs w:val="20"/>
        </w:rPr>
      </w:pPr>
      <w:r>
        <w:rPr>
          <w:i/>
          <w:iCs/>
          <w:sz w:val="20"/>
          <w:szCs w:val="20"/>
        </w:rPr>
        <w:lastRenderedPageBreak/>
        <w:t>Recently Issued Accounting Standards:</w:t>
      </w:r>
    </w:p>
    <w:p w:rsidR="00DD679F" w:rsidRDefault="000E4A48">
      <w:pPr>
        <w:pStyle w:val="NormalWeb"/>
        <w:divId w:val="1203010667"/>
        <w:rPr>
          <w:sz w:val="20"/>
          <w:szCs w:val="20"/>
        </w:rPr>
      </w:pPr>
      <w:r>
        <w:rPr>
          <w:sz w:val="20"/>
          <w:szCs w:val="20"/>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DD679F" w:rsidRDefault="000E4A48">
      <w:pPr>
        <w:pStyle w:val="NormalWeb"/>
        <w:divId w:val="1203010667"/>
        <w:rPr>
          <w:sz w:val="20"/>
          <w:szCs w:val="20"/>
        </w:rPr>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DD679F" w:rsidRDefault="000E4A48">
      <w:pPr>
        <w:pStyle w:val="NormalWeb"/>
        <w:divId w:val="1203010667"/>
        <w:rPr>
          <w:sz w:val="20"/>
          <w:szCs w:val="20"/>
        </w:rPr>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DD679F" w:rsidRDefault="000E4A48">
      <w:pPr>
        <w:pStyle w:val="NormalWeb"/>
        <w:divId w:val="1203010667"/>
        <w:rPr>
          <w:sz w:val="20"/>
          <w:szCs w:val="20"/>
        </w:rPr>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DD679F" w:rsidRDefault="000B193D">
      <w:pPr>
        <w:pStyle w:val="NormalWeb"/>
        <w:divId w:val="1203010667"/>
        <w:rPr>
          <w:sz w:val="20"/>
          <w:szCs w:val="20"/>
        </w:rPr>
      </w:pPr>
      <w:hyperlink w:anchor="toc" w:history="1">
        <w:r w:rsidR="000E4A48">
          <w:rPr>
            <w:rStyle w:val="Hyperlink"/>
            <w:b/>
            <w:bCs/>
            <w:sz w:val="20"/>
            <w:szCs w:val="20"/>
          </w:rPr>
          <w:t>Return to Table of Contents</w:t>
        </w:r>
      </w:hyperlink>
    </w:p>
    <w:p w:rsidR="00DD679F" w:rsidRDefault="000B193D">
      <w:pPr>
        <w:divId w:val="1203010667"/>
        <w:rPr>
          <w:rFonts w:eastAsia="Times New Roman"/>
          <w:sz w:val="20"/>
          <w:szCs w:val="20"/>
        </w:rPr>
      </w:pPr>
      <w:r>
        <w:rPr>
          <w:rFonts w:eastAsia="Times New Roman"/>
          <w:sz w:val="20"/>
          <w:szCs w:val="20"/>
        </w:rPr>
        <w:pict>
          <v:rect id="_x0000_i1042" style="width:0;height:1.5pt" o:hralign="center" o:hrstd="t" o:hrnoshade="t" o:hr="t" fillcolor="black" stroked="f"/>
        </w:pict>
      </w:r>
    </w:p>
    <w:p w:rsidR="00DD679F" w:rsidRDefault="000E4A48">
      <w:pPr>
        <w:pStyle w:val="NormalWeb"/>
        <w:divId w:val="1203010667"/>
        <w:rPr>
          <w:sz w:val="20"/>
          <w:szCs w:val="20"/>
        </w:rPr>
      </w:pPr>
      <w:r>
        <w:rPr>
          <w:sz w:val="20"/>
          <w:szCs w:val="20"/>
        </w:rPr>
        <w:t> </w:t>
      </w:r>
    </w:p>
    <w:p w:rsidR="00A60E01" w:rsidRDefault="00A60E01">
      <w:pPr>
        <w:rPr>
          <w:sz w:val="20"/>
          <w:szCs w:val="20"/>
        </w:rPr>
      </w:pPr>
      <w:r>
        <w:rPr>
          <w:sz w:val="20"/>
          <w:szCs w:val="20"/>
        </w:rPr>
        <w:br w:type="page"/>
      </w:r>
    </w:p>
    <w:p w:rsidR="00DD679F" w:rsidRDefault="000E4A48">
      <w:pPr>
        <w:pStyle w:val="NormalWeb"/>
        <w:divId w:val="1203010667"/>
        <w:rPr>
          <w:sz w:val="20"/>
          <w:szCs w:val="20"/>
        </w:rPr>
      </w:pPr>
      <w:r>
        <w:rPr>
          <w:sz w:val="20"/>
          <w:szCs w:val="20"/>
        </w:rPr>
        <w:lastRenderedPageBreak/>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DD679F" w:rsidRDefault="000E4A48">
      <w:pPr>
        <w:pStyle w:val="NormalWeb"/>
        <w:divId w:val="1203010667"/>
        <w:rPr>
          <w:sz w:val="20"/>
          <w:szCs w:val="20"/>
        </w:rPr>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DD679F" w:rsidRDefault="000E4A48">
      <w:pPr>
        <w:pStyle w:val="NormalWeb"/>
        <w:divId w:val="1203010667"/>
        <w:rPr>
          <w:sz w:val="20"/>
          <w:szCs w:val="20"/>
        </w:rPr>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DD679F" w:rsidRDefault="000E4A48">
      <w:pPr>
        <w:pStyle w:val="NormalWeb"/>
        <w:divId w:val="1203010667"/>
        <w:rPr>
          <w:sz w:val="20"/>
          <w:szCs w:val="20"/>
        </w:rPr>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DD679F" w:rsidRDefault="000E4A48">
      <w:pPr>
        <w:pStyle w:val="NormalWeb"/>
        <w:divId w:val="1203010667"/>
        <w:rPr>
          <w:sz w:val="20"/>
          <w:szCs w:val="20"/>
        </w:rPr>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DD679F" w:rsidRDefault="000E4A48">
      <w:pPr>
        <w:pStyle w:val="NormalWeb"/>
        <w:divId w:val="1203010667"/>
        <w:rPr>
          <w:sz w:val="20"/>
          <w:szCs w:val="20"/>
        </w:rPr>
      </w:pPr>
      <w:r>
        <w:rPr>
          <w:sz w:val="20"/>
          <w:szCs w:val="20"/>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w:t>
      </w:r>
      <w:proofErr w:type="spellStart"/>
      <w:r>
        <w:rPr>
          <w:sz w:val="20"/>
          <w:szCs w:val="20"/>
        </w:rPr>
        <w:t>nonauthoritative</w:t>
      </w:r>
      <w:proofErr w:type="spellEnd"/>
      <w:r>
        <w:rPr>
          <w:sz w:val="20"/>
          <w:szCs w:val="20"/>
        </w:rPr>
        <w:t>. The Codification is effective for interim and annual periods ending after September 15, 2009. The Codification is effective for the Company in the interim period ending September 30, 2014 and it does not expect the adoption to have a material impact on its consolidated financial position, results of operations or cash flows.</w:t>
      </w:r>
    </w:p>
    <w:p w:rsidR="00DD679F" w:rsidRDefault="000E4A48">
      <w:pPr>
        <w:pStyle w:val="NormalWeb"/>
        <w:divId w:val="1203010667"/>
        <w:rPr>
          <w:sz w:val="20"/>
          <w:szCs w:val="20"/>
        </w:rPr>
      </w:pPr>
      <w:r>
        <w:rPr>
          <w:sz w:val="20"/>
          <w:szCs w:val="20"/>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DD679F" w:rsidRDefault="000E4A48">
      <w:pPr>
        <w:pStyle w:val="NormalWeb"/>
        <w:spacing w:before="0" w:beforeAutospacing="0" w:after="0" w:afterAutospacing="0"/>
        <w:jc w:val="both"/>
        <w:divId w:val="1203010667"/>
        <w:rPr>
          <w:sz w:val="20"/>
          <w:szCs w:val="20"/>
        </w:rPr>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DD679F" w:rsidRDefault="000E4A48">
      <w:pPr>
        <w:pStyle w:val="NormalWeb"/>
        <w:spacing w:before="0" w:beforeAutospacing="0" w:after="0" w:afterAutospacing="0"/>
        <w:jc w:val="both"/>
        <w:divId w:val="1203010667"/>
        <w:rPr>
          <w:sz w:val="20"/>
          <w:szCs w:val="20"/>
        </w:rPr>
      </w:pPr>
      <w:r>
        <w:rPr>
          <w:sz w:val="20"/>
          <w:szCs w:val="20"/>
        </w:rPr>
        <w:t> </w:t>
      </w:r>
    </w:p>
    <w:p w:rsidR="00DD679F" w:rsidRDefault="000B193D">
      <w:pPr>
        <w:divId w:val="1203010667"/>
        <w:rPr>
          <w:rFonts w:eastAsia="Times New Roman"/>
          <w:sz w:val="20"/>
          <w:szCs w:val="20"/>
        </w:rPr>
      </w:pPr>
      <w:hyperlink w:anchor="toc" w:history="1">
        <w:r w:rsidR="000E4A48">
          <w:rPr>
            <w:rStyle w:val="Hyperlink"/>
            <w:rFonts w:eastAsia="Times New Roman"/>
            <w:b/>
            <w:bCs/>
            <w:sz w:val="20"/>
            <w:szCs w:val="20"/>
          </w:rPr>
          <w:t>Return to Table of Contents</w:t>
        </w:r>
      </w:hyperlink>
      <w:r w:rsidR="000E4A48">
        <w:rPr>
          <w:rFonts w:eastAsia="Times New Roman"/>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43" style="width:0;height:1.5pt" o:hralign="center" o:hrstd="t" o:hrnoshade="t" o:hr="t" fillcolor="black" stroked="f"/>
        </w:pict>
      </w:r>
    </w:p>
    <w:p w:rsidR="00A60E01" w:rsidRDefault="00A60E01">
      <w:pPr>
        <w:rPr>
          <w:sz w:val="20"/>
          <w:szCs w:val="20"/>
        </w:rPr>
      </w:pPr>
      <w:r>
        <w:rPr>
          <w:sz w:val="20"/>
          <w:szCs w:val="20"/>
        </w:rPr>
        <w:br w:type="page"/>
      </w:r>
    </w:p>
    <w:p w:rsidR="00DD679F" w:rsidRDefault="000E4A48">
      <w:pPr>
        <w:pStyle w:val="NormalWeb"/>
        <w:divId w:val="1203010667"/>
        <w:rPr>
          <w:sz w:val="20"/>
          <w:szCs w:val="20"/>
        </w:rPr>
      </w:pPr>
      <w:r>
        <w:rPr>
          <w:sz w:val="20"/>
          <w:szCs w:val="20"/>
        </w:rPr>
        <w:lastRenderedPageBreak/>
        <w:t>Other recent accounting pronouncements issued by the FASB did not or are not believed by management to have a material impact on the Company's present or future financial statements.</w:t>
      </w:r>
    </w:p>
    <w:p w:rsidR="00DD679F" w:rsidRDefault="000E4A48">
      <w:pPr>
        <w:pStyle w:val="NormalWeb"/>
        <w:divId w:val="1203010667"/>
      </w:pPr>
      <w:r>
        <w:rPr>
          <w:b/>
          <w:bCs/>
          <w:sz w:val="20"/>
          <w:szCs w:val="20"/>
        </w:rPr>
        <w:t>NOTE 3 - MAJOR CUSTOMER:</w:t>
      </w:r>
    </w:p>
    <w:p w:rsidR="00DD679F" w:rsidRDefault="000E4A48">
      <w:pPr>
        <w:pStyle w:val="NormalWeb"/>
        <w:divId w:val="1203010667"/>
      </w:pPr>
      <w:r>
        <w:rPr>
          <w:sz w:val="20"/>
          <w:szCs w:val="20"/>
        </w:rPr>
        <w:t xml:space="preserve">The Company's subsidiary, Anton Nielsen Vojens, ApS has sales to two major customers who were non related parts. For the period ending December 31, 2015, June 30, 2015, and June 30, 2014 the major customer concentrations were as follows: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470"/>
        <w:gridCol w:w="1470"/>
        <w:gridCol w:w="1470"/>
      </w:tblGrid>
      <w:tr w:rsidR="00DD679F">
        <w:trPr>
          <w:divId w:val="1203010667"/>
          <w:tblCellSpacing w:w="0" w:type="dxa"/>
        </w:trPr>
        <w:tc>
          <w:tcPr>
            <w:tcW w:w="2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center"/>
              <w:rPr>
                <w:rFonts w:eastAsia="Times New Roman"/>
              </w:rPr>
            </w:pPr>
            <w:r>
              <w:rPr>
                <w:rFonts w:eastAsia="Times New Roman"/>
                <w:b/>
                <w:bCs/>
                <w:sz w:val="20"/>
                <w:szCs w:val="20"/>
              </w:rPr>
              <w:t xml:space="preserve">Percent of Sales </w:t>
            </w:r>
            <w:r>
              <w:rPr>
                <w:rFonts w:eastAsia="Times New Roman"/>
                <w:b/>
                <w:bCs/>
                <w:sz w:val="20"/>
                <w:szCs w:val="20"/>
              </w:rPr>
              <w:br/>
              <w:t>for the Period ending</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center"/>
              <w:rPr>
                <w:rFonts w:eastAsia="Times New Roman"/>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center"/>
              <w:rPr>
                <w:rFonts w:eastAsia="Times New Roman"/>
              </w:rPr>
            </w:pPr>
            <w:r>
              <w:rPr>
                <w:rFonts w:eastAsia="Times New Roman"/>
                <w:b/>
                <w:bCs/>
                <w:sz w:val="20"/>
                <w:szCs w:val="20"/>
              </w:rPr>
              <w:t>December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center"/>
              <w:rPr>
                <w:rFonts w:eastAsia="Times New Roman"/>
              </w:rPr>
            </w:pPr>
            <w:r>
              <w:rPr>
                <w:rFonts w:eastAsia="Times New Roman"/>
                <w:b/>
                <w:bCs/>
                <w:sz w:val="20"/>
                <w:szCs w:val="20"/>
              </w:rPr>
              <w:t>June 30,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center"/>
              <w:rPr>
                <w:rFonts w:eastAsia="Times New Roman"/>
              </w:rPr>
            </w:pPr>
            <w:r>
              <w:rPr>
                <w:rFonts w:eastAsia="Times New Roman"/>
                <w:b/>
                <w:bCs/>
                <w:sz w:val="20"/>
                <w:szCs w:val="20"/>
              </w:rPr>
              <w:t>Customer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u w:val="single"/>
              </w:rPr>
              <w:t>2015</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u w:val="single"/>
              </w:rPr>
              <w:t>2015</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u w:val="single"/>
              </w:rPr>
              <w:t>2014</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center"/>
              <w:rPr>
                <w:rFonts w:eastAsia="Times New Roman"/>
              </w:rPr>
            </w:pPr>
            <w:r>
              <w:rPr>
                <w:rFonts w:eastAsia="Times New Roman"/>
                <w:sz w:val="20"/>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100%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center"/>
              <w:rPr>
                <w:rFonts w:eastAsia="Times New Roman"/>
              </w:rPr>
            </w:pPr>
            <w:r>
              <w:rPr>
                <w:rFonts w:eastAsia="Times New Roman"/>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B193D">
            <w:pPr>
              <w:jc w:val="right"/>
              <w:rPr>
                <w:rFonts w:eastAsia="Times New Roman"/>
                <w:sz w:val="20"/>
                <w:szCs w:val="20"/>
              </w:rPr>
            </w:pPr>
            <w:r>
              <w:rPr>
                <w:rFonts w:eastAsia="Times New Roman"/>
                <w:sz w:val="20"/>
                <w:szCs w:val="20"/>
              </w:rPr>
              <w:pict>
                <v:rect id="_x0000_i1044"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B193D">
            <w:pPr>
              <w:rPr>
                <w:rFonts w:eastAsia="Times New Roman"/>
              </w:rPr>
            </w:pPr>
            <w:r>
              <w:rPr>
                <w:rFonts w:eastAsia="Times New Roman"/>
              </w:rPr>
              <w:pict>
                <v:rect id="_x0000_i1045"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B193D">
            <w:pPr>
              <w:jc w:val="right"/>
              <w:rPr>
                <w:rFonts w:eastAsia="Times New Roman"/>
                <w:sz w:val="20"/>
                <w:szCs w:val="20"/>
              </w:rPr>
            </w:pPr>
            <w:r>
              <w:rPr>
                <w:rFonts w:eastAsia="Times New Roman"/>
                <w:sz w:val="20"/>
                <w:szCs w:val="20"/>
              </w:rPr>
              <w:pict>
                <v:rect id="_x0000_i1046"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B193D">
            <w:pPr>
              <w:jc w:val="right"/>
              <w:rPr>
                <w:rFonts w:eastAsia="Times New Roman"/>
                <w:sz w:val="20"/>
                <w:szCs w:val="20"/>
              </w:rPr>
            </w:pPr>
            <w:r>
              <w:rPr>
                <w:rFonts w:eastAsia="Times New Roman"/>
                <w:sz w:val="20"/>
                <w:szCs w:val="20"/>
              </w:rPr>
              <w:pict>
                <v:rect id="_x0000_i1047" style="width:0;height:1.5pt" o:hralign="center" o:hrstd="t" o:hr="t" fillcolor="#a0a0a0" stroked="f"/>
              </w:pic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rPr>
              <w:t>Total Sales from Major Customers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rPr>
              <w:t>100%</w:t>
            </w:r>
          </w:p>
        </w:tc>
      </w:tr>
    </w:tbl>
    <w:p w:rsidR="00DD679F" w:rsidRDefault="000E4A48">
      <w:pPr>
        <w:spacing w:before="100" w:beforeAutospacing="1" w:after="100" w:afterAutospacing="1"/>
        <w:divId w:val="1203010667"/>
      </w:pPr>
      <w:r>
        <w:rPr>
          <w:b/>
          <w:bCs/>
          <w:sz w:val="20"/>
          <w:szCs w:val="20"/>
        </w:rPr>
        <w:t xml:space="preserve">NOTE 4 - LAND AND </w:t>
      </w:r>
      <w:proofErr w:type="gramStart"/>
      <w:r>
        <w:rPr>
          <w:b/>
          <w:bCs/>
          <w:sz w:val="20"/>
          <w:szCs w:val="20"/>
        </w:rPr>
        <w:t>BUILDINGS :</w:t>
      </w:r>
      <w:proofErr w:type="gramEnd"/>
    </w:p>
    <w:p w:rsidR="00DD679F" w:rsidRDefault="000E4A48">
      <w:pPr>
        <w:spacing w:after="240"/>
        <w:divId w:val="1203010667"/>
        <w:rPr>
          <w:rFonts w:eastAsia="Times New Roman"/>
          <w:sz w:val="15"/>
          <w:szCs w:val="15"/>
        </w:rPr>
      </w:pPr>
      <w:r>
        <w:rPr>
          <w:rFonts w:eastAsia="Times New Roman"/>
          <w:sz w:val="20"/>
          <w:szCs w:val="20"/>
        </w:rPr>
        <w:t>The Land owned by the Company's wholly owned subsidiary constitutes the largest asset of the Company. During the period ending December 31, 2015 the Company recorded no change in the value of the Land. The value of the Land of the Company was as follows:</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470"/>
        <w:gridCol w:w="1470"/>
        <w:gridCol w:w="1470"/>
      </w:tblGrid>
      <w:tr w:rsidR="00DD679F">
        <w:trPr>
          <w:divId w:val="1203010667"/>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spacing w:after="240"/>
              <w:rPr>
                <w:rFonts w:eastAsia="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center"/>
              <w:rPr>
                <w:rFonts w:eastAsia="Times New Roman"/>
              </w:rPr>
            </w:pPr>
            <w:r>
              <w:rPr>
                <w:rFonts w:eastAsia="Times New Roman"/>
                <w:b/>
                <w:bCs/>
                <w:sz w:val="20"/>
                <w:szCs w:val="20"/>
              </w:rPr>
              <w:t>Value of Land,</w:t>
            </w:r>
          </w:p>
        </w:tc>
      </w:tr>
      <w:tr w:rsidR="00DD679F">
        <w:trPr>
          <w:divId w:val="1203010667"/>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DD679F">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center"/>
              <w:rPr>
                <w:rFonts w:eastAsia="Times New Roman"/>
              </w:rPr>
            </w:pPr>
            <w:r>
              <w:rPr>
                <w:rFonts w:eastAsia="Times New Roman"/>
                <w:b/>
                <w:bCs/>
                <w:sz w:val="20"/>
                <w:szCs w:val="20"/>
              </w:rPr>
              <w:t>June 30,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DD679F">
            <w:pPr>
              <w:jc w:val="center"/>
              <w:rPr>
                <w:rFonts w:eastAsia="Times New Roman"/>
              </w:rPr>
            </w:pP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center"/>
              <w:rPr>
                <w:rFonts w:eastAsia="Times New Roman"/>
              </w:rPr>
            </w:pPr>
            <w:r>
              <w:rPr>
                <w:rFonts w:eastAsia="Times New Roman"/>
                <w:b/>
                <w:bCs/>
                <w:sz w:val="20"/>
                <w:szCs w:val="20"/>
              </w:rPr>
              <w:t>December 31, 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center"/>
              <w:rPr>
                <w:rFonts w:eastAsia="Times New Roman"/>
              </w:rPr>
            </w:pPr>
            <w:r>
              <w:rPr>
                <w:rFonts w:eastAsia="Times New Roman"/>
                <w:b/>
                <w:bCs/>
                <w:sz w:val="20"/>
                <w:szCs w:val="20"/>
                <w:u w:val="single"/>
              </w:rPr>
              <w:t>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center"/>
              <w:rPr>
                <w:rFonts w:eastAsia="Times New Roman"/>
              </w:rPr>
            </w:pPr>
            <w:r>
              <w:rPr>
                <w:rFonts w:eastAsia="Times New Roman"/>
                <w:b/>
                <w:bCs/>
                <w:sz w:val="20"/>
                <w:szCs w:val="20"/>
                <w:u w:val="single"/>
              </w:rPr>
              <w:t>2014</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center"/>
              <w:rPr>
                <w:rFonts w:eastAsia="Times New Roman"/>
              </w:rPr>
            </w:pPr>
            <w:r>
              <w:rPr>
                <w:rFonts w:eastAsia="Times New Roman"/>
                <w:sz w:val="20"/>
                <w:szCs w:val="20"/>
              </w:rPr>
              <w:t>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$605,960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B193D">
            <w:pPr>
              <w:jc w:val="right"/>
              <w:rPr>
                <w:rFonts w:eastAsia="Times New Roman"/>
                <w:sz w:val="20"/>
                <w:szCs w:val="20"/>
              </w:rPr>
            </w:pPr>
            <w:r>
              <w:rPr>
                <w:rFonts w:eastAsia="Times New Roman"/>
                <w:sz w:val="20"/>
                <w:szCs w:val="20"/>
              </w:rPr>
              <w:pict>
                <v:rect id="_x0000_i1048"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B193D">
            <w:pPr>
              <w:rPr>
                <w:rFonts w:eastAsia="Times New Roman"/>
              </w:rPr>
            </w:pPr>
            <w:r>
              <w:rPr>
                <w:rFonts w:eastAsia="Times New Roman"/>
              </w:rPr>
              <w:pict>
                <v:rect id="_x0000_i1049"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B193D">
            <w:pPr>
              <w:jc w:val="right"/>
              <w:rPr>
                <w:rFonts w:eastAsia="Times New Roman"/>
                <w:sz w:val="20"/>
                <w:szCs w:val="20"/>
              </w:rPr>
            </w:pPr>
            <w:r>
              <w:rPr>
                <w:rFonts w:eastAsia="Times New Roman"/>
                <w:sz w:val="20"/>
                <w:szCs w:val="20"/>
              </w:rPr>
              <w:pict>
                <v:rect id="_x0000_i1050"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B193D">
            <w:pPr>
              <w:jc w:val="right"/>
              <w:rPr>
                <w:rFonts w:eastAsia="Times New Roman"/>
                <w:sz w:val="20"/>
                <w:szCs w:val="20"/>
              </w:rPr>
            </w:pPr>
            <w:r>
              <w:rPr>
                <w:rFonts w:eastAsia="Times New Roman"/>
                <w:sz w:val="20"/>
                <w:szCs w:val="20"/>
              </w:rPr>
              <w:pict>
                <v:rect id="_x0000_i1051" style="width:0;height:1.5pt" o:hralign="center" o:hrstd="t" o:hr="t" fillcolor="#a0a0a0" stroked="f"/>
              </w:pict>
            </w:r>
          </w:p>
        </w:tc>
      </w:tr>
    </w:tbl>
    <w:p w:rsidR="00DD679F" w:rsidRDefault="000E4A48">
      <w:pPr>
        <w:divId w:val="1203010667"/>
        <w:rPr>
          <w:rFonts w:eastAsia="Times New Roman"/>
          <w:sz w:val="20"/>
          <w:szCs w:val="20"/>
        </w:rPr>
      </w:pPr>
      <w:r>
        <w:rPr>
          <w:rFonts w:eastAsia="Times New Roman"/>
        </w:rPr>
        <w:t> </w:t>
      </w: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52" style="width:0;height:1.5pt" o:hralign="center" o:hrstd="t" o:hrnoshade="t" o:hr="t" fillcolor="black" stroked="f"/>
        </w:pict>
      </w:r>
    </w:p>
    <w:p w:rsidR="00A60E01" w:rsidRDefault="00A60E01">
      <w:pPr>
        <w:rPr>
          <w:b/>
          <w:bCs/>
          <w:sz w:val="20"/>
          <w:szCs w:val="20"/>
        </w:rPr>
      </w:pPr>
      <w:r>
        <w:rPr>
          <w:b/>
          <w:bCs/>
          <w:sz w:val="20"/>
          <w:szCs w:val="20"/>
        </w:rPr>
        <w:br w:type="page"/>
      </w:r>
    </w:p>
    <w:p w:rsidR="00DD679F" w:rsidRDefault="000E4A48">
      <w:pPr>
        <w:pStyle w:val="NormalWeb"/>
        <w:divId w:val="1203010667"/>
      </w:pPr>
      <w:r>
        <w:rPr>
          <w:b/>
          <w:bCs/>
          <w:sz w:val="20"/>
          <w:szCs w:val="20"/>
        </w:rPr>
        <w:lastRenderedPageBreak/>
        <w:t>NOTE 5 - RELATED PARTY TRANSACTIONS ANTON NIELSEN VOJENS, ApS</w:t>
      </w:r>
      <w:r>
        <w:rPr>
          <w:b/>
          <w:bCs/>
          <w:sz w:val="20"/>
          <w:szCs w:val="20"/>
        </w:rPr>
        <w:br/>
      </w:r>
      <w:r>
        <w:rPr>
          <w:sz w:val="20"/>
          <w:szCs w:val="20"/>
        </w:rPr>
        <w:br/>
        <w:t xml:space="preserve">The Company purchased Anton Nielsen Vojens ApS from a previous shareholder of the Company, </w:t>
      </w:r>
      <w:proofErr w:type="spellStart"/>
      <w:r>
        <w:rPr>
          <w:sz w:val="20"/>
          <w:szCs w:val="20"/>
        </w:rPr>
        <w:t>Borkwood</w:t>
      </w:r>
      <w:proofErr w:type="spellEnd"/>
      <w:r>
        <w:rPr>
          <w:sz w:val="20"/>
          <w:szCs w:val="20"/>
        </w:rPr>
        <w:t xml:space="preserve"> Development LTD ("</w:t>
      </w:r>
      <w:proofErr w:type="spellStart"/>
      <w:r>
        <w:rPr>
          <w:sz w:val="20"/>
          <w:szCs w:val="20"/>
        </w:rPr>
        <w:t>Borkwood</w:t>
      </w:r>
      <w:proofErr w:type="spellEnd"/>
      <w:r>
        <w:rPr>
          <w:sz w:val="20"/>
          <w:szCs w:val="20"/>
        </w:rPr>
        <w:t xml:space="preserve">"). At the time of the acquisition, even though </w:t>
      </w:r>
      <w:proofErr w:type="spellStart"/>
      <w:r>
        <w:rPr>
          <w:sz w:val="20"/>
          <w:szCs w:val="20"/>
        </w:rPr>
        <w:t>Borkwood</w:t>
      </w:r>
      <w:proofErr w:type="spellEnd"/>
      <w:r>
        <w:rPr>
          <w:sz w:val="20"/>
          <w:szCs w:val="20"/>
        </w:rPr>
        <w:t xml:space="preserve"> was not a shareholder, AOXY, a director of </w:t>
      </w:r>
      <w:proofErr w:type="spellStart"/>
      <w:r>
        <w:rPr>
          <w:sz w:val="20"/>
          <w:szCs w:val="20"/>
        </w:rPr>
        <w:t>Borkwood</w:t>
      </w:r>
      <w:proofErr w:type="spellEnd"/>
      <w:r>
        <w:rPr>
          <w:sz w:val="20"/>
          <w:szCs w:val="20"/>
        </w:rPr>
        <w:t xml:space="preserve"> </w:t>
      </w:r>
      <w:proofErr w:type="spellStart"/>
      <w:r>
        <w:rPr>
          <w:sz w:val="20"/>
          <w:szCs w:val="20"/>
        </w:rPr>
        <w:t>Aage</w:t>
      </w:r>
      <w:proofErr w:type="spellEnd"/>
      <w:r>
        <w:rPr>
          <w:sz w:val="20"/>
          <w:szCs w:val="20"/>
        </w:rPr>
        <w:t xml:space="preserve"> Madsen was an officer of Anton Nielsen Vojens ApS. </w:t>
      </w:r>
      <w:proofErr w:type="spellStart"/>
      <w:r>
        <w:rPr>
          <w:sz w:val="20"/>
          <w:szCs w:val="20"/>
        </w:rPr>
        <w:t>Aage</w:t>
      </w:r>
      <w:proofErr w:type="spellEnd"/>
      <w:r>
        <w:rPr>
          <w:sz w:val="20"/>
          <w:szCs w:val="20"/>
        </w:rPr>
        <w:t xml:space="preserve"> Madsen was a director of Anton Nielsen Vojens until May 25, 2007 and from there forward, there were no related parties between AOXY and </w:t>
      </w:r>
      <w:proofErr w:type="spellStart"/>
      <w:r>
        <w:rPr>
          <w:sz w:val="20"/>
          <w:szCs w:val="20"/>
        </w:rPr>
        <w:t>Borkwood</w:t>
      </w:r>
      <w:proofErr w:type="spellEnd"/>
      <w:r>
        <w:rPr>
          <w:sz w:val="20"/>
          <w:szCs w:val="20"/>
        </w:rPr>
        <w:t xml:space="preserve"> Development LTD. The Company had an outstanding balance of long term debt to </w:t>
      </w:r>
      <w:proofErr w:type="spellStart"/>
      <w:r>
        <w:rPr>
          <w:sz w:val="20"/>
          <w:szCs w:val="20"/>
        </w:rPr>
        <w:t>Borkwood</w:t>
      </w:r>
      <w:proofErr w:type="spellEnd"/>
      <w:r>
        <w:rPr>
          <w:sz w:val="20"/>
          <w:szCs w:val="20"/>
        </w:rPr>
        <w:t xml:space="preserve"> Development LTD at December 31, 2015 was $</w:t>
      </w:r>
      <w:proofErr w:type="gramStart"/>
      <w:r>
        <w:rPr>
          <w:sz w:val="20"/>
          <w:szCs w:val="20"/>
        </w:rPr>
        <w:t>127,029 .</w:t>
      </w:r>
      <w:proofErr w:type="gramEnd"/>
    </w:p>
    <w:p w:rsidR="00DD679F" w:rsidRDefault="000E4A48">
      <w:pPr>
        <w:pStyle w:val="NormalWeb"/>
        <w:divId w:val="1203010667"/>
      </w:pPr>
      <w:r>
        <w:rPr>
          <w:b/>
          <w:bCs/>
          <w:sz w:val="20"/>
          <w:szCs w:val="20"/>
        </w:rPr>
        <w:t>NOTE 6 - COMMITMENTS AND CONTINGENCIES:</w:t>
      </w:r>
    </w:p>
    <w:p w:rsidR="00DD679F" w:rsidRDefault="000E4A48">
      <w:pPr>
        <w:pStyle w:val="NormalWeb"/>
        <w:divId w:val="1203010667"/>
      </w:pPr>
      <w:r>
        <w:rPr>
          <w:i/>
          <w:iCs/>
          <w:sz w:val="20"/>
          <w:szCs w:val="20"/>
        </w:rPr>
        <w:t>Commitments</w:t>
      </w:r>
      <w:r>
        <w:rPr>
          <w:sz w:val="20"/>
          <w:szCs w:val="20"/>
        </w:rPr>
        <w:t>:</w:t>
      </w:r>
    </w:p>
    <w:p w:rsidR="00DD679F" w:rsidRDefault="000E4A48">
      <w:pPr>
        <w:pStyle w:val="NormalWeb"/>
        <w:divId w:val="1203010667"/>
      </w:pPr>
      <w:r>
        <w:rPr>
          <w:sz w:val="20"/>
          <w:szCs w:val="20"/>
        </w:rPr>
        <w:t xml:space="preserve">The Company has issued a promissory note ("Note") for $650,000, payable to the </w:t>
      </w:r>
      <w:proofErr w:type="spellStart"/>
      <w:r>
        <w:rPr>
          <w:sz w:val="20"/>
          <w:szCs w:val="20"/>
        </w:rPr>
        <w:t>Borkwood</w:t>
      </w:r>
      <w:proofErr w:type="spellEnd"/>
      <w:r>
        <w:rPr>
          <w:sz w:val="20"/>
          <w:szCs w:val="20"/>
        </w:rPr>
        <w:t xml:space="preserve"> Development Ltd, a previous shareholder of the Company ("Seller"), payable and amortized monthly and carrying </w:t>
      </w:r>
      <w:proofErr w:type="spellStart"/>
      <w:proofErr w:type="gramStart"/>
      <w:r>
        <w:rPr>
          <w:sz w:val="20"/>
          <w:szCs w:val="20"/>
        </w:rPr>
        <w:t>a</w:t>
      </w:r>
      <w:proofErr w:type="spellEnd"/>
      <w:proofErr w:type="gramEnd"/>
      <w:r>
        <w:rPr>
          <w:sz w:val="20"/>
          <w:szCs w:val="20"/>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w:t>
      </w:r>
      <w:proofErr w:type="spellStart"/>
      <w:r>
        <w:rPr>
          <w:sz w:val="20"/>
          <w:szCs w:val="20"/>
        </w:rPr>
        <w:t>non diluted</w:t>
      </w:r>
      <w:proofErr w:type="spellEnd"/>
      <w:r>
        <w:rPr>
          <w:sz w:val="20"/>
          <w:szCs w:val="20"/>
        </w:rPr>
        <w:t xml:space="preserve"> shares calculated on the conversion Date, equal to the lesser of : a) Six hundred and 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 The Note has been extended until July 1, 2016 and interest waived through the period ending June 30, 2015. The balance on the note as of December 31, 2015 and June 30, 2015 was $127,029.</w:t>
      </w:r>
    </w:p>
    <w:p w:rsidR="00DD679F" w:rsidRDefault="000E4A48">
      <w:pPr>
        <w:pStyle w:val="NormalWeb"/>
        <w:divId w:val="273833529"/>
      </w:pPr>
      <w:r>
        <w:rPr>
          <w:sz w:val="20"/>
          <w:szCs w:val="20"/>
        </w:rPr>
        <w:t xml:space="preserve">The Company's wholly owned subsidiary Anton Nielsen Vojens, ApS has a note payable with a bank. The original amount of the note was </w:t>
      </w:r>
      <w:proofErr w:type="spellStart"/>
      <w:r>
        <w:rPr>
          <w:sz w:val="20"/>
          <w:szCs w:val="20"/>
        </w:rPr>
        <w:t>kr</w:t>
      </w:r>
      <w:proofErr w:type="spellEnd"/>
      <w:r>
        <w:rPr>
          <w:sz w:val="20"/>
          <w:szCs w:val="20"/>
        </w:rPr>
        <w:t xml:space="preserve"> 750,000 Danish Krone (</w:t>
      </w:r>
      <w:proofErr w:type="spellStart"/>
      <w:r>
        <w:rPr>
          <w:sz w:val="20"/>
          <w:szCs w:val="20"/>
        </w:rPr>
        <w:t>kr</w:t>
      </w:r>
      <w:proofErr w:type="spellEnd"/>
      <w:r>
        <w:rPr>
          <w:sz w:val="20"/>
          <w:szCs w:val="20"/>
        </w:rPr>
        <w:t xml:space="preserve">) ("Note A"). The note is secured by the revenues of the lease with Statoil, with a 7.00% interest rate and 5 years left on the term. The balance on the note as of December 31, 2015 and June 30, 2015 was $25,210 and $29,836 respectively and the yearly payments are fixed at </w:t>
      </w:r>
      <w:proofErr w:type="spellStart"/>
      <w:r>
        <w:rPr>
          <w:sz w:val="20"/>
          <w:szCs w:val="20"/>
        </w:rPr>
        <w:t>kr</w:t>
      </w:r>
      <w:proofErr w:type="spellEnd"/>
      <w:r>
        <w:rPr>
          <w:sz w:val="20"/>
          <w:szCs w:val="20"/>
        </w:rPr>
        <w:t xml:space="preserve"> 75,000. The value of the note reflect the currency adjustments. The table below summarizes the </w:t>
      </w:r>
      <w:proofErr w:type="gramStart"/>
      <w:r>
        <w:rPr>
          <w:sz w:val="20"/>
          <w:szCs w:val="20"/>
        </w:rPr>
        <w:t>companies</w:t>
      </w:r>
      <w:proofErr w:type="gramEnd"/>
      <w:r>
        <w:rPr>
          <w:sz w:val="20"/>
          <w:szCs w:val="20"/>
        </w:rPr>
        <w:t xml:space="preserve"> commitments going forward.</w:t>
      </w:r>
    </w:p>
    <w:p w:rsidR="00DD679F" w:rsidRDefault="000E4A48">
      <w:pPr>
        <w:pStyle w:val="NormalWeb"/>
        <w:divId w:val="273833529"/>
      </w:pPr>
      <w:r>
        <w:rPr>
          <w:sz w:val="20"/>
          <w:szCs w:val="20"/>
        </w:rPr>
        <w:t xml:space="preserve">The Company's wholly owned subsidiary Anton Nielsen Vojens, ApS has a note payable with a bank ("Note B"). The original amount of Note B was </w:t>
      </w:r>
      <w:proofErr w:type="spellStart"/>
      <w:r>
        <w:rPr>
          <w:sz w:val="20"/>
          <w:szCs w:val="20"/>
        </w:rPr>
        <w:t>kr</w:t>
      </w:r>
      <w:proofErr w:type="spellEnd"/>
      <w:r>
        <w:rPr>
          <w:sz w:val="20"/>
          <w:szCs w:val="20"/>
        </w:rPr>
        <w:t xml:space="preserve"> 1,132,000 Danish Krone (</w:t>
      </w:r>
      <w:proofErr w:type="spellStart"/>
      <w:r>
        <w:rPr>
          <w:sz w:val="20"/>
          <w:szCs w:val="20"/>
        </w:rPr>
        <w:t>kr</w:t>
      </w:r>
      <w:proofErr w:type="spellEnd"/>
      <w:r>
        <w:rPr>
          <w:sz w:val="20"/>
          <w:szCs w:val="20"/>
        </w:rPr>
        <w:t>). Note B is secured by the subsidiary's real estate, with a 2.00% interest rate and 10 years left on the term. The balance on the note as of December 31, 2015 and June 30, 2015 was $136,693 and $144,616 respectively.</w:t>
      </w:r>
    </w:p>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rPr>
      </w:pPr>
      <w:r>
        <w:rPr>
          <w:rFonts w:eastAsia="Times New Roman"/>
        </w:rPr>
        <w:pict>
          <v:rect id="_x0000_i1053" style="width:0;height:1.5pt" o:hralign="center" o:hrstd="t" o:hrnoshade="t" o:hr="t" fillcolor="black" stroked="f"/>
        </w:pict>
      </w:r>
    </w:p>
    <w:p w:rsidR="00A60E01" w:rsidRDefault="00A60E01">
      <w:pPr>
        <w:rPr>
          <w:sz w:val="20"/>
          <w:szCs w:val="20"/>
        </w:rPr>
      </w:pPr>
      <w:r>
        <w:rPr>
          <w:sz w:val="20"/>
          <w:szCs w:val="20"/>
        </w:rPr>
        <w:br w:type="page"/>
      </w:r>
    </w:p>
    <w:p w:rsidR="00DD679F" w:rsidRDefault="000E4A48">
      <w:pPr>
        <w:pStyle w:val="NormalWeb"/>
        <w:divId w:val="1203010667"/>
      </w:pPr>
      <w:r>
        <w:rPr>
          <w:sz w:val="20"/>
          <w:szCs w:val="20"/>
        </w:rPr>
        <w:lastRenderedPageBreak/>
        <w:t xml:space="preserve">The value of the note reflect the currency adjustments. The table below summarizes the </w:t>
      </w:r>
      <w:proofErr w:type="gramStart"/>
      <w:r>
        <w:rPr>
          <w:sz w:val="20"/>
          <w:szCs w:val="20"/>
        </w:rPr>
        <w:t>companies</w:t>
      </w:r>
      <w:proofErr w:type="gramEnd"/>
      <w:r>
        <w:rPr>
          <w:sz w:val="20"/>
          <w:szCs w:val="20"/>
        </w:rPr>
        <w:t xml:space="preserve"> commitments going forward.</w:t>
      </w:r>
    </w:p>
    <w:p w:rsidR="00DD679F" w:rsidRDefault="000E4A48">
      <w:pPr>
        <w:pStyle w:val="NormalWeb"/>
        <w:divId w:val="1203010667"/>
      </w:pPr>
      <w:r>
        <w:t> </w:t>
      </w: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917"/>
        <w:gridCol w:w="2165"/>
        <w:gridCol w:w="918"/>
        <w:gridCol w:w="2165"/>
        <w:gridCol w:w="1230"/>
        <w:gridCol w:w="780"/>
      </w:tblGrid>
      <w:tr w:rsidR="00DD679F">
        <w:trPr>
          <w:divId w:val="1203010667"/>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center"/>
            </w:pPr>
            <w:r>
              <w:rPr>
                <w:b/>
                <w:bCs/>
                <w:sz w:val="20"/>
                <w:szCs w:val="20"/>
              </w:rPr>
              <w:t xml:space="preserve">Advanced Oxygen Technologies, Inc. Commitments and </w:t>
            </w:r>
          </w:p>
          <w:p w:rsidR="00DD679F" w:rsidRDefault="000E4A48">
            <w:pPr>
              <w:pStyle w:val="NormalWeb"/>
              <w:jc w:val="center"/>
            </w:pPr>
            <w:r>
              <w:rPr>
                <w:b/>
                <w:bCs/>
                <w:sz w:val="20"/>
                <w:szCs w:val="20"/>
              </w:rPr>
              <w:t>Contingencies for the year Ending June 30, 2015</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center"/>
            </w:pPr>
            <w:r>
              <w:rPr>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center"/>
            </w:pPr>
            <w:r>
              <w:rPr>
                <w:b/>
                <w:bCs/>
                <w:sz w:val="20"/>
                <w:szCs w:val="20"/>
              </w:rPr>
              <w:t>Bank Note "A"</w:t>
            </w:r>
            <w:r>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center"/>
            </w:pPr>
            <w:r>
              <w:rPr>
                <w:b/>
                <w:bCs/>
                <w:sz w:val="20"/>
                <w:szCs w:val="20"/>
              </w:rPr>
              <w:t>Bank Note "A" Amount</w:t>
            </w:r>
            <w:r>
              <w:rPr>
                <w:b/>
                <w:bCs/>
                <w:sz w:val="20"/>
                <w:szCs w:val="20"/>
              </w:rPr>
              <w:br/>
              <w:t>converted to $US Dollars at currency exchange rate at June 30, 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center"/>
            </w:pPr>
            <w:r>
              <w:rPr>
                <w:b/>
                <w:bCs/>
                <w:sz w:val="20"/>
                <w:szCs w:val="20"/>
              </w:rPr>
              <w:t>Bank Note "B"</w:t>
            </w:r>
            <w:r>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center"/>
            </w:pPr>
            <w:r>
              <w:rPr>
                <w:b/>
                <w:bCs/>
                <w:sz w:val="20"/>
                <w:szCs w:val="20"/>
              </w:rPr>
              <w:t>Bank Note "B" Amount</w:t>
            </w:r>
            <w:r>
              <w:rPr>
                <w:b/>
                <w:bCs/>
                <w:sz w:val="20"/>
                <w:szCs w:val="20"/>
              </w:rPr>
              <w:br/>
              <w:t>converted to $US Dollars at currency exchange rate at June 30, 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center"/>
            </w:pPr>
            <w:proofErr w:type="spellStart"/>
            <w:r>
              <w:rPr>
                <w:b/>
                <w:bCs/>
                <w:sz w:val="20"/>
                <w:szCs w:val="20"/>
              </w:rPr>
              <w:t>Borkwood</w:t>
            </w:r>
            <w:proofErr w:type="spellEnd"/>
            <w:r>
              <w:rPr>
                <w:b/>
                <w:bCs/>
                <w:sz w:val="20"/>
                <w:szCs w:val="20"/>
              </w:rPr>
              <w:t xml:space="preserve"> Note Amount</w:t>
            </w:r>
            <w:r>
              <w:rPr>
                <w:b/>
                <w:bCs/>
                <w:sz w:val="20"/>
                <w:szCs w:val="20"/>
              </w:rPr>
              <w:br/>
              <w:t>in $US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b/>
                <w:bCs/>
                <w:sz w:val="20"/>
                <w:szCs w:val="20"/>
              </w:rPr>
              <w:t>Total *</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pPr>
            <w:r>
              <w:rPr>
                <w:sz w:val="20"/>
                <w:szCs w:val="20"/>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$11,213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rPr>
              <w:t> </w:t>
            </w:r>
            <w:r>
              <w:rPr>
                <w:rFonts w:eastAsia="Times New Roman"/>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$160,639</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pPr>
            <w:r>
              <w:rPr>
                <w:sz w:val="20"/>
                <w:szCs w:val="20"/>
              </w:rPr>
              <w:t>2017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$11,213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pPr>
            <w:r>
              <w:rPr>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p w:rsidR="00DD679F" w:rsidRDefault="000E4A48">
            <w:pPr>
              <w:pStyle w:val="NormalWeb"/>
              <w:jc w:val="right"/>
            </w:pPr>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p w:rsidR="00DD679F" w:rsidRDefault="000E4A48">
            <w:pPr>
              <w:pStyle w:val="NormalWeb"/>
              <w:jc w:val="right"/>
            </w:pPr>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pPr>
            <w:r>
              <w:rPr>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pPr>
            <w:r>
              <w:rPr>
                <w:sz w:val="20"/>
                <w:szCs w:val="20"/>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pPr>
            <w:r>
              <w:rPr>
                <w:sz w:val="20"/>
                <w:szCs w:val="20"/>
              </w:rPr>
              <w:t>2022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pPr>
            <w:r>
              <w:rPr>
                <w:sz w:val="20"/>
                <w:szCs w:val="20"/>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pPr>
            <w:r>
              <w:rPr>
                <w:sz w:val="20"/>
                <w:szCs w:val="20"/>
              </w:rPr>
              <w:t>2024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pPr>
            <w:r>
              <w:rPr>
                <w:sz w:val="20"/>
                <w:szCs w:val="20"/>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pStyle w:val="NormalWeb"/>
              <w:jc w:val="right"/>
            </w:pPr>
            <w:r>
              <w:rPr>
                <w:sz w:val="20"/>
                <w:szCs w:val="20"/>
              </w:rPr>
              <w:t>$33,610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rPr>
              <w:t> </w:t>
            </w: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rPr>
              <w:t> </w:t>
            </w: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pStyle w:val="NormalWeb"/>
              <w:jc w:val="right"/>
            </w:pPr>
            <w:r>
              <w:rPr>
                <w:b/>
                <w:bCs/>
                <w:sz w:val="20"/>
                <w:szCs w:val="20"/>
              </w:rPr>
              <w:t>$429,519</w:t>
            </w:r>
          </w:p>
        </w:tc>
      </w:tr>
    </w:tbl>
    <w:p w:rsidR="00DD679F" w:rsidRDefault="000E4A48">
      <w:pPr>
        <w:spacing w:before="100" w:beforeAutospacing="1" w:after="100" w:afterAutospacing="1"/>
        <w:divId w:val="1203010667"/>
      </w:pPr>
      <w:r>
        <w:rPr>
          <w:sz w:val="20"/>
          <w:szCs w:val="20"/>
        </w:rPr>
        <w:t>* The amounts stated in this table reflect the Company's commitments in the currencies that those commitments were made and the total column is an estimate of what the US dollar amount would be if the currency rates did not change going forward.</w:t>
      </w:r>
    </w:p>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rPr>
      </w:pPr>
      <w:r>
        <w:rPr>
          <w:rFonts w:eastAsia="Times New Roman"/>
        </w:rPr>
        <w:pict>
          <v:rect id="_x0000_i1054" style="width:0;height:1.5pt" o:hralign="center" o:hrstd="t" o:hrnoshade="t" o:hr="t" fillcolor="black" stroked="f"/>
        </w:pict>
      </w:r>
    </w:p>
    <w:p w:rsidR="00A60E01" w:rsidRDefault="00A60E01">
      <w:pPr>
        <w:rPr>
          <w:b/>
          <w:bCs/>
          <w:sz w:val="20"/>
          <w:szCs w:val="20"/>
        </w:rPr>
      </w:pPr>
      <w:r>
        <w:rPr>
          <w:b/>
          <w:bCs/>
          <w:sz w:val="20"/>
          <w:szCs w:val="20"/>
        </w:rPr>
        <w:br w:type="page"/>
      </w:r>
    </w:p>
    <w:p w:rsidR="00DD679F" w:rsidRDefault="000E4A48">
      <w:pPr>
        <w:spacing w:before="100" w:beforeAutospacing="1" w:after="100" w:afterAutospacing="1"/>
        <w:divId w:val="1203010667"/>
      </w:pPr>
      <w:r>
        <w:rPr>
          <w:b/>
          <w:bCs/>
          <w:sz w:val="20"/>
          <w:szCs w:val="20"/>
        </w:rPr>
        <w:lastRenderedPageBreak/>
        <w:t>NOTE 7 - DUE TO AFFILIATE</w:t>
      </w:r>
    </w:p>
    <w:p w:rsidR="00DD679F" w:rsidRDefault="000E4A48">
      <w:pPr>
        <w:pStyle w:val="NormalWeb"/>
        <w:divId w:val="1203010667"/>
      </w:pPr>
      <w:r>
        <w:rPr>
          <w:i/>
          <w:iCs/>
          <w:sz w:val="20"/>
          <w:szCs w:val="20"/>
        </w:rPr>
        <w:t>Due to affiliate consisted of:</w:t>
      </w:r>
      <w:r>
        <w:rPr>
          <w:sz w:val="20"/>
          <w:szCs w:val="20"/>
        </w:rPr>
        <w:t xml:space="preserve"> Advances payable to </w:t>
      </w:r>
      <w:proofErr w:type="spellStart"/>
      <w:r>
        <w:rPr>
          <w:sz w:val="20"/>
          <w:szCs w:val="20"/>
        </w:rPr>
        <w:t>Crossfields</w:t>
      </w:r>
      <w:proofErr w:type="spellEnd"/>
      <w:r>
        <w:rPr>
          <w:sz w:val="20"/>
          <w:szCs w:val="20"/>
        </w:rPr>
        <w:t xml:space="preserve">, Inc., a related party, which are not collateralized, non-interest bearing, and payable upon demand, however, the Company did not expect to make payment within one year. During the 3 month period ended December 31, 2015 and 2014 the Company had borrowed $15,669 and $1,000 and had balances of $76,667 and $58,359 respectively, from affiliates and officers to meet expenses. The balances were not collateralized, were non-interest bearing and were payable on demand. </w:t>
      </w:r>
    </w:p>
    <w:p w:rsidR="00DD679F" w:rsidRDefault="000E4A48">
      <w:pPr>
        <w:pStyle w:val="NormalWeb"/>
        <w:divId w:val="1203010667"/>
      </w:pPr>
      <w:r>
        <w:rPr>
          <w:b/>
          <w:bCs/>
          <w:sz w:val="20"/>
          <w:szCs w:val="20"/>
        </w:rPr>
        <w:t>NOTE 8 - INCOME TAXES</w:t>
      </w:r>
      <w:r>
        <w:rPr>
          <w:sz w:val="20"/>
          <w:szCs w:val="20"/>
        </w:rPr>
        <w:br/>
      </w:r>
      <w:r>
        <w:rPr>
          <w:sz w:val="20"/>
          <w:szCs w:val="20"/>
        </w:rPr>
        <w:br/>
      </w:r>
      <w:proofErr w:type="gramStart"/>
      <w:r>
        <w:rPr>
          <w:sz w:val="20"/>
          <w:szCs w:val="20"/>
        </w:rPr>
        <w:t>As</w:t>
      </w:r>
      <w:proofErr w:type="gramEnd"/>
      <w:r>
        <w:rPr>
          <w:sz w:val="20"/>
          <w:szCs w:val="20"/>
        </w:rPr>
        <w:t xml:space="preserve"> of December 31, 2015,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1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1159"/>
      </w:tblGrid>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b/>
                <w:bCs/>
                <w:sz w:val="20"/>
                <w:szCs w:val="20"/>
              </w:rPr>
              <w:t>Amount</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236,000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rPr>
              <w:t>548,000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351,000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DD679F" w:rsidRDefault="000E4A48">
            <w:pPr>
              <w:jc w:val="right"/>
              <w:rPr>
                <w:rFonts w:eastAsia="Times New Roman"/>
              </w:rPr>
            </w:pPr>
            <w:r>
              <w:rPr>
                <w:rFonts w:eastAsia="Times New Roman"/>
                <w:sz w:val="20"/>
                <w:szCs w:val="20"/>
                <w:u w:val="single"/>
              </w:rPr>
              <w:t>29,000</w:t>
            </w:r>
          </w:p>
        </w:tc>
      </w:tr>
      <w:tr w:rsidR="00DD679F">
        <w:trPr>
          <w:divId w:val="12030106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D679F" w:rsidRDefault="000E4A48">
            <w:pPr>
              <w:jc w:val="right"/>
              <w:rPr>
                <w:rFonts w:eastAsia="Times New Roman"/>
              </w:rPr>
            </w:pPr>
            <w:r>
              <w:rPr>
                <w:rFonts w:eastAsia="Times New Roman"/>
                <w:sz w:val="20"/>
                <w:szCs w:val="20"/>
              </w:rPr>
              <w:t>$ 1,164,000</w:t>
            </w:r>
          </w:p>
        </w:tc>
      </w:tr>
    </w:tbl>
    <w:p w:rsidR="00DD679F" w:rsidRDefault="000E4A48">
      <w:pPr>
        <w:pStyle w:val="NormalWeb"/>
        <w:divId w:val="1203010667"/>
      </w:pPr>
      <w:r>
        <w:rPr>
          <w:sz w:val="20"/>
          <w:szCs w:val="20"/>
        </w:rPr>
        <w:t>The overall effective tax rate differs from the federal statutory tax rate of 34% due to operating losses and other deferred assets not providing benefit for income tax purposes.</w:t>
      </w:r>
    </w:p>
    <w:p w:rsidR="00DD679F" w:rsidRDefault="000E4A48">
      <w:pPr>
        <w:pStyle w:val="NormalWeb"/>
        <w:divId w:val="1203010667"/>
      </w:pPr>
      <w:r>
        <w:rPr>
          <w:b/>
          <w:bCs/>
          <w:sz w:val="20"/>
          <w:szCs w:val="20"/>
        </w:rPr>
        <w:t>NOTE 9 - SHAREHOLDERS' EQUITY:</w:t>
      </w:r>
    </w:p>
    <w:p w:rsidR="00DD679F" w:rsidRDefault="000E4A48">
      <w:pPr>
        <w:pStyle w:val="NormalWeb"/>
        <w:divId w:val="1203010667"/>
      </w:pPr>
      <w:r>
        <w:rPr>
          <w:sz w:val="20"/>
          <w:szCs w:val="20"/>
        </w:rPr>
        <w:t>Common Stock:</w:t>
      </w:r>
    </w:p>
    <w:p w:rsidR="00DD679F" w:rsidRDefault="000E4A48">
      <w:pPr>
        <w:pStyle w:val="NormalWeb"/>
        <w:divId w:val="74522495"/>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rPr>
      </w:pPr>
      <w:r>
        <w:rPr>
          <w:rFonts w:eastAsia="Times New Roman"/>
        </w:rPr>
        <w:pict>
          <v:rect id="_x0000_i1055" style="width:0;height:1.5pt" o:hralign="center" o:hrstd="t" o:hrnoshade="t" o:hr="t" fillcolor="black" stroked="f"/>
        </w:pict>
      </w:r>
    </w:p>
    <w:p w:rsidR="00A60E01" w:rsidRDefault="000E4A48">
      <w:pPr>
        <w:pStyle w:val="NormalWeb"/>
        <w:divId w:val="1203010667"/>
      </w:pPr>
      <w:r>
        <w:t> </w:t>
      </w:r>
    </w:p>
    <w:p w:rsidR="00A60E01" w:rsidRDefault="00A60E01">
      <w:r>
        <w:br w:type="page"/>
      </w:r>
    </w:p>
    <w:p w:rsidR="00DD679F" w:rsidRDefault="000E4A48">
      <w:pPr>
        <w:pStyle w:val="NormalWeb"/>
        <w:divId w:val="1203010667"/>
      </w:pPr>
      <w:r>
        <w:rPr>
          <w:sz w:val="20"/>
          <w:szCs w:val="20"/>
        </w:rPr>
        <w:lastRenderedPageBreak/>
        <w:t>Preferred Stock:</w:t>
      </w:r>
    </w:p>
    <w:p w:rsidR="00DD679F" w:rsidRDefault="000E4A48">
      <w:pPr>
        <w:pStyle w:val="NormalWeb"/>
        <w:divId w:val="1203010667"/>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DD679F" w:rsidRDefault="000E4A48">
      <w:pPr>
        <w:pStyle w:val="NormalWeb"/>
        <w:divId w:val="1203010667"/>
      </w:pPr>
      <w:r>
        <w:rPr>
          <w:sz w:val="20"/>
          <w:szCs w:val="20"/>
        </w:rPr>
        <w:t>Series 2 Convertible Preferred Stock:</w:t>
      </w:r>
    </w:p>
    <w:p w:rsidR="00DD679F" w:rsidRDefault="000E4A48">
      <w:pPr>
        <w:pStyle w:val="NormalWeb"/>
        <w:divId w:val="1203010667"/>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During November 1997, 172,000 shares of Series 2 preferred stock were converted into 344,000 shares of the Company's common stock.</w:t>
      </w:r>
    </w:p>
    <w:p w:rsidR="00DD679F" w:rsidRDefault="000E4A48">
      <w:pPr>
        <w:pStyle w:val="NormalWeb"/>
        <w:divId w:val="1203010667"/>
      </w:pPr>
      <w:r>
        <w:rPr>
          <w:sz w:val="20"/>
          <w:szCs w:val="20"/>
        </w:rPr>
        <w:t>Series 4 Convertible Preferred Stock:</w:t>
      </w:r>
    </w:p>
    <w:p w:rsidR="00DD679F" w:rsidRDefault="000E4A48">
      <w:pPr>
        <w:pStyle w:val="NormalWeb"/>
        <w:divId w:val="1203010667"/>
      </w:pPr>
      <w:r>
        <w:rPr>
          <w:sz w:val="20"/>
          <w:szCs w:val="20"/>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DD679F" w:rsidRDefault="000E4A48">
      <w:pPr>
        <w:pStyle w:val="NormalWeb"/>
        <w:divId w:val="1203010667"/>
      </w:pPr>
      <w:r>
        <w:rPr>
          <w:b/>
          <w:bCs/>
          <w:sz w:val="20"/>
          <w:szCs w:val="20"/>
        </w:rPr>
        <w:t>ITEM 2: MANAGEMENT'S DISCUSSION AND ANALYSIS OF FINANCIAL CONDITION AND RESULTS OF OPERATIONS.</w:t>
      </w:r>
    </w:p>
    <w:p w:rsidR="00DD679F" w:rsidRDefault="000E4A48">
      <w:pPr>
        <w:pStyle w:val="NormalWeb"/>
        <w:divId w:val="1203010667"/>
      </w:pPr>
      <w:r>
        <w:rPr>
          <w:sz w:val="20"/>
          <w:szCs w:val="20"/>
        </w:rPr>
        <w:t>The following should be read in conjunction with our Consolidated Financial Statements and the notes thereto included in the Financial Statements.</w:t>
      </w:r>
    </w:p>
    <w:p w:rsidR="00DD679F" w:rsidRDefault="000E4A48">
      <w:pPr>
        <w:pStyle w:val="NormalWeb"/>
        <w:divId w:val="1203010667"/>
      </w:pPr>
      <w:r>
        <w:rPr>
          <w:sz w:val="20"/>
          <w:szCs w:val="20"/>
        </w:rPr>
        <w:t xml:space="preserve">FORWARD LOOKING STATEMENTS: </w:t>
      </w:r>
    </w:p>
    <w:p w:rsidR="00DD679F" w:rsidRDefault="000E4A48">
      <w:pPr>
        <w:pStyle w:val="NormalWeb"/>
        <w:divId w:val="1203010667"/>
      </w:pPr>
      <w:r>
        <w:rPr>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DD679F" w:rsidRDefault="000E4A48">
      <w:pPr>
        <w:pStyle w:val="NormalWeb"/>
        <w:divId w:val="1203010667"/>
      </w:pPr>
      <w:r>
        <w:rPr>
          <w:sz w:val="20"/>
          <w:szCs w:val="20"/>
        </w:rPr>
        <w:t>CRITICAL ACCOUNTING POLICIES AND ESTIMATES</w:t>
      </w:r>
    </w:p>
    <w:p w:rsidR="00DD679F" w:rsidRDefault="000B193D">
      <w:pPr>
        <w:pStyle w:val="NormalWeb"/>
        <w:divId w:val="1203010667"/>
        <w:rPr>
          <w:sz w:val="20"/>
          <w:szCs w:val="20"/>
        </w:rPr>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56" style="width:0;height:1.5pt" o:hralign="center" o:hrstd="t" o:hrnoshade="t" o:hr="t" fillcolor="black" stroked="f"/>
        </w:pict>
      </w:r>
    </w:p>
    <w:p w:rsidR="00A60E01" w:rsidRDefault="000E4A48">
      <w:pPr>
        <w:divId w:val="1203010667"/>
        <w:rPr>
          <w:rFonts w:eastAsia="Times New Roman"/>
          <w:sz w:val="20"/>
          <w:szCs w:val="20"/>
        </w:rPr>
      </w:pPr>
      <w:r>
        <w:rPr>
          <w:rFonts w:eastAsia="Times New Roman"/>
          <w:sz w:val="20"/>
          <w:szCs w:val="20"/>
        </w:rPr>
        <w:br/>
      </w:r>
    </w:p>
    <w:p w:rsidR="00A60E01" w:rsidRDefault="00A60E01">
      <w:pPr>
        <w:rPr>
          <w:rFonts w:eastAsia="Times New Roman"/>
          <w:sz w:val="20"/>
          <w:szCs w:val="20"/>
        </w:rPr>
      </w:pPr>
      <w:r>
        <w:rPr>
          <w:rFonts w:eastAsia="Times New Roman"/>
          <w:sz w:val="20"/>
          <w:szCs w:val="20"/>
        </w:rPr>
        <w:br w:type="page"/>
      </w:r>
    </w:p>
    <w:p w:rsidR="00DD679F" w:rsidRDefault="000E4A48">
      <w:pPr>
        <w:divId w:val="1203010667"/>
        <w:rPr>
          <w:rFonts w:eastAsia="Times New Roman"/>
        </w:rPr>
      </w:pPr>
      <w:r>
        <w:rPr>
          <w:rFonts w:eastAsia="Times New Roman"/>
          <w:sz w:val="20"/>
          <w:szCs w:val="20"/>
        </w:rPr>
        <w:lastRenderedPageBreak/>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DD679F" w:rsidRDefault="000E4A48">
      <w:pPr>
        <w:pStyle w:val="NormalWeb"/>
        <w:divId w:val="1203010667"/>
      </w:pPr>
      <w:r>
        <w:rPr>
          <w:i/>
          <w:iCs/>
          <w:sz w:val="20"/>
          <w:szCs w:val="20"/>
        </w:rPr>
        <w:t xml:space="preserve">Recognition of rental income. </w:t>
      </w:r>
      <w:r>
        <w:rPr>
          <w:sz w:val="20"/>
          <w:szCs w:val="20"/>
        </w:rPr>
        <w:t>Rental income for commercial property leases is recognized on a straight-line basis over the respective lease terms.</w:t>
      </w:r>
    </w:p>
    <w:p w:rsidR="00DD679F" w:rsidRDefault="000E4A48">
      <w:pPr>
        <w:pStyle w:val="NormalWeb"/>
        <w:divId w:val="1203010667"/>
      </w:pPr>
      <w:r>
        <w:rPr>
          <w:sz w:val="20"/>
          <w:szCs w:val="20"/>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DD679F" w:rsidRDefault="000E4A48">
      <w:pPr>
        <w:pStyle w:val="NormalWeb"/>
        <w:divId w:val="1203010667"/>
      </w:pPr>
      <w:r>
        <w:rPr>
          <w:i/>
          <w:iCs/>
          <w:sz w:val="20"/>
          <w:szCs w:val="20"/>
        </w:rPr>
        <w:t xml:space="preserve">Revenue recognition on the sale of real estate. </w:t>
      </w:r>
    </w:p>
    <w:p w:rsidR="00DD679F" w:rsidRDefault="000E4A48">
      <w:pPr>
        <w:pStyle w:val="NormalWeb"/>
        <w:divId w:val="1203010667"/>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DD679F" w:rsidRDefault="000E4A48">
      <w:pPr>
        <w:pStyle w:val="NormalWeb"/>
        <w:divId w:val="1203010667"/>
      </w:pPr>
      <w:r>
        <w:rPr>
          <w:sz w:val="20"/>
          <w:szCs w:val="20"/>
        </w:rPr>
        <w:t>Interest Recognition on Notes Receivable</w:t>
      </w:r>
    </w:p>
    <w:p w:rsidR="00DD679F" w:rsidRDefault="000E4A48">
      <w:pPr>
        <w:pStyle w:val="NormalWeb"/>
        <w:divId w:val="1203010667"/>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DD679F" w:rsidRDefault="000B193D">
      <w:pPr>
        <w:pStyle w:val="NormalWeb"/>
        <w:divId w:val="1203010667"/>
        <w:rPr>
          <w:sz w:val="20"/>
          <w:szCs w:val="20"/>
        </w:rPr>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57" style="width:0;height:1.5pt" o:hralign="center" o:hrstd="t" o:hrnoshade="t" o:hr="t" fillcolor="black" stroked="f"/>
        </w:pict>
      </w:r>
    </w:p>
    <w:p w:rsidR="00DD679F" w:rsidRDefault="000E4A48">
      <w:pPr>
        <w:pStyle w:val="NormalWeb"/>
        <w:divId w:val="1203010667"/>
      </w:pPr>
      <w:r>
        <w:t> </w:t>
      </w:r>
    </w:p>
    <w:p w:rsidR="00A60E01" w:rsidRDefault="00A60E01">
      <w:pPr>
        <w:rPr>
          <w:i/>
          <w:iCs/>
          <w:sz w:val="20"/>
          <w:szCs w:val="20"/>
        </w:rPr>
      </w:pPr>
      <w:r>
        <w:rPr>
          <w:i/>
          <w:iCs/>
          <w:sz w:val="20"/>
          <w:szCs w:val="20"/>
        </w:rPr>
        <w:br w:type="page"/>
      </w:r>
    </w:p>
    <w:p w:rsidR="00DD679F" w:rsidRDefault="000E4A48">
      <w:pPr>
        <w:pStyle w:val="NormalWeb"/>
        <w:divId w:val="1203010667"/>
      </w:pPr>
      <w:r>
        <w:rPr>
          <w:i/>
          <w:iCs/>
          <w:sz w:val="20"/>
          <w:szCs w:val="20"/>
        </w:rPr>
        <w:lastRenderedPageBreak/>
        <w:t>Foreign currency translation:</w:t>
      </w:r>
    </w:p>
    <w:p w:rsidR="00DD679F" w:rsidRDefault="000E4A48">
      <w:pPr>
        <w:pStyle w:val="NormalWeb"/>
        <w:divId w:val="1203010667"/>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DD679F" w:rsidRDefault="000E4A48">
      <w:pPr>
        <w:pStyle w:val="NormalWeb"/>
        <w:divId w:val="1203010667"/>
      </w:pPr>
      <w:r>
        <w:rPr>
          <w:i/>
          <w:iCs/>
          <w:sz w:val="20"/>
          <w:szCs w:val="20"/>
        </w:rPr>
        <w:t>Income Taxes:</w:t>
      </w:r>
    </w:p>
    <w:p w:rsidR="00DD679F" w:rsidRDefault="000E4A48">
      <w:pPr>
        <w:pStyle w:val="NormalWeb"/>
        <w:divId w:val="1203010667"/>
      </w:pPr>
      <w:r>
        <w:rPr>
          <w:sz w:val="20"/>
          <w:szCs w:val="20"/>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w:t>
      </w:r>
    </w:p>
    <w:p w:rsidR="00DD679F" w:rsidRDefault="000E4A48">
      <w:pPr>
        <w:pStyle w:val="NormalWeb"/>
        <w:divId w:val="1203010667"/>
      </w:pPr>
      <w:proofErr w:type="gramStart"/>
      <w:r>
        <w:rPr>
          <w:sz w:val="20"/>
          <w:szCs w:val="20"/>
        </w:rPr>
        <w:t>required</w:t>
      </w:r>
      <w:proofErr w:type="gramEnd"/>
      <w:r>
        <w:rPr>
          <w:sz w:val="20"/>
          <w:szCs w:val="20"/>
        </w:rPr>
        <w:t xml:space="preserve">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DD679F" w:rsidRDefault="000E4A48">
      <w:pPr>
        <w:pStyle w:val="NormalWeb"/>
        <w:divId w:val="1203010667"/>
      </w:pPr>
      <w:r>
        <w:rPr>
          <w:i/>
          <w:iCs/>
          <w:sz w:val="20"/>
          <w:szCs w:val="20"/>
        </w:rPr>
        <w:t>Net Earnings per Share:</w:t>
      </w:r>
    </w:p>
    <w:p w:rsidR="00DD679F" w:rsidRDefault="000E4A48">
      <w:pPr>
        <w:pStyle w:val="NormalWeb"/>
        <w:divId w:val="1203010667"/>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DD679F" w:rsidRDefault="000B193D">
      <w:pPr>
        <w:pStyle w:val="NormalWeb"/>
        <w:divId w:val="1203010667"/>
        <w:rPr>
          <w:sz w:val="20"/>
          <w:szCs w:val="20"/>
        </w:rPr>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58" style="width:0;height:1.5pt" o:hralign="center" o:hrstd="t" o:hrnoshade="t" o:hr="t" fillcolor="black" stroked="f"/>
        </w:pict>
      </w:r>
    </w:p>
    <w:p w:rsidR="00A60E01" w:rsidRDefault="00A60E01">
      <w:pPr>
        <w:rPr>
          <w:i/>
          <w:iCs/>
          <w:sz w:val="20"/>
          <w:szCs w:val="20"/>
        </w:rPr>
      </w:pPr>
      <w:r>
        <w:rPr>
          <w:i/>
          <w:iCs/>
          <w:sz w:val="20"/>
          <w:szCs w:val="20"/>
        </w:rPr>
        <w:br w:type="page"/>
      </w:r>
    </w:p>
    <w:p w:rsidR="00DD679F" w:rsidRDefault="000E4A48">
      <w:pPr>
        <w:pStyle w:val="NormalWeb"/>
        <w:divId w:val="1203010667"/>
      </w:pPr>
      <w:r>
        <w:rPr>
          <w:i/>
          <w:iCs/>
          <w:sz w:val="20"/>
          <w:szCs w:val="20"/>
        </w:rPr>
        <w:lastRenderedPageBreak/>
        <w:t>Cash and Cash Equivalents:</w:t>
      </w:r>
    </w:p>
    <w:p w:rsidR="00DD679F" w:rsidRDefault="000E4A48">
      <w:pPr>
        <w:pStyle w:val="NormalWeb"/>
        <w:divId w:val="1203010667"/>
      </w:pPr>
      <w:r>
        <w:rPr>
          <w:sz w:val="20"/>
          <w:szCs w:val="20"/>
        </w:rPr>
        <w:t>For purposes of the statement of cash flows, the Company considers all highly-liquid investments purchased with original maturities of three months or less to be cash equivalents.</w:t>
      </w:r>
      <w:r>
        <w:rPr>
          <w:sz w:val="20"/>
          <w:szCs w:val="20"/>
        </w:rPr>
        <w:br/>
        <w:t>The Company maintains its cash in bank deposit accounts which, at December 31, 2015 did not exceed federally insured limits. The Company has not experienced any losses in such accounts and believes that it is not exposed to any significant credit risk on such amounts.</w:t>
      </w:r>
    </w:p>
    <w:p w:rsidR="00DD679F" w:rsidRDefault="000E4A48">
      <w:pPr>
        <w:pStyle w:val="NormalWeb"/>
        <w:divId w:val="1203010667"/>
      </w:pPr>
      <w:r>
        <w:rPr>
          <w:i/>
          <w:iCs/>
          <w:sz w:val="20"/>
          <w:szCs w:val="20"/>
        </w:rPr>
        <w:t>Estimates:</w:t>
      </w:r>
    </w:p>
    <w:p w:rsidR="00DD679F" w:rsidRDefault="000E4A48">
      <w:pPr>
        <w:pStyle w:val="NormalWeb"/>
        <w:divId w:val="1203010667"/>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DD679F" w:rsidRDefault="000E4A48">
      <w:pPr>
        <w:pStyle w:val="NormalWeb"/>
        <w:divId w:val="1203010667"/>
      </w:pPr>
      <w:r>
        <w:rPr>
          <w:i/>
          <w:iCs/>
          <w:sz w:val="20"/>
          <w:szCs w:val="20"/>
        </w:rPr>
        <w:t>Concentrations of Credit Risk</w:t>
      </w:r>
      <w:r>
        <w:rPr>
          <w:sz w:val="20"/>
          <w:szCs w:val="20"/>
        </w:rPr>
        <w:t>:</w:t>
      </w:r>
    </w:p>
    <w:p w:rsidR="00DD679F" w:rsidRDefault="000E4A48">
      <w:pPr>
        <w:pStyle w:val="NormalWeb"/>
        <w:divId w:val="1203010667"/>
      </w:pPr>
      <w:r>
        <w:rPr>
          <w:sz w:val="20"/>
          <w:szCs w:val="20"/>
        </w:rPr>
        <w:t>Financial instruments that potentially subject the Company to major credit risk consist principally of a single subsidiary of Anton Nielsen Vojens ApS and its customer concentration.</w:t>
      </w:r>
    </w:p>
    <w:p w:rsidR="00DD679F" w:rsidRDefault="000E4A48">
      <w:pPr>
        <w:pStyle w:val="NormalWeb"/>
        <w:divId w:val="1203010667"/>
      </w:pPr>
      <w:r>
        <w:rPr>
          <w:i/>
          <w:iCs/>
          <w:sz w:val="20"/>
          <w:szCs w:val="20"/>
        </w:rPr>
        <w:t>Recently Issued Accounting Standards</w:t>
      </w:r>
    </w:p>
    <w:p w:rsidR="00DD679F" w:rsidRDefault="000E4A48">
      <w:pPr>
        <w:pStyle w:val="NormalWeb"/>
        <w:divId w:val="1203010667"/>
      </w:pPr>
      <w:r>
        <w:rPr>
          <w:sz w:val="20"/>
          <w:szCs w:val="20"/>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DD679F" w:rsidRDefault="000B193D">
      <w:pPr>
        <w:pStyle w:val="NormalWeb"/>
        <w:divId w:val="1203010667"/>
        <w:rPr>
          <w:sz w:val="20"/>
          <w:szCs w:val="20"/>
        </w:rPr>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59" style="width:0;height:1.5pt" o:hralign="center" o:hrstd="t" o:hrnoshade="t" o:hr="t" fillcolor="black" stroked="f"/>
        </w:pict>
      </w:r>
    </w:p>
    <w:p w:rsidR="00A60E01" w:rsidRDefault="00A60E01">
      <w:pPr>
        <w:rPr>
          <w:sz w:val="20"/>
          <w:szCs w:val="20"/>
        </w:rPr>
      </w:pPr>
      <w:r>
        <w:rPr>
          <w:sz w:val="20"/>
          <w:szCs w:val="20"/>
        </w:rPr>
        <w:br w:type="page"/>
      </w:r>
    </w:p>
    <w:p w:rsidR="00DD679F" w:rsidRDefault="000E4A48">
      <w:pPr>
        <w:pStyle w:val="NormalWeb"/>
        <w:divId w:val="1203010667"/>
      </w:pPr>
      <w:r>
        <w:rPr>
          <w:sz w:val="20"/>
          <w:szCs w:val="20"/>
        </w:rPr>
        <w:lastRenderedPageBreak/>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DD679F" w:rsidRDefault="000E4A48">
      <w:pPr>
        <w:pStyle w:val="NormalWeb"/>
        <w:divId w:val="1203010667"/>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r>
        <w:rPr>
          <w:sz w:val="20"/>
          <w:szCs w:val="20"/>
        </w:rPr>
        <w:br/>
      </w:r>
      <w:r>
        <w:rPr>
          <w:sz w:val="20"/>
          <w:szCs w:val="20"/>
        </w:rPr>
        <w:b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DD679F" w:rsidRDefault="000E4A48">
      <w:pPr>
        <w:pStyle w:val="NormalWeb"/>
        <w:divId w:val="1203010667"/>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sz w:val="20"/>
          <w:szCs w:val="20"/>
        </w:rPr>
      </w:pPr>
      <w:r>
        <w:rPr>
          <w:rFonts w:eastAsia="Times New Roman"/>
          <w:sz w:val="20"/>
          <w:szCs w:val="20"/>
        </w:rPr>
        <w:pict>
          <v:rect id="_x0000_i1060" style="width:0;height:1.5pt" o:hralign="center" o:hrstd="t" o:hrnoshade="t" o:hr="t" fillcolor="black" stroked="f"/>
        </w:pict>
      </w:r>
    </w:p>
    <w:p w:rsidR="00A60E01" w:rsidRDefault="00A60E01">
      <w:pPr>
        <w:rPr>
          <w:sz w:val="20"/>
          <w:szCs w:val="20"/>
        </w:rPr>
      </w:pPr>
      <w:r>
        <w:rPr>
          <w:sz w:val="20"/>
          <w:szCs w:val="20"/>
        </w:rPr>
        <w:br w:type="page"/>
      </w:r>
    </w:p>
    <w:p w:rsidR="00DD679F" w:rsidRDefault="000E4A48">
      <w:pPr>
        <w:pStyle w:val="NormalWeb"/>
        <w:divId w:val="1203010667"/>
      </w:pPr>
      <w:r>
        <w:rPr>
          <w:sz w:val="20"/>
          <w:szCs w:val="20"/>
        </w:rPr>
        <w:lastRenderedPageBreak/>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DD679F" w:rsidRDefault="000E4A48">
      <w:pPr>
        <w:pStyle w:val="NormalWeb"/>
        <w:divId w:val="1203010667"/>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DD679F" w:rsidRDefault="000E4A48">
      <w:pPr>
        <w:pStyle w:val="NormalWeb"/>
        <w:divId w:val="1203010667"/>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DD679F" w:rsidRDefault="000E4A48">
      <w:pPr>
        <w:pStyle w:val="NormalWeb"/>
        <w:divId w:val="1203010667"/>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DD679F" w:rsidRDefault="000E4A48">
      <w:pPr>
        <w:pStyle w:val="NormalWeb"/>
        <w:divId w:val="1203010667"/>
      </w:pPr>
      <w:r>
        <w:rPr>
          <w:sz w:val="20"/>
          <w:szCs w:val="20"/>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w:t>
      </w:r>
      <w:proofErr w:type="spellStart"/>
      <w:r>
        <w:rPr>
          <w:sz w:val="20"/>
          <w:szCs w:val="20"/>
        </w:rPr>
        <w:t>nonauthoritative</w:t>
      </w:r>
      <w:proofErr w:type="spellEnd"/>
      <w:r>
        <w:rPr>
          <w:sz w:val="20"/>
          <w:szCs w:val="20"/>
        </w:rPr>
        <w:t>. The Codification is effective for interim and annual periods ending after September 15, 2009. The Codification is effective for the Company in the interim period ending December 31, 2014 and it does not expect the adoption to have a material impact on its consolidated financial position, results of operations or cash flows.</w:t>
      </w:r>
    </w:p>
    <w:p w:rsidR="00DD679F" w:rsidRDefault="000E4A48">
      <w:pPr>
        <w:pStyle w:val="NormalWeb"/>
        <w:divId w:val="2001040956"/>
      </w:pPr>
      <w:r>
        <w:rPr>
          <w:sz w:val="20"/>
          <w:szCs w:val="20"/>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DD679F" w:rsidRDefault="000E4A48">
      <w:pPr>
        <w:pStyle w:val="NormalWeb"/>
        <w:spacing w:before="0" w:beforeAutospacing="0" w:after="0" w:afterAutospacing="0"/>
        <w:jc w:val="both"/>
        <w:divId w:val="2001040956"/>
        <w:rPr>
          <w:sz w:val="20"/>
          <w:szCs w:val="20"/>
        </w:rPr>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DD679F" w:rsidRDefault="000E4A48">
      <w:pPr>
        <w:pStyle w:val="NormalWeb"/>
        <w:spacing w:before="0" w:beforeAutospacing="0" w:after="0" w:afterAutospacing="0"/>
        <w:ind w:firstLine="720"/>
        <w:divId w:val="2001040956"/>
        <w:rPr>
          <w:sz w:val="20"/>
          <w:szCs w:val="20"/>
        </w:rPr>
      </w:pPr>
      <w:r>
        <w:rPr>
          <w:sz w:val="20"/>
          <w:szCs w:val="20"/>
        </w:rPr>
        <w:t> </w:t>
      </w:r>
    </w:p>
    <w:p w:rsidR="00DD679F" w:rsidRDefault="000E4A48">
      <w:pPr>
        <w:pStyle w:val="NormalWeb"/>
        <w:spacing w:before="0" w:beforeAutospacing="0" w:after="0" w:afterAutospacing="0"/>
        <w:jc w:val="both"/>
        <w:divId w:val="2001040956"/>
        <w:rPr>
          <w:sz w:val="20"/>
          <w:szCs w:val="20"/>
        </w:rPr>
      </w:pPr>
      <w:r>
        <w:rPr>
          <w:sz w:val="20"/>
          <w:szCs w:val="20"/>
        </w:rPr>
        <w:t>Other recent accounting pronouncements issued by the FASB did not or are not believed by management to have a material impact on the Company's present or future financial statements.</w:t>
      </w:r>
    </w:p>
    <w:p w:rsidR="00DD679F" w:rsidRDefault="000B193D">
      <w:pPr>
        <w:pStyle w:val="NormalWeb"/>
        <w:divId w:val="2001040956"/>
        <w:rPr>
          <w:sz w:val="20"/>
          <w:szCs w:val="20"/>
        </w:rPr>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2001040956"/>
        <w:rPr>
          <w:rFonts w:eastAsia="Times New Roman"/>
          <w:sz w:val="20"/>
          <w:szCs w:val="20"/>
        </w:rPr>
      </w:pPr>
      <w:r>
        <w:rPr>
          <w:rFonts w:eastAsia="Times New Roman"/>
          <w:sz w:val="20"/>
          <w:szCs w:val="20"/>
        </w:rPr>
        <w:pict>
          <v:rect id="_x0000_i1061" style="width:0;height:1.5pt" o:hralign="center" o:hrstd="t" o:hrnoshade="t" o:hr="t" fillcolor="black" stroked="f"/>
        </w:pict>
      </w:r>
    </w:p>
    <w:p w:rsidR="00A60E01" w:rsidRDefault="00A60E01">
      <w:pPr>
        <w:rPr>
          <w:b/>
          <w:bCs/>
          <w:sz w:val="20"/>
          <w:szCs w:val="20"/>
        </w:rPr>
      </w:pPr>
      <w:r>
        <w:rPr>
          <w:b/>
          <w:bCs/>
          <w:sz w:val="20"/>
          <w:szCs w:val="20"/>
        </w:rPr>
        <w:br w:type="page"/>
      </w:r>
    </w:p>
    <w:p w:rsidR="00DD679F" w:rsidRDefault="000E4A48">
      <w:pPr>
        <w:pStyle w:val="NormalWeb"/>
        <w:divId w:val="2001040956"/>
      </w:pPr>
      <w:r>
        <w:rPr>
          <w:b/>
          <w:bCs/>
          <w:sz w:val="20"/>
          <w:szCs w:val="20"/>
        </w:rPr>
        <w:lastRenderedPageBreak/>
        <w:t>RESULTS OF OPERATIONS FOR THE THREE MONTH</w:t>
      </w:r>
      <w:r w:rsidR="00C14BBF">
        <w:rPr>
          <w:b/>
          <w:bCs/>
          <w:sz w:val="20"/>
          <w:szCs w:val="20"/>
        </w:rPr>
        <w:t xml:space="preserve"> PERIOD ENDING DECEMBER 31, 2015 COMPARED TO 2014</w:t>
      </w:r>
    </w:p>
    <w:p w:rsidR="00C14BBF" w:rsidRDefault="00C14BBF" w:rsidP="00C14BBF">
      <w:pPr>
        <w:pStyle w:val="NormalWeb"/>
        <w:divId w:val="1203010667"/>
        <w:rPr>
          <w:rFonts w:eastAsia="Times New Roman"/>
        </w:rPr>
      </w:pPr>
      <w:r>
        <w:rPr>
          <w:i/>
          <w:iCs/>
          <w:sz w:val="20"/>
          <w:szCs w:val="20"/>
        </w:rPr>
        <w:t>Revenues:</w:t>
      </w:r>
      <w:r>
        <w:rPr>
          <w:sz w:val="20"/>
          <w:szCs w:val="20"/>
        </w:rPr>
        <w:t xml:space="preserve"> Revenues from operations for the three month period ending December 31, 2015 and December 31, 2014 $9,057 were $10,140 </w:t>
      </w:r>
      <w:proofErr w:type="gramStart"/>
      <w:r>
        <w:rPr>
          <w:sz w:val="20"/>
          <w:szCs w:val="20"/>
        </w:rPr>
        <w:t>respectively .</w:t>
      </w:r>
      <w:proofErr w:type="gramEnd"/>
      <w:r>
        <w:rPr>
          <w:sz w:val="20"/>
          <w:szCs w:val="20"/>
        </w:rPr>
        <w:t xml:space="preserve"> They were attributable to operations of the Company's wholly owned subsidiary Anton Nielsen Vojens.</w:t>
      </w:r>
    </w:p>
    <w:p w:rsidR="00C14BBF" w:rsidRDefault="00C14BBF" w:rsidP="00C14BBF">
      <w:pPr>
        <w:pStyle w:val="NormalWeb"/>
        <w:divId w:val="1203010667"/>
      </w:pPr>
      <w:r>
        <w:rPr>
          <w:i/>
          <w:iCs/>
          <w:sz w:val="20"/>
          <w:szCs w:val="20"/>
        </w:rPr>
        <w:t xml:space="preserve">Selling, general and administrative expenses: </w:t>
      </w:r>
      <w:r>
        <w:rPr>
          <w:sz w:val="20"/>
          <w:szCs w:val="20"/>
        </w:rPr>
        <w:t>SG&amp;A expenses for the three month period ending December 31, 2015 and December 31, 2014</w:t>
      </w:r>
      <w:proofErr w:type="gramStart"/>
      <w:r>
        <w:rPr>
          <w:sz w:val="20"/>
          <w:szCs w:val="20"/>
        </w:rPr>
        <w:t>  were</w:t>
      </w:r>
      <w:proofErr w:type="gramEnd"/>
      <w:r>
        <w:rPr>
          <w:sz w:val="20"/>
          <w:szCs w:val="20"/>
        </w:rPr>
        <w:t xml:space="preserve"> $7,151 and $10,357 respectively. The expenses are attributable to ANV's operations and the decrease in 2015 was attributed to currency fluctuations.</w:t>
      </w:r>
    </w:p>
    <w:p w:rsidR="00C14BBF" w:rsidRDefault="00C14BBF" w:rsidP="00C14BBF">
      <w:pPr>
        <w:pStyle w:val="NormalWeb"/>
        <w:divId w:val="1203010667"/>
      </w:pPr>
      <w:r>
        <w:rPr>
          <w:i/>
          <w:iCs/>
          <w:sz w:val="20"/>
          <w:szCs w:val="20"/>
        </w:rPr>
        <w:t xml:space="preserve">Interest expense: </w:t>
      </w:r>
      <w:r>
        <w:rPr>
          <w:sz w:val="20"/>
          <w:szCs w:val="20"/>
        </w:rPr>
        <w:t>Interest expense for the three month period ending December 31, 2015 an</w:t>
      </w:r>
      <w:r>
        <w:rPr>
          <w:sz w:val="20"/>
          <w:szCs w:val="20"/>
        </w:rPr>
        <w:t>d December 31, 2014 was $2,218 </w:t>
      </w:r>
      <w:proofErr w:type="gramStart"/>
      <w:r>
        <w:rPr>
          <w:sz w:val="20"/>
          <w:szCs w:val="20"/>
        </w:rPr>
        <w:t xml:space="preserve">and </w:t>
      </w:r>
      <w:r>
        <w:rPr>
          <w:sz w:val="20"/>
          <w:szCs w:val="20"/>
        </w:rPr>
        <w:t xml:space="preserve"> $</w:t>
      </w:r>
      <w:proofErr w:type="gramEnd"/>
      <w:r>
        <w:rPr>
          <w:sz w:val="20"/>
          <w:szCs w:val="20"/>
        </w:rPr>
        <w:t>2,808 respectively. Interest expenses differences were attributed to currency fluctuations from the Company's subsidiary, ANV.</w:t>
      </w:r>
    </w:p>
    <w:p w:rsidR="00C14BBF" w:rsidRDefault="00C14BBF" w:rsidP="00C14BBF">
      <w:pPr>
        <w:pStyle w:val="NormalWeb"/>
        <w:divId w:val="1203010667"/>
      </w:pPr>
      <w:r>
        <w:rPr>
          <w:i/>
          <w:iCs/>
          <w:sz w:val="20"/>
          <w:szCs w:val="20"/>
        </w:rPr>
        <w:t xml:space="preserve">Net income (loss) attributed to common stockholders: </w:t>
      </w:r>
      <w:r>
        <w:rPr>
          <w:sz w:val="20"/>
          <w:szCs w:val="20"/>
        </w:rPr>
        <w:t>Net income(loss) for the three month period ending December 31, 2015 and December 31, 2014  attributed to common stockholders was ($222) or $0.000 per share and ($3,025) or $0.000 per share respectively.</w:t>
      </w:r>
    </w:p>
    <w:p w:rsidR="00C14BBF" w:rsidRDefault="00C14BBF" w:rsidP="00C14BBF">
      <w:pPr>
        <w:pStyle w:val="NormalWeb"/>
        <w:divId w:val="1203010667"/>
      </w:pPr>
      <w:r>
        <w:rPr>
          <w:i/>
          <w:iCs/>
          <w:sz w:val="20"/>
          <w:szCs w:val="20"/>
        </w:rPr>
        <w:t xml:space="preserve">Liquidity and capital resources: </w:t>
      </w:r>
      <w:r>
        <w:rPr>
          <w:sz w:val="20"/>
          <w:szCs w:val="20"/>
        </w:rPr>
        <w:t>At December 31, 2015 the Company had $58,645 in cash and cash equivalents and a workin</w:t>
      </w:r>
      <w:r>
        <w:rPr>
          <w:sz w:val="20"/>
          <w:szCs w:val="20"/>
        </w:rPr>
        <w:t>g capital of $140,346 as compare</w:t>
      </w:r>
      <w:r>
        <w:rPr>
          <w:sz w:val="20"/>
          <w:szCs w:val="20"/>
        </w:rPr>
        <w:t>d to at December 31, 2014 the Company had $86,750 in cash and cash equivalents and a working capital of $208,213. The decrease in the working capital is primarily related operations of ANV real estate operations, tax settlement</w:t>
      </w:r>
      <w:r>
        <w:rPr>
          <w:sz w:val="20"/>
          <w:szCs w:val="20"/>
        </w:rPr>
        <w:t>, and foreign currency adjustmen</w:t>
      </w:r>
      <w:r>
        <w:rPr>
          <w:sz w:val="20"/>
          <w:szCs w:val="20"/>
        </w:rPr>
        <w:t>ts of the US Dollar.</w:t>
      </w:r>
    </w:p>
    <w:p w:rsidR="00C14BBF" w:rsidRDefault="00C14BBF">
      <w:pPr>
        <w:pStyle w:val="NormalWeb"/>
        <w:divId w:val="1203010667"/>
        <w:rPr>
          <w:sz w:val="20"/>
          <w:szCs w:val="20"/>
        </w:rPr>
      </w:pPr>
      <w:r>
        <w:rPr>
          <w:sz w:val="20"/>
          <w:szCs w:val="20"/>
        </w:rPr>
        <w:t>Net cash provided (used) by operating activities for six month period ending December 31, 2015 was ($12,734) compared to December 31, 2014 which was ($2,339). The net cash used by operating activities was primari</w:t>
      </w:r>
      <w:r>
        <w:rPr>
          <w:sz w:val="20"/>
          <w:szCs w:val="20"/>
        </w:rPr>
        <w:t xml:space="preserve">ly due to the operations of </w:t>
      </w:r>
      <w:proofErr w:type="spellStart"/>
      <w:r>
        <w:rPr>
          <w:sz w:val="20"/>
          <w:szCs w:val="20"/>
        </w:rPr>
        <w:t>ANV.</w:t>
      </w:r>
      <w:proofErr w:type="spellEnd"/>
    </w:p>
    <w:p w:rsidR="00DD679F" w:rsidRPr="00C14BBF" w:rsidRDefault="000B193D">
      <w:pPr>
        <w:pStyle w:val="NormalWeb"/>
        <w:divId w:val="1203010667"/>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62" style="width:0;height:1.5pt" o:hralign="center" o:hrstd="t" o:hrnoshade="t" o:hr="t" fillcolor="black" stroked="f"/>
        </w:pict>
      </w:r>
    </w:p>
    <w:p w:rsidR="00DD679F" w:rsidRDefault="000E4A48">
      <w:pPr>
        <w:pStyle w:val="NormalWeb"/>
        <w:divId w:val="1203010667"/>
      </w:pPr>
      <w:r>
        <w:t> </w:t>
      </w:r>
    </w:p>
    <w:p w:rsidR="00A60E01" w:rsidRDefault="00A60E01">
      <w:pPr>
        <w:rPr>
          <w:b/>
          <w:bCs/>
          <w:sz w:val="20"/>
          <w:szCs w:val="20"/>
        </w:rPr>
      </w:pPr>
      <w:r>
        <w:rPr>
          <w:b/>
          <w:bCs/>
          <w:sz w:val="20"/>
          <w:szCs w:val="20"/>
        </w:rPr>
        <w:br w:type="page"/>
      </w:r>
    </w:p>
    <w:p w:rsidR="00DD679F" w:rsidRDefault="000E4A48">
      <w:pPr>
        <w:pStyle w:val="NormalWeb"/>
        <w:divId w:val="1203010667"/>
      </w:pPr>
      <w:r>
        <w:rPr>
          <w:b/>
          <w:bCs/>
          <w:sz w:val="20"/>
          <w:szCs w:val="20"/>
        </w:rPr>
        <w:lastRenderedPageBreak/>
        <w:t>OFF BALANCE SHEET ARRANGEMENTS</w:t>
      </w:r>
    </w:p>
    <w:p w:rsidR="00DD679F" w:rsidRDefault="000E4A48">
      <w:pPr>
        <w:pStyle w:val="NormalWeb"/>
        <w:divId w:val="1203010667"/>
      </w:pPr>
      <w:r>
        <w:rPr>
          <w:sz w:val="20"/>
          <w:szCs w:val="20"/>
        </w:rPr>
        <w:t>We do not currently have any off balance sheet arrangements.</w:t>
      </w:r>
    </w:p>
    <w:p w:rsidR="00DD679F" w:rsidRDefault="000E4A48">
      <w:pPr>
        <w:pStyle w:val="NormalWeb"/>
        <w:divId w:val="1203010667"/>
      </w:pPr>
      <w:r>
        <w:rPr>
          <w:b/>
          <w:bCs/>
          <w:sz w:val="20"/>
          <w:szCs w:val="20"/>
        </w:rPr>
        <w:t>ACQUISITION EFFORTS:</w:t>
      </w:r>
    </w:p>
    <w:p w:rsidR="00DD679F" w:rsidRDefault="000E4A48">
      <w:pPr>
        <w:pStyle w:val="NormalWeb"/>
        <w:divId w:val="1203010667"/>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DD679F" w:rsidRDefault="000E4A48">
      <w:pPr>
        <w:pStyle w:val="NormalWeb"/>
        <w:divId w:val="1203010667"/>
      </w:pPr>
      <w:r>
        <w:rPr>
          <w:b/>
          <w:bCs/>
          <w:sz w:val="20"/>
          <w:szCs w:val="20"/>
        </w:rPr>
        <w:t>HISTORICAL OPERATIONS:</w:t>
      </w:r>
    </w:p>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sz w:val="20"/>
          <w:szCs w:val="20"/>
        </w:rPr>
      </w:pPr>
      <w:r>
        <w:rPr>
          <w:rFonts w:eastAsia="Times New Roman"/>
          <w:sz w:val="20"/>
          <w:szCs w:val="20"/>
        </w:rPr>
        <w:pict>
          <v:rect id="_x0000_i1063" style="width:0;height:1.5pt" o:hralign="center" o:hrstd="t" o:hrnoshade="t" o:hr="t" fillcolor="black" stroked="f"/>
        </w:pict>
      </w:r>
    </w:p>
    <w:p w:rsidR="00A60E01" w:rsidRDefault="000E4A48">
      <w:pPr>
        <w:pStyle w:val="NormalWeb"/>
        <w:divId w:val="1203010667"/>
        <w:rPr>
          <w:sz w:val="20"/>
          <w:szCs w:val="20"/>
        </w:rPr>
      </w:pPr>
      <w:r>
        <w:rPr>
          <w:sz w:val="20"/>
          <w:szCs w:val="20"/>
        </w:rPr>
        <w:br/>
      </w:r>
    </w:p>
    <w:p w:rsidR="00A60E01" w:rsidRDefault="00A60E01">
      <w:pPr>
        <w:rPr>
          <w:sz w:val="20"/>
          <w:szCs w:val="20"/>
        </w:rPr>
      </w:pPr>
      <w:r>
        <w:rPr>
          <w:sz w:val="20"/>
          <w:szCs w:val="20"/>
        </w:rPr>
        <w:br w:type="page"/>
      </w:r>
    </w:p>
    <w:p w:rsidR="00DD679F" w:rsidRDefault="000E4A48">
      <w:pPr>
        <w:pStyle w:val="NormalWeb"/>
        <w:divId w:val="1203010667"/>
      </w:pPr>
      <w:r>
        <w:rPr>
          <w:sz w:val="20"/>
          <w:szCs w:val="20"/>
        </w:rPr>
        <w:lastRenderedPageBreak/>
        <w:t>On March 9, 1998, pursuant to an Agreement for Purchase and Sale of Specified Business Assets ("Purchase Agreement"), a Promissory Note ("Note")</w:t>
      </w:r>
      <w:proofErr w:type="gramStart"/>
      <w:r>
        <w:rPr>
          <w:sz w:val="20"/>
          <w:szCs w:val="20"/>
        </w:rPr>
        <w:t>,and</w:t>
      </w:r>
      <w:proofErr w:type="gramEnd"/>
      <w:r>
        <w:rPr>
          <w:sz w:val="20"/>
          <w:szCs w:val="20"/>
        </w:rPr>
        <w:t xml:space="preserve">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DD679F" w:rsidRDefault="000E4A48">
      <w:pPr>
        <w:pStyle w:val="NormalWeb"/>
        <w:divId w:val="1203010667"/>
      </w:pPr>
      <w:r>
        <w:rPr>
          <w:sz w:val="20"/>
          <w:szCs w:val="20"/>
        </w:rPr>
        <w:t xml:space="preserve">Pursuant to an employment agreement dated March 09, 1998 between the Company and John </w:t>
      </w:r>
      <w:proofErr w:type="spellStart"/>
      <w:r>
        <w:rPr>
          <w:sz w:val="20"/>
          <w:szCs w:val="20"/>
        </w:rPr>
        <w:t>Teuber</w:t>
      </w:r>
      <w:proofErr w:type="spellEnd"/>
      <w:r>
        <w:rPr>
          <w:sz w:val="20"/>
          <w:szCs w:val="20"/>
        </w:rPr>
        <w:t xml:space="preserve"> ("Employment Agreement"), on September 04, 1998 the Company terminated John </w:t>
      </w:r>
      <w:proofErr w:type="spellStart"/>
      <w:r>
        <w:rPr>
          <w:sz w:val="20"/>
          <w:szCs w:val="20"/>
        </w:rPr>
        <w:t>Teuber</w:t>
      </w:r>
      <w:proofErr w:type="spellEnd"/>
      <w:r>
        <w:rPr>
          <w:sz w:val="20"/>
          <w:szCs w:val="20"/>
        </w:rPr>
        <w:t xml:space="preserve"> for cause without relinquishing any of its rights or remedies. </w:t>
      </w:r>
    </w:p>
    <w:p w:rsidR="00DD679F" w:rsidRDefault="000E4A48">
      <w:pPr>
        <w:pStyle w:val="NormalWeb"/>
        <w:divId w:val="1203010667"/>
      </w:pPr>
      <w:r>
        <w:rPr>
          <w:sz w:val="20"/>
          <w:szCs w:val="20"/>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DD679F" w:rsidRDefault="000E4A48">
      <w:pPr>
        <w:pStyle w:val="NormalWeb"/>
        <w:divId w:val="1203010667"/>
      </w:pPr>
      <w:r>
        <w:rPr>
          <w:sz w:val="20"/>
          <w:szCs w:val="20"/>
        </w:rPr>
        <w:t>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w:t>
      </w:r>
      <w:proofErr w:type="gramStart"/>
      <w:r>
        <w:rPr>
          <w:sz w:val="20"/>
          <w:szCs w:val="20"/>
        </w:rPr>
        <w:t>,1998</w:t>
      </w:r>
      <w:proofErr w:type="gramEnd"/>
      <w:r>
        <w:rPr>
          <w:sz w:val="20"/>
          <w:szCs w:val="20"/>
        </w:rPr>
        <w:t xml:space="preserve"> in Santa Clarita for its CA location. Currently, this is the only California location of the Company. </w:t>
      </w:r>
    </w:p>
    <w:p w:rsidR="00DD679F" w:rsidRDefault="000E4A48">
      <w:pPr>
        <w:pStyle w:val="NormalWeb"/>
        <w:divId w:val="1203010667"/>
      </w:pPr>
      <w:r>
        <w:rPr>
          <w:sz w:val="20"/>
          <w:szCs w:val="20"/>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DD679F" w:rsidRDefault="000E4A48">
      <w:pPr>
        <w:pStyle w:val="NormalWeb"/>
        <w:divId w:val="1203010667"/>
      </w:pPr>
      <w:r>
        <w:rPr>
          <w:sz w:val="20"/>
          <w:szCs w:val="20"/>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DD679F" w:rsidRDefault="000E4A48">
      <w:pPr>
        <w:pStyle w:val="NormalWeb"/>
        <w:divId w:val="1203010667"/>
      </w:pPr>
      <w:r>
        <w:rPr>
          <w:sz w:val="20"/>
          <w:szCs w:val="20"/>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DD679F" w:rsidRDefault="000B193D">
      <w:pPr>
        <w:pStyle w:val="NormalWeb"/>
        <w:divId w:val="1203010667"/>
        <w:rPr>
          <w:sz w:val="20"/>
          <w:szCs w:val="20"/>
        </w:rPr>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64" style="width:0;height:1.5pt" o:hralign="center" o:hrstd="t" o:hrnoshade="t" o:hr="t" fillcolor="black" stroked="f"/>
        </w:pict>
      </w:r>
    </w:p>
    <w:p w:rsidR="00DD679F" w:rsidRDefault="000E4A48">
      <w:pPr>
        <w:pStyle w:val="NormalWeb"/>
        <w:divId w:val="1203010667"/>
      </w:pPr>
      <w:r>
        <w:t> </w:t>
      </w:r>
    </w:p>
    <w:p w:rsidR="00A60E01" w:rsidRDefault="00A60E01">
      <w:pPr>
        <w:rPr>
          <w:sz w:val="20"/>
          <w:szCs w:val="20"/>
        </w:rPr>
      </w:pPr>
      <w:r>
        <w:rPr>
          <w:sz w:val="20"/>
          <w:szCs w:val="20"/>
        </w:rPr>
        <w:br w:type="page"/>
      </w:r>
    </w:p>
    <w:p w:rsidR="00DD679F" w:rsidRDefault="000E4A48">
      <w:pPr>
        <w:pStyle w:val="NormalWeb"/>
        <w:divId w:val="1203010667"/>
      </w:pPr>
      <w:r>
        <w:rPr>
          <w:sz w:val="20"/>
          <w:szCs w:val="20"/>
        </w:rPr>
        <w:lastRenderedPageBreak/>
        <w:t>On December 31, 2000, AOXY entered into an agreement with Eastern Star, ltd, and Baldwin Construction Co (the "Purchasers") whereby</w:t>
      </w:r>
      <w:proofErr w:type="gramStart"/>
      <w:r>
        <w:rPr>
          <w:sz w:val="20"/>
          <w:szCs w:val="20"/>
        </w:rPr>
        <w:t>  the</w:t>
      </w:r>
      <w:proofErr w:type="gramEnd"/>
      <w:r>
        <w:rPr>
          <w:sz w:val="20"/>
          <w:szCs w:val="20"/>
        </w:rPr>
        <w:t xml:space="preserv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w:t>
      </w:r>
      <w:proofErr w:type="spellStart"/>
      <w:r>
        <w:rPr>
          <w:sz w:val="20"/>
          <w:szCs w:val="20"/>
        </w:rPr>
        <w:t>Sejeroe</w:t>
      </w:r>
      <w:proofErr w:type="spellEnd"/>
      <w:r>
        <w:rPr>
          <w:sz w:val="20"/>
          <w:szCs w:val="20"/>
        </w:rPr>
        <w:t xml:space="preserve"> for a conversion of her 1 Preferred Share number P 0002 issued April 16, 1998, and in accordance with the restrictions, terms and conditions, as evidenced on the reverse side of the share certificate, the Company issued 333,333 shares bearing a restrictive legend.</w:t>
      </w:r>
    </w:p>
    <w:p w:rsidR="00DD679F" w:rsidRDefault="000E4A48">
      <w:pPr>
        <w:pStyle w:val="NormalWeb"/>
        <w:divId w:val="1203010667"/>
      </w:pPr>
      <w:r>
        <w:rPr>
          <w:sz w:val="20"/>
          <w:szCs w:val="20"/>
        </w:rPr>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DD679F" w:rsidRDefault="000E4A48">
      <w:pPr>
        <w:pStyle w:val="NormalWeb"/>
        <w:divId w:val="1203010667"/>
      </w:pPr>
      <w:r>
        <w:rPr>
          <w:sz w:val="20"/>
          <w:szCs w:val="20"/>
        </w:rPr>
        <w:t xml:space="preserve">On February 14, 2002 the Company gave notice of the change of the Company's location, and location of books and records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DD679F" w:rsidRDefault="000E4A48">
      <w:pPr>
        <w:pStyle w:val="NormalWeb"/>
        <w:divId w:val="1203010667"/>
      </w:pPr>
      <w:r>
        <w:rPr>
          <w:sz w:val="20"/>
          <w:szCs w:val="20"/>
        </w:rPr>
        <w:t xml:space="preserve">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w:t>
      </w:r>
      <w:proofErr w:type="spellStart"/>
      <w:r>
        <w:rPr>
          <w:sz w:val="20"/>
          <w:szCs w:val="20"/>
        </w:rPr>
        <w:t>InfoUSA</w:t>
      </w:r>
      <w:proofErr w:type="spellEnd"/>
      <w:r>
        <w:rPr>
          <w:sz w:val="20"/>
          <w:szCs w:val="20"/>
        </w:rPr>
        <w:t>,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r>
        <w:rPr>
          <w:sz w:val="20"/>
          <w:szCs w:val="20"/>
        </w:rPr>
        <w:br/>
      </w:r>
      <w:r>
        <w:rPr>
          <w:sz w:val="20"/>
          <w:szCs w:val="20"/>
        </w:rPr>
        <w:br/>
        <w:t xml:space="preserve">At a special meeting of the Board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Donofrio to the board of directors to replace Joseph N. </w:t>
      </w:r>
      <w:proofErr w:type="gramStart"/>
      <w:r>
        <w:rPr>
          <w:sz w:val="20"/>
          <w:szCs w:val="20"/>
        </w:rPr>
        <w:t>Noll .</w:t>
      </w:r>
      <w:proofErr w:type="gramEnd"/>
      <w:r>
        <w:rPr>
          <w:sz w:val="20"/>
          <w:szCs w:val="20"/>
        </w:rPr>
        <w:t xml:space="preserve"> Kurt </w:t>
      </w:r>
      <w:proofErr w:type="spellStart"/>
      <w:r>
        <w:rPr>
          <w:sz w:val="20"/>
          <w:szCs w:val="20"/>
        </w:rPr>
        <w:t>Sondergaard</w:t>
      </w:r>
      <w:proofErr w:type="spellEnd"/>
      <w:r>
        <w:rPr>
          <w:sz w:val="20"/>
          <w:szCs w:val="20"/>
        </w:rPr>
        <w:t xml:space="preserve"> founder and major shareholder of the company, Mr. </w:t>
      </w:r>
      <w:proofErr w:type="spellStart"/>
      <w:r>
        <w:rPr>
          <w:sz w:val="20"/>
          <w:szCs w:val="20"/>
        </w:rPr>
        <w:t>Sondergaard</w:t>
      </w:r>
      <w:proofErr w:type="spellEnd"/>
      <w:r>
        <w:rPr>
          <w:sz w:val="20"/>
          <w:szCs w:val="20"/>
        </w:rPr>
        <w:t xml:space="preserve">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DD679F" w:rsidRDefault="000E4A48">
      <w:pPr>
        <w:pStyle w:val="NormalWeb"/>
        <w:divId w:val="1203010667"/>
      </w:pPr>
      <w:r>
        <w:rPr>
          <w:sz w:val="20"/>
          <w:szCs w:val="20"/>
        </w:rPr>
        <w:t xml:space="preserve">Pursuant to a stock acquisition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w:t>
      </w:r>
      <w:proofErr w:type="spellStart"/>
      <w:r>
        <w:rPr>
          <w:sz w:val="20"/>
          <w:szCs w:val="20"/>
        </w:rPr>
        <w:t>Sondergaard</w:t>
      </w:r>
      <w:proofErr w:type="spellEnd"/>
      <w:r>
        <w:rPr>
          <w:sz w:val="20"/>
          <w:szCs w:val="20"/>
        </w:rPr>
        <w:t xml:space="preserve"> (Employee). The Employee will be employed by AOXY for four years and will perform duties of president of IP, and AOXY and the Shareholders entered into a covenant of </w:t>
      </w:r>
      <w:proofErr w:type="spellStart"/>
      <w:r>
        <w:rPr>
          <w:sz w:val="20"/>
          <w:szCs w:val="20"/>
        </w:rPr>
        <w:t>non competition</w:t>
      </w:r>
      <w:proofErr w:type="spellEnd"/>
      <w:r>
        <w:rPr>
          <w:sz w:val="20"/>
          <w:szCs w:val="20"/>
        </w:rPr>
        <w:t xml:space="preserve"> agreement whereby the Shareholders agreed not to compete with IP for a period of five years.</w:t>
      </w:r>
    </w:p>
    <w:p w:rsidR="00DD679F" w:rsidRDefault="000E4A48">
      <w:pPr>
        <w:pStyle w:val="NormalWeb"/>
        <w:divId w:val="1203010667"/>
      </w:pPr>
      <w:r>
        <w:rPr>
          <w:sz w:val="20"/>
          <w:szCs w:val="20"/>
        </w:rPr>
        <w:t xml:space="preserve">Pursuant to a stock acquisition agreement, on February 3, 2006 Advanced Oxygen Technologies, Inc. ("AOXY") purchased 100.00% of the stock of Anton Nielsen Vojens ApS ("ANV"), a Danish company from </w:t>
      </w:r>
      <w:proofErr w:type="spellStart"/>
      <w:r>
        <w:rPr>
          <w:sz w:val="20"/>
          <w:szCs w:val="20"/>
        </w:rPr>
        <w:t>Borkwood</w:t>
      </w:r>
      <w:proofErr w:type="spellEnd"/>
      <w:r>
        <w:rPr>
          <w:sz w:val="20"/>
          <w:szCs w:val="20"/>
        </w:rPr>
        <w:t xml:space="preserve"> Development Ltd. (a previous shareholder of AOXY) for Six Hundred and Fifty Thousand US Dollars. ANV owns commercial real estate and produces rental income.</w:t>
      </w:r>
    </w:p>
    <w:p w:rsidR="00DD679F" w:rsidRDefault="000B193D">
      <w:pPr>
        <w:pStyle w:val="NormalWeb"/>
        <w:divId w:val="1203010667"/>
        <w:rPr>
          <w:sz w:val="20"/>
          <w:szCs w:val="20"/>
        </w:rPr>
      </w:pPr>
      <w:hyperlink w:anchor="toc" w:history="1">
        <w:r w:rsidR="000E4A48">
          <w:rPr>
            <w:rStyle w:val="Hyperlink"/>
            <w:b/>
            <w:bCs/>
            <w:sz w:val="20"/>
            <w:szCs w:val="20"/>
          </w:rPr>
          <w:t>Return to Table of Contents</w:t>
        </w:r>
      </w:hyperlink>
      <w:r w:rsidR="000E4A48">
        <w:rPr>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65" style="width:0;height:1.5pt" o:hralign="center" o:hrstd="t" o:hrnoshade="t" o:hr="t" fillcolor="black" stroked="f"/>
        </w:pict>
      </w:r>
    </w:p>
    <w:p w:rsidR="00A60E01" w:rsidRDefault="000E4A48">
      <w:pPr>
        <w:pStyle w:val="NormalWeb"/>
        <w:divId w:val="1203010667"/>
        <w:rPr>
          <w:sz w:val="20"/>
          <w:szCs w:val="20"/>
        </w:rPr>
      </w:pPr>
      <w:r>
        <w:rPr>
          <w:sz w:val="20"/>
          <w:szCs w:val="20"/>
        </w:rPr>
        <w:br/>
      </w:r>
    </w:p>
    <w:p w:rsidR="00A60E01" w:rsidRDefault="00A60E01">
      <w:pPr>
        <w:rPr>
          <w:sz w:val="20"/>
          <w:szCs w:val="20"/>
        </w:rPr>
      </w:pPr>
      <w:r>
        <w:rPr>
          <w:sz w:val="20"/>
          <w:szCs w:val="20"/>
        </w:rPr>
        <w:br w:type="page"/>
      </w:r>
    </w:p>
    <w:p w:rsidR="00DD679F" w:rsidRDefault="000E4A48">
      <w:pPr>
        <w:pStyle w:val="NormalWeb"/>
        <w:divId w:val="1203010667"/>
      </w:pPr>
      <w:r>
        <w:rPr>
          <w:sz w:val="20"/>
          <w:szCs w:val="20"/>
        </w:rPr>
        <w:lastRenderedPageBreak/>
        <w:t xml:space="preserve">On August 1, 2006, the Company was notified by </w:t>
      </w:r>
      <w:proofErr w:type="spellStart"/>
      <w:r>
        <w:rPr>
          <w:sz w:val="20"/>
          <w:szCs w:val="20"/>
        </w:rPr>
        <w:t>Bernstien</w:t>
      </w:r>
      <w:proofErr w:type="spellEnd"/>
      <w:r>
        <w:rPr>
          <w:sz w:val="20"/>
          <w:szCs w:val="20"/>
        </w:rPr>
        <w:t xml:space="preserve"> &amp; Pinchuk LLP that they had resigned as the Company's independent auditors. On September 12, 2006 the Company engaged Horwath </w:t>
      </w:r>
      <w:proofErr w:type="spellStart"/>
      <w:r>
        <w:rPr>
          <w:sz w:val="20"/>
          <w:szCs w:val="20"/>
        </w:rPr>
        <w:t>Revisorenrne</w:t>
      </w:r>
      <w:proofErr w:type="spellEnd"/>
      <w:r>
        <w:rPr>
          <w:sz w:val="20"/>
          <w:szCs w:val="20"/>
        </w:rPr>
        <w:t xml:space="preserve">, AS </w:t>
      </w:r>
      <w:proofErr w:type="spellStart"/>
      <w:r>
        <w:rPr>
          <w:sz w:val="20"/>
          <w:szCs w:val="20"/>
        </w:rPr>
        <w:t>Strandvejen</w:t>
      </w:r>
      <w:proofErr w:type="spellEnd"/>
      <w:r>
        <w:rPr>
          <w:sz w:val="20"/>
          <w:szCs w:val="20"/>
        </w:rPr>
        <w:t xml:space="preserve"> 58, Hellerup, Denmark as its certified independent accounting firm/outside auditor.</w:t>
      </w:r>
    </w:p>
    <w:p w:rsidR="00DD679F" w:rsidRDefault="000E4A48">
      <w:pPr>
        <w:pStyle w:val="NormalWeb"/>
        <w:divId w:val="1203010667"/>
      </w:pPr>
      <w:r>
        <w:rPr>
          <w:sz w:val="20"/>
          <w:szCs w:val="20"/>
        </w:rPr>
        <w:t>On September 1, 2006 the Company sold its minority position of 20% of Mobile Group Inc. to KBA Holding ApS for one dollar.</w:t>
      </w:r>
    </w:p>
    <w:p w:rsidR="00DD679F" w:rsidRDefault="000E4A48">
      <w:pPr>
        <w:pStyle w:val="NormalWeb"/>
        <w:divId w:val="1203010667"/>
      </w:pPr>
      <w:r>
        <w:rPr>
          <w:sz w:val="20"/>
          <w:szCs w:val="20"/>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DD679F" w:rsidRDefault="000E4A48">
      <w:pPr>
        <w:pStyle w:val="NormalWeb"/>
        <w:divId w:val="1203010667"/>
      </w:pPr>
      <w:r>
        <w:rPr>
          <w:sz w:val="20"/>
          <w:szCs w:val="20"/>
        </w:rPr>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DD679F" w:rsidRDefault="000E4A48">
      <w:pPr>
        <w:pStyle w:val="NormalWeb"/>
        <w:divId w:val="1203010667"/>
      </w:pPr>
      <w:r>
        <w:rPr>
          <w:sz w:val="20"/>
          <w:szCs w:val="20"/>
        </w:rPr>
        <w:t xml:space="preserve">On March 04, 2011, the Company was notified by </w:t>
      </w:r>
      <w:proofErr w:type="spellStart"/>
      <w:r>
        <w:rPr>
          <w:sz w:val="20"/>
          <w:szCs w:val="20"/>
        </w:rPr>
        <w:t>Howarth</w:t>
      </w:r>
      <w:proofErr w:type="spellEnd"/>
      <w:r>
        <w:rPr>
          <w:sz w:val="20"/>
          <w:szCs w:val="20"/>
        </w:rPr>
        <w:t xml:space="preserve">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DD679F" w:rsidRDefault="000E4A48">
      <w:pPr>
        <w:pStyle w:val="NormalWeb"/>
        <w:divId w:val="1496267331"/>
      </w:pPr>
      <w:r>
        <w:rPr>
          <w:sz w:val="20"/>
          <w:szCs w:val="20"/>
        </w:rPr>
        <w:t xml:space="preserve">On March 04, 2011 the Company has engaged Chr. Mortensen - Revisionsfirma, </w:t>
      </w:r>
      <w:proofErr w:type="spellStart"/>
      <w:r>
        <w:rPr>
          <w:sz w:val="20"/>
          <w:szCs w:val="20"/>
        </w:rPr>
        <w:t>statsautoriseret</w:t>
      </w:r>
      <w:proofErr w:type="spellEnd"/>
      <w:r>
        <w:rPr>
          <w:sz w:val="20"/>
          <w:szCs w:val="20"/>
        </w:rPr>
        <w:t xml:space="preserve"> </w:t>
      </w:r>
      <w:proofErr w:type="spellStart"/>
      <w:r>
        <w:rPr>
          <w:sz w:val="20"/>
          <w:szCs w:val="20"/>
        </w:rPr>
        <w:t>revisionsinteressentskab</w:t>
      </w:r>
      <w:proofErr w:type="spellEnd"/>
      <w:r>
        <w:rPr>
          <w:sz w:val="20"/>
          <w:szCs w:val="20"/>
        </w:rPr>
        <w:t xml:space="preserve">, </w:t>
      </w:r>
      <w:proofErr w:type="spellStart"/>
      <w:r>
        <w:rPr>
          <w:sz w:val="20"/>
          <w:szCs w:val="20"/>
        </w:rPr>
        <w:t>Adelgade</w:t>
      </w:r>
      <w:proofErr w:type="spellEnd"/>
      <w:r>
        <w:rPr>
          <w:sz w:val="20"/>
          <w:szCs w:val="20"/>
        </w:rPr>
        <w:t xml:space="preserve"> 15, Copenhagen, 1304, Denmark Telephone +45 3373 4600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3D5E94" w:rsidRDefault="003D5E94">
      <w:pPr>
        <w:pStyle w:val="NormalWeb"/>
        <w:divId w:val="1203010667"/>
      </w:pPr>
      <w:r>
        <w:rPr>
          <w:sz w:val="20"/>
          <w:szCs w:val="20"/>
        </w:rPr>
        <w:t>On December 5, 2014, the Company effected a reverse stock split of all the outstanding shares of our common stock at an exchange ratio of one for twenty (1:20) (the “Reverse Stock Split”) and changed the number our authorized shares of common stock, par value $0.01 per share, from 90,000,000 to 60,000,000 while maintaining the number of authorized shares of preferred stock, par value $0.01 per share, at 10,000,000 (the “Amendment”). Immediately prior to the effectiveness of the Amendment, we had outstanding 45,853,585 shares of common stock. As a result of the Amendment, the 45,853,585 shares of common stock outstanding have been reduced to approximately 2,292,945 shares of common stock (taking into account the rounding up of fractional share interests). The Reverse Stock Split described hereunder became market effective on December 8, 2014.</w:t>
      </w:r>
    </w:p>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sz w:val="20"/>
          <w:szCs w:val="20"/>
        </w:rPr>
      </w:pPr>
      <w:r>
        <w:rPr>
          <w:rFonts w:eastAsia="Times New Roman"/>
          <w:sz w:val="20"/>
          <w:szCs w:val="20"/>
        </w:rPr>
        <w:pict>
          <v:rect id="_x0000_i1066" style="width:0;height:1.5pt" o:hralign="center" o:hrstd="t" o:hrnoshade="t" o:hr="t" fillcolor="black" stroked="f"/>
        </w:pict>
      </w:r>
    </w:p>
    <w:p w:rsidR="00A60E01" w:rsidRDefault="000E4A48">
      <w:pPr>
        <w:pStyle w:val="NormalWeb"/>
        <w:divId w:val="1203010667"/>
      </w:pPr>
      <w:r>
        <w:t> </w:t>
      </w:r>
    </w:p>
    <w:p w:rsidR="00A60E01" w:rsidRDefault="00A60E01">
      <w:r>
        <w:br w:type="page"/>
      </w:r>
    </w:p>
    <w:p w:rsidR="00DD679F" w:rsidRDefault="000E4A48">
      <w:pPr>
        <w:pStyle w:val="NormalWeb"/>
        <w:divId w:val="1203010667"/>
      </w:pPr>
      <w:r>
        <w:rPr>
          <w:b/>
          <w:bCs/>
          <w:sz w:val="20"/>
          <w:szCs w:val="20"/>
        </w:rPr>
        <w:lastRenderedPageBreak/>
        <w:t xml:space="preserve">ITEM 3. Quantitative and Qualitative Disclosures </w:t>
      </w:r>
      <w:proofErr w:type="gramStart"/>
      <w:r>
        <w:rPr>
          <w:b/>
          <w:bCs/>
          <w:sz w:val="20"/>
          <w:szCs w:val="20"/>
        </w:rPr>
        <w:t>About</w:t>
      </w:r>
      <w:proofErr w:type="gramEnd"/>
      <w:r>
        <w:rPr>
          <w:b/>
          <w:bCs/>
          <w:sz w:val="20"/>
          <w:szCs w:val="20"/>
        </w:rPr>
        <w:t xml:space="preserve"> Market Risk:</w:t>
      </w:r>
    </w:p>
    <w:p w:rsidR="00DD679F" w:rsidRDefault="000E4A48">
      <w:pPr>
        <w:pStyle w:val="NormalWeb"/>
        <w:divId w:val="1203010667"/>
      </w:pPr>
      <w:r>
        <w:rPr>
          <w:sz w:val="20"/>
          <w:szCs w:val="20"/>
        </w:rPr>
        <w:t>Smaller reporting companies are not required to provide the information required by this Item.</w:t>
      </w:r>
    </w:p>
    <w:p w:rsidR="00DD679F" w:rsidRDefault="000E4A48">
      <w:pPr>
        <w:pStyle w:val="NormalWeb"/>
        <w:divId w:val="1203010667"/>
      </w:pPr>
      <w:r>
        <w:rPr>
          <w:b/>
          <w:bCs/>
          <w:sz w:val="20"/>
          <w:szCs w:val="20"/>
        </w:rPr>
        <w:t>ITEM 4. CONTROLS AND PROCEDURES</w:t>
      </w:r>
    </w:p>
    <w:p w:rsidR="00DD679F" w:rsidRDefault="000E4A48">
      <w:pPr>
        <w:pStyle w:val="NormalWeb"/>
        <w:divId w:val="1203010667"/>
      </w:pPr>
      <w:r>
        <w:rPr>
          <w:sz w:val="20"/>
          <w:szCs w:val="20"/>
        </w:rPr>
        <w:t>EVALUATION OF DISCLOSURE CONTROLS AND PROCEDURES</w:t>
      </w:r>
    </w:p>
    <w:p w:rsidR="00DD679F" w:rsidRDefault="000E4A48">
      <w:pPr>
        <w:pStyle w:val="NormalWeb"/>
        <w:divId w:val="1203010667"/>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December 31, 2015 that our disclosure controls and procedures were effective at ensuring that the material information required to be disclosed in the Exchange Act reports is recorded, processed, summarized and reported as required in applicable SEC rules and forms.</w:t>
      </w:r>
    </w:p>
    <w:p w:rsidR="00DD679F" w:rsidRDefault="000E4A48">
      <w:pPr>
        <w:pStyle w:val="NormalWeb"/>
        <w:divId w:val="1203010667"/>
      </w:pPr>
      <w:r>
        <w:rPr>
          <w:sz w:val="20"/>
          <w:szCs w:val="20"/>
        </w:rPr>
        <w:t>During the quarter ended December 31, 2013,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DD679F" w:rsidRDefault="000E4A48">
      <w:pPr>
        <w:divId w:val="1203010667"/>
        <w:rPr>
          <w:rFonts w:eastAsia="Times New Roman"/>
          <w:b/>
          <w:bCs/>
          <w:sz w:val="20"/>
          <w:szCs w:val="20"/>
        </w:rPr>
      </w:pPr>
      <w:r>
        <w:rPr>
          <w:rFonts w:eastAsia="Times New Roman"/>
          <w:b/>
          <w:bCs/>
          <w:sz w:val="20"/>
          <w:szCs w:val="20"/>
        </w:rPr>
        <w:t xml:space="preserve">PART II </w:t>
      </w:r>
    </w:p>
    <w:p w:rsidR="00DD679F" w:rsidRDefault="000E4A48">
      <w:pPr>
        <w:pStyle w:val="NormalWeb"/>
        <w:divId w:val="1203010667"/>
        <w:rPr>
          <w:b/>
          <w:bCs/>
          <w:sz w:val="20"/>
          <w:szCs w:val="20"/>
        </w:rPr>
      </w:pPr>
      <w:r>
        <w:rPr>
          <w:b/>
          <w:bCs/>
          <w:sz w:val="20"/>
          <w:szCs w:val="20"/>
        </w:rPr>
        <w:t>ITEM 1: LEGAL PROCEEDINGS</w:t>
      </w:r>
    </w:p>
    <w:p w:rsidR="00DD679F" w:rsidRDefault="000E4A48">
      <w:pPr>
        <w:pStyle w:val="NormalWeb"/>
        <w:divId w:val="1203010667"/>
        <w:rPr>
          <w:sz w:val="20"/>
          <w:szCs w:val="20"/>
        </w:rPr>
      </w:pPr>
      <w:r>
        <w:rPr>
          <w:sz w:val="20"/>
          <w:szCs w:val="20"/>
        </w:rPr>
        <w:t xml:space="preserve">During the period ending </w:t>
      </w:r>
      <w:r w:rsidR="008B065A">
        <w:rPr>
          <w:sz w:val="20"/>
          <w:szCs w:val="20"/>
        </w:rPr>
        <w:t>December 31</w:t>
      </w:r>
      <w:r>
        <w:rPr>
          <w:sz w:val="20"/>
          <w:szCs w:val="20"/>
        </w:rPr>
        <w:t>, 2015, there were pending or threatened legal actions as follows: None</w:t>
      </w:r>
    </w:p>
    <w:p w:rsidR="00DD679F" w:rsidRDefault="000E4A48">
      <w:pPr>
        <w:pStyle w:val="NormalWeb"/>
        <w:divId w:val="1203010667"/>
      </w:pPr>
      <w:r>
        <w:t> </w:t>
      </w:r>
      <w:r>
        <w:rPr>
          <w:b/>
          <w:bCs/>
          <w:sz w:val="20"/>
          <w:szCs w:val="20"/>
        </w:rPr>
        <w:t>ITEM 2. UNREGISTERED SALES OF EQUITY SECURITIES AND USE OF PROCEEDS</w:t>
      </w:r>
    </w:p>
    <w:p w:rsidR="00DD679F" w:rsidRDefault="000E4A48">
      <w:pPr>
        <w:pStyle w:val="NormalWeb"/>
        <w:divId w:val="1203010667"/>
      </w:pPr>
      <w:r>
        <w:rPr>
          <w:sz w:val="20"/>
          <w:szCs w:val="20"/>
        </w:rPr>
        <w:t>None</w:t>
      </w:r>
    </w:p>
    <w:p w:rsidR="00DD679F" w:rsidRDefault="000B193D">
      <w:pPr>
        <w:pStyle w:val="NormalWeb"/>
        <w:divId w:val="1203010667"/>
      </w:pPr>
      <w:hyperlink w:anchor="toc" w:history="1">
        <w:r w:rsidR="000E4A48">
          <w:rPr>
            <w:rStyle w:val="Hyperlink"/>
            <w:b/>
            <w:bCs/>
            <w:sz w:val="20"/>
            <w:szCs w:val="20"/>
          </w:rPr>
          <w:t>Return to Table of Contents</w:t>
        </w:r>
      </w:hyperlink>
    </w:p>
    <w:p w:rsidR="00DD679F" w:rsidRDefault="000B193D">
      <w:pPr>
        <w:divId w:val="1203010667"/>
        <w:rPr>
          <w:rFonts w:eastAsia="Times New Roman"/>
        </w:rPr>
      </w:pPr>
      <w:r>
        <w:rPr>
          <w:rFonts w:eastAsia="Times New Roman"/>
        </w:rPr>
        <w:pict>
          <v:rect id="_x0000_i1067" style="width:0;height:1.5pt" o:hralign="center" o:hrstd="t" o:hrnoshade="t" o:hr="t" fillcolor="black" stroked="f"/>
        </w:pict>
      </w:r>
    </w:p>
    <w:p w:rsidR="00A60E01" w:rsidRDefault="000E4A48">
      <w:pPr>
        <w:pStyle w:val="NormalWeb"/>
        <w:divId w:val="1203010667"/>
      </w:pPr>
      <w:r>
        <w:t> </w:t>
      </w:r>
    </w:p>
    <w:p w:rsidR="00A60E01" w:rsidRDefault="00A60E01">
      <w:r>
        <w:br w:type="page"/>
      </w:r>
    </w:p>
    <w:p w:rsidR="00DD679F" w:rsidRDefault="000E4A48">
      <w:pPr>
        <w:pStyle w:val="NormalWeb"/>
        <w:divId w:val="1203010667"/>
      </w:pPr>
      <w:r>
        <w:rPr>
          <w:b/>
          <w:bCs/>
          <w:sz w:val="20"/>
          <w:szCs w:val="20"/>
        </w:rPr>
        <w:lastRenderedPageBreak/>
        <w:t>ITEM 3. DEFAULTS UPON SENIOR SECURITIES</w:t>
      </w:r>
    </w:p>
    <w:p w:rsidR="00DD679F" w:rsidRDefault="000E4A48">
      <w:pPr>
        <w:pStyle w:val="NormalWeb"/>
        <w:divId w:val="1203010667"/>
      </w:pPr>
      <w:r>
        <w:rPr>
          <w:sz w:val="20"/>
          <w:szCs w:val="20"/>
        </w:rPr>
        <w:t>None</w:t>
      </w:r>
    </w:p>
    <w:p w:rsidR="00DD679F" w:rsidRDefault="000E4A48">
      <w:pPr>
        <w:pStyle w:val="NormalWeb"/>
        <w:divId w:val="1203010667"/>
      </w:pPr>
      <w:r>
        <w:rPr>
          <w:b/>
          <w:bCs/>
          <w:sz w:val="20"/>
          <w:szCs w:val="20"/>
        </w:rPr>
        <w:t>ITEM 4. MINE SAFETY DISCLOSURES</w:t>
      </w:r>
    </w:p>
    <w:p w:rsidR="00DD679F" w:rsidRDefault="000E4A48">
      <w:pPr>
        <w:pStyle w:val="NormalWeb"/>
        <w:divId w:val="1203010667"/>
      </w:pPr>
      <w:r>
        <w:rPr>
          <w:sz w:val="20"/>
          <w:szCs w:val="20"/>
        </w:rPr>
        <w:t>None</w:t>
      </w:r>
    </w:p>
    <w:p w:rsidR="00DD679F" w:rsidRDefault="000E4A48">
      <w:pPr>
        <w:pStyle w:val="NormalWeb"/>
        <w:divId w:val="1203010667"/>
      </w:pPr>
      <w:r>
        <w:rPr>
          <w:b/>
          <w:bCs/>
          <w:sz w:val="20"/>
          <w:szCs w:val="20"/>
        </w:rPr>
        <w:t>ITEM 5. OTHER INFORMATION</w:t>
      </w:r>
    </w:p>
    <w:p w:rsidR="00DD679F" w:rsidRDefault="000E4A48">
      <w:pPr>
        <w:pStyle w:val="NormalWeb"/>
        <w:divId w:val="1203010667"/>
      </w:pPr>
      <w:r>
        <w:rPr>
          <w:sz w:val="20"/>
          <w:szCs w:val="20"/>
        </w:rPr>
        <w:t>None</w:t>
      </w:r>
    </w:p>
    <w:p w:rsidR="00DD679F" w:rsidRDefault="000E4A48">
      <w:pPr>
        <w:pStyle w:val="NormalWeb"/>
        <w:divId w:val="1203010667"/>
      </w:pPr>
      <w:r>
        <w:rPr>
          <w:b/>
          <w:bCs/>
          <w:sz w:val="20"/>
          <w:szCs w:val="20"/>
        </w:rPr>
        <w:t>ITEM 6: EXHIBITS AND REPORTS ON FORM 8-K</w:t>
      </w:r>
    </w:p>
    <w:p w:rsidR="00DD679F" w:rsidRDefault="000E4A48">
      <w:pPr>
        <w:pStyle w:val="NormalWeb"/>
        <w:divId w:val="1203010667"/>
      </w:pPr>
      <w:r>
        <w:rPr>
          <w:sz w:val="20"/>
          <w:szCs w:val="20"/>
        </w:rPr>
        <w:t>During the 3 month period ending December 31, 2015, the Company filed no reports on Form 8-K.</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9688"/>
      </w:tblGrid>
      <w:tr w:rsidR="00DD679F">
        <w:trPr>
          <w:divId w:val="1203010667"/>
        </w:trPr>
        <w:tc>
          <w:tcPr>
            <w:tcW w:w="500" w:type="pct"/>
            <w:tcBorders>
              <w:top w:val="nil"/>
              <w:left w:val="nil"/>
              <w:bottom w:val="single" w:sz="8" w:space="0" w:color="auto"/>
              <w:right w:val="nil"/>
            </w:tcBorders>
            <w:shd w:val="clear" w:color="auto" w:fill="CCEEFF"/>
            <w:vAlign w:val="bottom"/>
            <w:hideMark/>
          </w:tcPr>
          <w:p w:rsidR="00DD679F" w:rsidRDefault="000B193D" w:rsidP="000B193D">
            <w:pPr>
              <w:pStyle w:val="NormalWeb"/>
              <w:spacing w:before="0" w:beforeAutospacing="0" w:after="0" w:afterAutospacing="0"/>
            </w:pPr>
            <w:r>
              <w:rPr>
                <w:b/>
                <w:bCs/>
                <w:sz w:val="16"/>
                <w:szCs w:val="16"/>
              </w:rPr>
              <w:t>Exhibit</w:t>
            </w:r>
            <w:r>
              <w:rPr>
                <w:b/>
                <w:bCs/>
                <w:sz w:val="16"/>
                <w:szCs w:val="16"/>
              </w:rPr>
              <w:br/>
              <w:t xml:space="preserve">Number </w:t>
            </w:r>
            <w:bookmarkStart w:id="4" w:name="_GoBack"/>
            <w:bookmarkEnd w:id="4"/>
          </w:p>
        </w:tc>
        <w:tc>
          <w:tcPr>
            <w:tcW w:w="4350" w:type="pct"/>
            <w:tcBorders>
              <w:top w:val="nil"/>
              <w:left w:val="nil"/>
              <w:bottom w:val="single" w:sz="8" w:space="0" w:color="auto"/>
              <w:right w:val="nil"/>
            </w:tcBorders>
            <w:shd w:val="clear" w:color="auto" w:fill="CCEEFF"/>
            <w:vAlign w:val="bottom"/>
            <w:hideMark/>
          </w:tcPr>
          <w:p w:rsidR="00DD679F" w:rsidRDefault="000E4A48">
            <w:pPr>
              <w:pStyle w:val="NormalWeb"/>
              <w:spacing w:before="0" w:beforeAutospacing="0" w:after="0" w:afterAutospacing="0"/>
              <w:jc w:val="center"/>
            </w:pPr>
            <w:r>
              <w:rPr>
                <w:b/>
                <w:bCs/>
                <w:sz w:val="16"/>
                <w:szCs w:val="16"/>
              </w:rPr>
              <w:t>Description of the Document</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3.1</w:t>
            </w:r>
          </w:p>
        </w:tc>
        <w:tc>
          <w:tcPr>
            <w:tcW w:w="435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rPr>
                <w:rFonts w:eastAsia="Times New Roman"/>
              </w:rPr>
            </w:pPr>
            <w:r>
              <w:rPr>
                <w:rFonts w:eastAsia="Times New Roman"/>
                <w:sz w:val="20"/>
                <w:szCs w:val="20"/>
              </w:rPr>
              <w:t>Certificate of Incorporation as Amended and filed with the Secretary of State of Delaware effective on December 5, 2014(1)</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3.2</w:t>
            </w:r>
          </w:p>
        </w:tc>
        <w:tc>
          <w:tcPr>
            <w:tcW w:w="435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rPr>
                <w:rFonts w:eastAsia="Times New Roman"/>
              </w:rPr>
            </w:pPr>
            <w:r>
              <w:rPr>
                <w:rFonts w:eastAsia="Times New Roman"/>
                <w:sz w:val="20"/>
                <w:szCs w:val="20"/>
              </w:rPr>
              <w:t>Bylaws.(1)</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pPr>
            <w:r>
              <w:rPr>
                <w:sz w:val="20"/>
                <w:szCs w:val="20"/>
              </w:rPr>
              <w:t>31.1</w:t>
            </w:r>
          </w:p>
        </w:tc>
        <w:tc>
          <w:tcPr>
            <w:tcW w:w="435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ind w:left="200" w:hanging="200"/>
            </w:pPr>
            <w:r>
              <w:rPr>
                <w:sz w:val="20"/>
                <w:szCs w:val="20"/>
              </w:rPr>
              <w:t>Certification of Chief Executive Officer pursuant to Exchange Act Rule 13a-14(a)/15d-14(a), as adopted pursuant to Section 302 of the Sarbanes-Oxley Act of 2002.</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pPr>
            <w:r>
              <w:rPr>
                <w:sz w:val="20"/>
                <w:szCs w:val="20"/>
              </w:rPr>
              <w:t>31.2</w:t>
            </w:r>
          </w:p>
        </w:tc>
        <w:tc>
          <w:tcPr>
            <w:tcW w:w="435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ind w:left="200" w:hanging="200"/>
            </w:pPr>
            <w:r>
              <w:rPr>
                <w:sz w:val="20"/>
                <w:szCs w:val="20"/>
              </w:rPr>
              <w:t>Certification of Chief Financial Officer pursuant to Exchange Act Rule 13a-14(a)/15d-14(a), as adopted pursuant to Section 302 of the Sarbanes-Oxley Act of 2002.</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pPr>
            <w:r>
              <w:rPr>
                <w:sz w:val="20"/>
                <w:szCs w:val="20"/>
              </w:rPr>
              <w:t>32.1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ind w:left="200" w:hanging="200"/>
            </w:pPr>
            <w:r>
              <w:rPr>
                <w:sz w:val="20"/>
                <w:szCs w:val="20"/>
              </w:rPr>
              <w:t>Certification of Chief Executive Officer in accordance with 18 U.S.C. Section 1350, as adopted pursuant to Section 906 of the Sarbanes-Oxley Act of 2002.</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pPr>
            <w:r>
              <w:rPr>
                <w:sz w:val="20"/>
                <w:szCs w:val="20"/>
              </w:rPr>
              <w:t>32.2</w:t>
            </w:r>
          </w:p>
        </w:tc>
        <w:tc>
          <w:tcPr>
            <w:tcW w:w="435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ind w:left="200" w:hanging="200"/>
            </w:pPr>
            <w:r>
              <w:rPr>
                <w:sz w:val="20"/>
                <w:szCs w:val="20"/>
              </w:rPr>
              <w:t>Certification of Chief Financial Officer in accordance with 18 U.S.C. Section 1350, as adopted pursuant to Section 906 of the Sarbanes-Oxley Act of 2002.</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pPr>
            <w:r>
              <w:rPr>
                <w:sz w:val="20"/>
                <w:szCs w:val="20"/>
              </w:rPr>
              <w:t>101.INS</w:t>
            </w:r>
          </w:p>
        </w:tc>
        <w:tc>
          <w:tcPr>
            <w:tcW w:w="435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ind w:left="200" w:hanging="200"/>
            </w:pPr>
            <w:r>
              <w:rPr>
                <w:sz w:val="20"/>
                <w:szCs w:val="20"/>
              </w:rPr>
              <w:t>XBRL Instance</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pPr>
            <w:r>
              <w:rPr>
                <w:sz w:val="20"/>
                <w:szCs w:val="20"/>
              </w:rPr>
              <w:t>101.SCH</w:t>
            </w:r>
          </w:p>
        </w:tc>
        <w:tc>
          <w:tcPr>
            <w:tcW w:w="435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ind w:left="200" w:hanging="200"/>
            </w:pPr>
            <w:r>
              <w:rPr>
                <w:sz w:val="20"/>
                <w:szCs w:val="20"/>
              </w:rPr>
              <w:t>XBRL Taxonomy Extension Schema Document</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pPr>
            <w:r>
              <w:rPr>
                <w:sz w:val="20"/>
                <w:szCs w:val="20"/>
              </w:rPr>
              <w:t>101.CAL</w:t>
            </w:r>
          </w:p>
        </w:tc>
        <w:tc>
          <w:tcPr>
            <w:tcW w:w="435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ind w:left="200" w:hanging="200"/>
            </w:pPr>
            <w:r>
              <w:rPr>
                <w:sz w:val="20"/>
                <w:szCs w:val="20"/>
              </w:rPr>
              <w:t>XBRL Taxonomy Extension Calculation Linkbase Document</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pPr>
            <w:r>
              <w:rPr>
                <w:sz w:val="20"/>
                <w:szCs w:val="20"/>
              </w:rPr>
              <w:t>101.DEF</w:t>
            </w:r>
          </w:p>
        </w:tc>
        <w:tc>
          <w:tcPr>
            <w:tcW w:w="435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ind w:left="200" w:hanging="200"/>
            </w:pPr>
            <w:r>
              <w:rPr>
                <w:sz w:val="20"/>
                <w:szCs w:val="20"/>
              </w:rPr>
              <w:t>XBRL Taxonomy Extension Definition Linkbase Document</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pPr>
            <w:r>
              <w:rPr>
                <w:sz w:val="20"/>
                <w:szCs w:val="20"/>
              </w:rPr>
              <w:t>101.LAB</w:t>
            </w:r>
          </w:p>
        </w:tc>
        <w:tc>
          <w:tcPr>
            <w:tcW w:w="4350" w:type="pct"/>
            <w:tcBorders>
              <w:top w:val="outset" w:sz="6" w:space="0" w:color="auto"/>
              <w:left w:val="outset" w:sz="6" w:space="0" w:color="auto"/>
              <w:bottom w:val="outset" w:sz="6" w:space="0" w:color="auto"/>
              <w:right w:val="outset" w:sz="6" w:space="0" w:color="auto"/>
            </w:tcBorders>
            <w:shd w:val="clear" w:color="auto" w:fill="FFFFFF"/>
            <w:hideMark/>
          </w:tcPr>
          <w:p w:rsidR="00DD679F" w:rsidRDefault="000E4A48">
            <w:pPr>
              <w:pStyle w:val="NormalWeb"/>
              <w:spacing w:before="0" w:beforeAutospacing="0" w:after="0" w:afterAutospacing="0"/>
              <w:ind w:left="200" w:hanging="200"/>
            </w:pPr>
            <w:r>
              <w:rPr>
                <w:sz w:val="20"/>
                <w:szCs w:val="20"/>
              </w:rPr>
              <w:t>XBRL Taxonomy Extension Labels Linkbase Document</w:t>
            </w:r>
          </w:p>
        </w:tc>
      </w:tr>
      <w:tr w:rsidR="00DD679F">
        <w:trPr>
          <w:divId w:val="1203010667"/>
        </w:trPr>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pPr>
            <w:r>
              <w:rPr>
                <w:sz w:val="20"/>
                <w:szCs w:val="20"/>
              </w:rPr>
              <w:t>101.PRE</w:t>
            </w:r>
          </w:p>
        </w:tc>
        <w:tc>
          <w:tcPr>
            <w:tcW w:w="4350" w:type="pct"/>
            <w:tcBorders>
              <w:top w:val="outset" w:sz="6" w:space="0" w:color="auto"/>
              <w:left w:val="outset" w:sz="6" w:space="0" w:color="auto"/>
              <w:bottom w:val="outset" w:sz="6" w:space="0" w:color="auto"/>
              <w:right w:val="outset" w:sz="6" w:space="0" w:color="auto"/>
            </w:tcBorders>
            <w:shd w:val="clear" w:color="auto" w:fill="CCEEFF"/>
            <w:hideMark/>
          </w:tcPr>
          <w:p w:rsidR="00DD679F" w:rsidRDefault="000E4A48">
            <w:pPr>
              <w:pStyle w:val="NormalWeb"/>
              <w:spacing w:before="0" w:beforeAutospacing="0" w:after="0" w:afterAutospacing="0"/>
              <w:ind w:left="200" w:hanging="200"/>
            </w:pPr>
            <w:r>
              <w:rPr>
                <w:sz w:val="20"/>
                <w:szCs w:val="20"/>
              </w:rPr>
              <w:t xml:space="preserve">XBRL Taxonomy Extension Presentation Linkbase Document </w:t>
            </w:r>
          </w:p>
        </w:tc>
      </w:tr>
    </w:tbl>
    <w:p w:rsidR="00DD679F" w:rsidRDefault="000E4A48">
      <w:pPr>
        <w:pStyle w:val="NormalWeb"/>
        <w:spacing w:before="0" w:beforeAutospacing="0" w:after="0" w:afterAutospacing="0"/>
        <w:divId w:val="1203010667"/>
        <w:rPr>
          <w:color w:val="000000"/>
          <w:sz w:val="27"/>
          <w:szCs w:val="27"/>
        </w:rPr>
      </w:pPr>
      <w:r>
        <w:rPr>
          <w:color w:val="000000"/>
          <w:sz w:val="27"/>
          <w:szCs w:val="27"/>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5"/>
        <w:gridCol w:w="10490"/>
      </w:tblGrid>
      <w:tr w:rsidR="00DD679F">
        <w:trPr>
          <w:divId w:val="1203010667"/>
          <w:tblCellSpacing w:w="0" w:type="dxa"/>
        </w:trPr>
        <w:tc>
          <w:tcPr>
            <w:tcW w:w="0" w:type="auto"/>
            <w:shd w:val="clear" w:color="auto" w:fill="auto"/>
            <w:hideMark/>
          </w:tcPr>
          <w:p w:rsidR="00DD679F" w:rsidRDefault="000E4A48">
            <w:pPr>
              <w:rPr>
                <w:rFonts w:eastAsia="Times New Roman"/>
                <w:sz w:val="20"/>
                <w:szCs w:val="20"/>
              </w:rPr>
            </w:pPr>
            <w:r>
              <w:rPr>
                <w:rFonts w:eastAsia="Times New Roman"/>
                <w:sz w:val="20"/>
                <w:szCs w:val="20"/>
              </w:rPr>
              <w:t>(1)</w:t>
            </w:r>
          </w:p>
        </w:tc>
        <w:tc>
          <w:tcPr>
            <w:tcW w:w="0" w:type="auto"/>
            <w:shd w:val="clear" w:color="auto" w:fill="auto"/>
            <w:hideMark/>
          </w:tcPr>
          <w:p w:rsidR="00DD679F" w:rsidRDefault="000E4A48">
            <w:pPr>
              <w:rPr>
                <w:rFonts w:eastAsia="Times New Roman"/>
                <w:sz w:val="20"/>
                <w:szCs w:val="20"/>
              </w:rPr>
            </w:pPr>
            <w:r>
              <w:rPr>
                <w:rFonts w:eastAsia="Times New Roman"/>
                <w:sz w:val="20"/>
                <w:szCs w:val="20"/>
              </w:rPr>
              <w:t> </w:t>
            </w:r>
          </w:p>
        </w:tc>
        <w:tc>
          <w:tcPr>
            <w:tcW w:w="0" w:type="auto"/>
            <w:shd w:val="clear" w:color="auto" w:fill="auto"/>
            <w:hideMark/>
          </w:tcPr>
          <w:p w:rsidR="00DD679F" w:rsidRDefault="000E4A48">
            <w:pPr>
              <w:spacing w:line="276" w:lineRule="auto"/>
              <w:jc w:val="both"/>
              <w:rPr>
                <w:rFonts w:eastAsia="Times New Roman"/>
                <w:sz w:val="20"/>
                <w:szCs w:val="20"/>
              </w:rPr>
            </w:pPr>
            <w:r>
              <w:rPr>
                <w:rFonts w:eastAsia="Times New Roman"/>
                <w:sz w:val="20"/>
                <w:szCs w:val="20"/>
              </w:rPr>
              <w:t>Filed as an exhibit to the Company's 8-K filed with the SEC on December 5, 2014 and incorporated herein by reference.</w:t>
            </w:r>
          </w:p>
        </w:tc>
      </w:tr>
    </w:tbl>
    <w:p w:rsidR="00DD679F" w:rsidRDefault="000E4A48">
      <w:pPr>
        <w:divId w:val="1203010667"/>
        <w:rPr>
          <w:rFonts w:eastAsia="Times New Roman"/>
          <w:sz w:val="20"/>
          <w:szCs w:val="20"/>
        </w:rPr>
      </w:pPr>
      <w:r>
        <w:rPr>
          <w:rFonts w:eastAsia="Times New Roman"/>
        </w:rPr>
        <w:br/>
      </w: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DD679F" w:rsidRDefault="000B193D">
      <w:pPr>
        <w:divId w:val="1203010667"/>
        <w:rPr>
          <w:rFonts w:eastAsia="Times New Roman"/>
          <w:sz w:val="20"/>
          <w:szCs w:val="20"/>
        </w:rPr>
      </w:pPr>
      <w:r>
        <w:rPr>
          <w:rFonts w:eastAsia="Times New Roman"/>
          <w:sz w:val="20"/>
          <w:szCs w:val="20"/>
        </w:rPr>
        <w:pict>
          <v:rect id="_x0000_i1068" style="width:0;height:1.5pt" o:hralign="center" o:hrstd="t" o:hrnoshade="t" o:hr="t" fillcolor="black" stroked="f"/>
        </w:pict>
      </w:r>
    </w:p>
    <w:p w:rsidR="00DD679F" w:rsidRDefault="000E4A48">
      <w:pPr>
        <w:pStyle w:val="NormalWeb"/>
        <w:spacing w:before="0" w:beforeAutospacing="0" w:after="0" w:afterAutospacing="0"/>
        <w:divId w:val="1203010667"/>
        <w:rPr>
          <w:color w:val="000000"/>
          <w:sz w:val="27"/>
          <w:szCs w:val="27"/>
        </w:rPr>
      </w:pPr>
      <w:r>
        <w:rPr>
          <w:color w:val="000000"/>
          <w:sz w:val="20"/>
          <w:szCs w:val="20"/>
        </w:rPr>
        <w:t> </w:t>
      </w:r>
    </w:p>
    <w:p w:rsidR="00DD679F" w:rsidRDefault="00DD679F">
      <w:pPr>
        <w:pStyle w:val="NormalWeb"/>
        <w:divId w:val="1203010667"/>
      </w:pPr>
    </w:p>
    <w:p w:rsidR="00A60E01" w:rsidRDefault="00A60E01">
      <w:pPr>
        <w:rPr>
          <w:sz w:val="20"/>
          <w:szCs w:val="20"/>
        </w:rPr>
      </w:pPr>
      <w:r>
        <w:rPr>
          <w:sz w:val="20"/>
          <w:szCs w:val="20"/>
        </w:rPr>
        <w:br w:type="page"/>
      </w:r>
    </w:p>
    <w:p w:rsidR="00DD679F" w:rsidRDefault="000E4A48">
      <w:pPr>
        <w:pStyle w:val="NormalWeb"/>
        <w:divId w:val="1203010667"/>
      </w:pPr>
      <w:r>
        <w:rPr>
          <w:sz w:val="20"/>
          <w:szCs w:val="20"/>
        </w:rPr>
        <w:lastRenderedPageBreak/>
        <w:t xml:space="preserve">SIGNATURE </w:t>
      </w:r>
    </w:p>
    <w:p w:rsidR="00DD679F" w:rsidRDefault="000E4A48">
      <w:pPr>
        <w:pStyle w:val="NormalWeb"/>
        <w:divId w:val="1203010667"/>
      </w:pPr>
      <w:r>
        <w:rPr>
          <w:sz w:val="20"/>
          <w:szCs w:val="20"/>
        </w:rPr>
        <w:t xml:space="preserve">In accordance with the requirements of the Exchange Act, the Registrant has caused this report to be signed on its behalf by the undersigned, thereunto duly authorized. </w:t>
      </w:r>
    </w:p>
    <w:p w:rsidR="00DD679F" w:rsidRDefault="000E4A48">
      <w:pPr>
        <w:pStyle w:val="NormalWeb"/>
        <w:divId w:val="1203010667"/>
      </w:pPr>
      <w:r>
        <w:rPr>
          <w:sz w:val="20"/>
          <w:szCs w:val="20"/>
        </w:rPr>
        <w:t xml:space="preserve">Date: </w:t>
      </w:r>
      <w:r w:rsidR="00BE302D">
        <w:rPr>
          <w:sz w:val="20"/>
          <w:szCs w:val="20"/>
        </w:rPr>
        <w:t>February 9</w:t>
      </w:r>
      <w:r>
        <w:rPr>
          <w:sz w:val="20"/>
          <w:szCs w:val="20"/>
        </w:rPr>
        <w:t>, 2016</w:t>
      </w:r>
    </w:p>
    <w:p w:rsidR="00DD679F" w:rsidRDefault="000E4A48">
      <w:pPr>
        <w:pStyle w:val="NormalWeb"/>
        <w:divId w:val="1203010667"/>
      </w:pPr>
      <w:r>
        <w:rPr>
          <w:sz w:val="20"/>
          <w:szCs w:val="20"/>
        </w:rPr>
        <w:t> </w:t>
      </w:r>
    </w:p>
    <w:p w:rsidR="00DD679F" w:rsidRDefault="000E4A48">
      <w:pPr>
        <w:pStyle w:val="NormalWeb"/>
        <w:divId w:val="1203010667"/>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0E4A48" w:rsidRDefault="000E4A48">
      <w:pPr>
        <w:pStyle w:val="NormalWeb"/>
        <w:divId w:val="1203010667"/>
      </w:pPr>
      <w:r>
        <w:rPr>
          <w:sz w:val="20"/>
          <w:szCs w:val="20"/>
        </w:rPr>
        <w:t> </w:t>
      </w:r>
    </w:p>
    <w:sectPr w:rsidR="000E4A48" w:rsidSect="00174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9C"/>
    <w:rsid w:val="0004370D"/>
    <w:rsid w:val="000B193D"/>
    <w:rsid w:val="000D13B5"/>
    <w:rsid w:val="000E4A48"/>
    <w:rsid w:val="00174D18"/>
    <w:rsid w:val="003D5E94"/>
    <w:rsid w:val="004D3348"/>
    <w:rsid w:val="0063349C"/>
    <w:rsid w:val="00654F2F"/>
    <w:rsid w:val="00840E08"/>
    <w:rsid w:val="008B065A"/>
    <w:rsid w:val="00A60E01"/>
    <w:rsid w:val="00BE302D"/>
    <w:rsid w:val="00C14BBF"/>
    <w:rsid w:val="00DD49F7"/>
    <w:rsid w:val="00DD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4E390-EBAB-4732-9A7E-D7351784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auto-style1">
    <w:name w:val="auto-style1"/>
    <w:basedOn w:val="Normal"/>
    <w:pPr>
      <w:spacing w:before="100" w:beforeAutospacing="1" w:after="100" w:afterAutospacing="1"/>
      <w:jc w:val="center"/>
    </w:pPr>
  </w:style>
  <w:style w:type="paragraph" w:customStyle="1" w:styleId="auto-style2">
    <w:name w:val="auto-style2"/>
    <w:basedOn w:val="Normal"/>
    <w:pPr>
      <w:spacing w:before="100" w:beforeAutospacing="1" w:after="100" w:afterAutospacing="1"/>
    </w:pPr>
  </w:style>
  <w:style w:type="paragraph" w:customStyle="1" w:styleId="auto-style3">
    <w:name w:val="auto-style3"/>
    <w:basedOn w:val="Normal"/>
    <w:pPr>
      <w:spacing w:before="100" w:beforeAutospacing="1" w:after="100" w:afterAutospacing="1"/>
    </w:pPr>
  </w:style>
  <w:style w:type="paragraph" w:customStyle="1" w:styleId="auto-style4">
    <w:name w:val="auto-style4"/>
    <w:basedOn w:val="Normal"/>
    <w:pPr>
      <w:spacing w:before="100" w:beforeAutospacing="1" w:after="100" w:afterAutospacing="1"/>
      <w:jc w:val="center"/>
    </w:pPr>
    <w:rPr>
      <w:b/>
      <w:bCs/>
    </w:rPr>
  </w:style>
  <w:style w:type="paragraph" w:customStyle="1" w:styleId="auto-style5">
    <w:name w:val="auto-style5"/>
    <w:basedOn w:val="Normal"/>
    <w:pPr>
      <w:spacing w:before="100" w:beforeAutospacing="1" w:after="100" w:afterAutospacing="1"/>
      <w:jc w:val="center"/>
    </w:pPr>
    <w:rPr>
      <w:b/>
      <w:bCs/>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9294">
      <w:marLeft w:val="0"/>
      <w:marRight w:val="0"/>
      <w:marTop w:val="0"/>
      <w:marBottom w:val="0"/>
      <w:divBdr>
        <w:top w:val="none" w:sz="0" w:space="0" w:color="auto"/>
        <w:left w:val="none" w:sz="0" w:space="0" w:color="auto"/>
        <w:bottom w:val="none" w:sz="0" w:space="0" w:color="auto"/>
        <w:right w:val="none" w:sz="0" w:space="0" w:color="auto"/>
      </w:divBdr>
      <w:divsChild>
        <w:div w:id="97334415">
          <w:marLeft w:val="0"/>
          <w:marRight w:val="0"/>
          <w:marTop w:val="0"/>
          <w:marBottom w:val="0"/>
          <w:divBdr>
            <w:top w:val="none" w:sz="0" w:space="0" w:color="auto"/>
            <w:left w:val="none" w:sz="0" w:space="0" w:color="auto"/>
            <w:bottom w:val="none" w:sz="0" w:space="0" w:color="auto"/>
            <w:right w:val="none" w:sz="0" w:space="0" w:color="auto"/>
          </w:divBdr>
        </w:div>
      </w:divsChild>
    </w:div>
    <w:div w:id="856849180">
      <w:marLeft w:val="0"/>
      <w:marRight w:val="0"/>
      <w:marTop w:val="0"/>
      <w:marBottom w:val="0"/>
      <w:divBdr>
        <w:top w:val="none" w:sz="0" w:space="0" w:color="auto"/>
        <w:left w:val="none" w:sz="0" w:space="0" w:color="auto"/>
        <w:bottom w:val="none" w:sz="0" w:space="0" w:color="auto"/>
        <w:right w:val="none" w:sz="0" w:space="0" w:color="auto"/>
      </w:divBdr>
    </w:div>
    <w:div w:id="975111870">
      <w:marLeft w:val="0"/>
      <w:marRight w:val="0"/>
      <w:marTop w:val="0"/>
      <w:marBottom w:val="0"/>
      <w:divBdr>
        <w:top w:val="none" w:sz="0" w:space="0" w:color="auto"/>
        <w:left w:val="none" w:sz="0" w:space="0" w:color="auto"/>
        <w:bottom w:val="none" w:sz="0" w:space="0" w:color="auto"/>
        <w:right w:val="none" w:sz="0" w:space="0" w:color="auto"/>
      </w:divBdr>
      <w:divsChild>
        <w:div w:id="755705839">
          <w:marLeft w:val="0"/>
          <w:marRight w:val="0"/>
          <w:marTop w:val="0"/>
          <w:marBottom w:val="0"/>
          <w:divBdr>
            <w:top w:val="none" w:sz="0" w:space="0" w:color="auto"/>
            <w:left w:val="none" w:sz="0" w:space="0" w:color="auto"/>
            <w:bottom w:val="none" w:sz="0" w:space="0" w:color="auto"/>
            <w:right w:val="none" w:sz="0" w:space="0" w:color="auto"/>
          </w:divBdr>
        </w:div>
      </w:divsChild>
    </w:div>
    <w:div w:id="1243488857">
      <w:marLeft w:val="0"/>
      <w:marRight w:val="0"/>
      <w:marTop w:val="0"/>
      <w:marBottom w:val="0"/>
      <w:divBdr>
        <w:top w:val="none" w:sz="0" w:space="0" w:color="auto"/>
        <w:left w:val="none" w:sz="0" w:space="0" w:color="auto"/>
        <w:bottom w:val="none" w:sz="0" w:space="0" w:color="auto"/>
        <w:right w:val="none" w:sz="0" w:space="0" w:color="auto"/>
      </w:divBdr>
      <w:divsChild>
        <w:div w:id="1203010667">
          <w:marLeft w:val="0"/>
          <w:marRight w:val="0"/>
          <w:marTop w:val="0"/>
          <w:marBottom w:val="0"/>
          <w:divBdr>
            <w:top w:val="none" w:sz="0" w:space="0" w:color="auto"/>
            <w:left w:val="none" w:sz="0" w:space="0" w:color="auto"/>
            <w:bottom w:val="none" w:sz="0" w:space="0" w:color="auto"/>
            <w:right w:val="none" w:sz="0" w:space="0" w:color="auto"/>
          </w:divBdr>
        </w:div>
      </w:divsChild>
    </w:div>
    <w:div w:id="2096589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1.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33</Pages>
  <Words>11391</Words>
  <Characters>64934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December 31, 2015 10Q</vt:lpstr>
    </vt:vector>
  </TitlesOfParts>
  <Company/>
  <LinksUpToDate>false</LinksUpToDate>
  <CharactersWithSpaces>76173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31, 2015 10Q</dc:title>
  <dc:subject/>
  <dc:creator>Robert Wolfe</dc:creator>
  <cp:keywords/>
  <dc:description/>
  <cp:lastModifiedBy>Robert Wolfe</cp:lastModifiedBy>
  <cp:revision>15</cp:revision>
  <dcterms:created xsi:type="dcterms:W3CDTF">2016-02-01T14:28:00Z</dcterms:created>
  <dcterms:modified xsi:type="dcterms:W3CDTF">2016-02-05T12:31:00Z</dcterms:modified>
</cp:coreProperties>
</file>