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27026">
      <w:pPr>
        <w:divId w:val="1022509083"/>
        <w:rPr>
          <w:rFonts w:eastAsia="Times New Roman"/>
        </w:rPr>
      </w:pPr>
      <w:r>
        <w:rPr>
          <w:rFonts w:eastAsia="Times New Roman"/>
        </w:rPr>
        <w:pict>
          <v:rect id="_x0000_i1025" style="width:0;height:3pt" o:hralign="center" o:hrstd="t" o:hrnoshade="t" o:hr="t" fillcolor="black" stroked="f"/>
        </w:pict>
      </w:r>
    </w:p>
    <w:p w:rsidR="00000000" w:rsidRDefault="00C27026">
      <w:pPr>
        <w:divId w:val="1022509083"/>
        <w:rPr>
          <w:rFonts w:eastAsia="Times New Roman"/>
        </w:rPr>
      </w:pPr>
      <w:r>
        <w:rPr>
          <w:rFonts w:eastAsia="Times New Roman"/>
        </w:rPr>
        <w:pict>
          <v:rect id="_x0000_i1026" style="width:0;height:.75pt" o:hralign="center" o:hrstd="t" o:hrnoshade="t" o:hr="t" fillcolor="black" stroked="f"/>
        </w:pict>
      </w:r>
    </w:p>
    <w:p w:rsidR="00000000" w:rsidRPr="00A376CF" w:rsidRDefault="003B7527">
      <w:pPr>
        <w:divId w:val="1730037922"/>
        <w:rPr>
          <w:rFonts w:eastAsia="Times New Roman"/>
          <w:sz w:val="20"/>
          <w:szCs w:val="20"/>
        </w:rPr>
      </w:pPr>
      <w:r>
        <w:rPr>
          <w:rFonts w:eastAsia="Times New Roman"/>
        </w:rPr>
        <w:t> </w:t>
      </w:r>
    </w:p>
    <w:p w:rsidR="00000000" w:rsidRPr="00A376CF" w:rsidRDefault="003B7527">
      <w:pPr>
        <w:pStyle w:val="NormalWeb"/>
        <w:spacing w:before="0" w:beforeAutospacing="0" w:after="0" w:afterAutospacing="0" w:line="320" w:lineRule="atLeast"/>
        <w:jc w:val="center"/>
        <w:rPr>
          <w:sz w:val="20"/>
          <w:szCs w:val="20"/>
        </w:rPr>
      </w:pPr>
      <w:r w:rsidRPr="00A376CF">
        <w:rPr>
          <w:b/>
          <w:bCs/>
          <w:sz w:val="20"/>
          <w:szCs w:val="20"/>
        </w:rPr>
        <w:t>UNITED STATES</w:t>
      </w:r>
    </w:p>
    <w:p w:rsidR="00000000" w:rsidRPr="00A376CF" w:rsidRDefault="003B7527">
      <w:pPr>
        <w:pStyle w:val="NormalWeb"/>
        <w:spacing w:before="0" w:beforeAutospacing="0" w:after="0" w:afterAutospacing="0" w:line="320" w:lineRule="atLeast"/>
        <w:jc w:val="center"/>
        <w:rPr>
          <w:sz w:val="20"/>
          <w:szCs w:val="20"/>
        </w:rPr>
      </w:pPr>
      <w:r w:rsidRPr="00A376CF">
        <w:rPr>
          <w:b/>
          <w:bCs/>
          <w:sz w:val="20"/>
          <w:szCs w:val="20"/>
        </w:rPr>
        <w:t>SECURITIES AND EXCHANGE COMMISSION</w:t>
      </w:r>
    </w:p>
    <w:p w:rsidR="00000000" w:rsidRPr="00A376CF" w:rsidRDefault="003B7527">
      <w:pPr>
        <w:pStyle w:val="NormalWeb"/>
        <w:spacing w:before="0" w:beforeAutospacing="0" w:after="0" w:afterAutospacing="0"/>
        <w:jc w:val="center"/>
        <w:rPr>
          <w:sz w:val="20"/>
          <w:szCs w:val="20"/>
        </w:rPr>
      </w:pPr>
      <w:r w:rsidRPr="00A376CF">
        <w:rPr>
          <w:b/>
          <w:bCs/>
          <w:sz w:val="20"/>
          <w:szCs w:val="20"/>
        </w:rPr>
        <w:t>Washington, D.C. 20549</w:t>
      </w:r>
    </w:p>
    <w:p w:rsidR="00000000" w:rsidRPr="00A376CF" w:rsidRDefault="003B7527">
      <w:pPr>
        <w:pStyle w:val="NormalWeb"/>
        <w:spacing w:before="0" w:beforeAutospacing="0" w:after="0" w:afterAutospacing="0"/>
        <w:jc w:val="center"/>
        <w:rPr>
          <w:sz w:val="20"/>
          <w:szCs w:val="20"/>
        </w:rPr>
      </w:pPr>
    </w:p>
    <w:p w:rsidR="00000000" w:rsidRPr="00A376CF" w:rsidRDefault="003B7527">
      <w:pPr>
        <w:pStyle w:val="NormalWeb"/>
        <w:spacing w:before="0" w:beforeAutospacing="0" w:after="0" w:afterAutospacing="0"/>
        <w:jc w:val="center"/>
        <w:rPr>
          <w:sz w:val="20"/>
          <w:szCs w:val="20"/>
        </w:rPr>
      </w:pPr>
      <w:r w:rsidRPr="00A376CF">
        <w:rPr>
          <w:sz w:val="20"/>
          <w:szCs w:val="20"/>
        </w:rPr>
        <w:t>———————</w:t>
      </w:r>
    </w:p>
    <w:p w:rsidR="00000000" w:rsidRPr="00A376CF" w:rsidRDefault="003B7527">
      <w:pPr>
        <w:pStyle w:val="NormalWeb"/>
        <w:spacing w:before="0" w:beforeAutospacing="0" w:after="0" w:afterAutospacing="0" w:line="320" w:lineRule="atLeast"/>
        <w:jc w:val="center"/>
        <w:rPr>
          <w:sz w:val="20"/>
          <w:szCs w:val="20"/>
        </w:rPr>
      </w:pPr>
      <w:r w:rsidRPr="00A376CF">
        <w:rPr>
          <w:b/>
          <w:bCs/>
          <w:sz w:val="20"/>
          <w:szCs w:val="20"/>
        </w:rPr>
        <w:t>FORM 10-Q</w:t>
      </w:r>
    </w:p>
    <w:p w:rsidR="00000000" w:rsidRPr="00A376CF" w:rsidRDefault="003B7527">
      <w:pPr>
        <w:pStyle w:val="NormalWeb"/>
        <w:spacing w:before="0" w:beforeAutospacing="0" w:after="0" w:afterAutospacing="0"/>
        <w:jc w:val="center"/>
        <w:rPr>
          <w:sz w:val="20"/>
          <w:szCs w:val="20"/>
        </w:rPr>
      </w:pPr>
      <w:r w:rsidRPr="00A376CF">
        <w:rPr>
          <w:sz w:val="20"/>
          <w:szCs w:val="20"/>
        </w:rPr>
        <w:t>———————</w:t>
      </w:r>
    </w:p>
    <w:p w:rsidR="00000000" w:rsidRPr="00A376CF" w:rsidRDefault="003B7527">
      <w:pPr>
        <w:pStyle w:val="NormalWeb"/>
        <w:spacing w:before="0" w:beforeAutospacing="0" w:after="0" w:afterAutospacing="0"/>
        <w:jc w:val="center"/>
        <w:rPr>
          <w:sz w:val="20"/>
          <w:szCs w:val="20"/>
        </w:rPr>
      </w:pPr>
      <w:r w:rsidRPr="00A376CF">
        <w:rPr>
          <w:sz w:val="20"/>
          <w:szCs w:val="20"/>
        </w:rPr>
        <w:t>(Mark One)</w:t>
      </w:r>
    </w:p>
    <w:p w:rsidR="00000000" w:rsidRPr="00A376CF" w:rsidRDefault="003B7527">
      <w:pPr>
        <w:pStyle w:val="NormalWeb"/>
        <w:spacing w:before="0" w:beforeAutospacing="0" w:after="0" w:afterAutospacing="0"/>
        <w:jc w:val="center"/>
        <w:rPr>
          <w:sz w:val="20"/>
          <w:szCs w:val="20"/>
        </w:rPr>
      </w:pPr>
    </w:p>
    <w:tbl>
      <w:tblPr>
        <w:tblW w:w="0" w:type="auto"/>
        <w:jc w:val="center"/>
        <w:tblCellSpacing w:w="0" w:type="dxa"/>
        <w:tblCellMar>
          <w:top w:w="15" w:type="dxa"/>
          <w:left w:w="15" w:type="dxa"/>
          <w:bottom w:w="15" w:type="dxa"/>
          <w:right w:w="15" w:type="dxa"/>
        </w:tblCellMar>
        <w:tblLook w:val="04A0"/>
      </w:tblPr>
      <w:tblGrid>
        <w:gridCol w:w="285"/>
        <w:gridCol w:w="10515"/>
      </w:tblGrid>
      <w:tr w:rsidR="00000000" w:rsidRPr="00A376CF">
        <w:trPr>
          <w:tblCellSpacing w:w="0" w:type="dxa"/>
          <w:jc w:val="center"/>
        </w:trPr>
        <w:tc>
          <w:tcPr>
            <w:tcW w:w="285" w:type="dxa"/>
            <w:vAlign w:val="center"/>
            <w:hideMark/>
          </w:tcPr>
          <w:p w:rsidR="00000000" w:rsidRPr="00A376CF" w:rsidRDefault="003B7527">
            <w:pPr>
              <w:rPr>
                <w:rFonts w:eastAsia="Times New Roman"/>
                <w:sz w:val="20"/>
                <w:szCs w:val="20"/>
              </w:rPr>
            </w:pPr>
          </w:p>
        </w:tc>
        <w:tc>
          <w:tcPr>
            <w:tcW w:w="10500" w:type="dxa"/>
            <w:vAlign w:val="center"/>
            <w:hideMark/>
          </w:tcPr>
          <w:p w:rsidR="00000000" w:rsidRPr="00A376CF" w:rsidRDefault="003B7527">
            <w:pPr>
              <w:rPr>
                <w:rFonts w:eastAsia="Times New Roman"/>
                <w:sz w:val="20"/>
                <w:szCs w:val="20"/>
              </w:rPr>
            </w:pPr>
          </w:p>
        </w:tc>
      </w:tr>
      <w:tr w:rsidR="00000000" w:rsidRPr="00A376CF">
        <w:trPr>
          <w:tblCellSpacing w:w="0" w:type="dxa"/>
          <w:jc w:val="center"/>
        </w:trPr>
        <w:tc>
          <w:tcPr>
            <w:tcW w:w="285" w:type="dxa"/>
            <w:tcBorders>
              <w:top w:val="single" w:sz="6" w:space="0" w:color="000000"/>
              <w:left w:val="single" w:sz="6" w:space="0" w:color="000000"/>
              <w:bottom w:val="single" w:sz="6" w:space="0" w:color="000000"/>
              <w:right w:val="single" w:sz="6" w:space="0" w:color="000000"/>
            </w:tcBorders>
            <w:hideMark/>
          </w:tcPr>
          <w:p w:rsidR="00000000" w:rsidRPr="00A376CF" w:rsidRDefault="003B7527">
            <w:pPr>
              <w:pStyle w:val="NormalWeb"/>
              <w:spacing w:before="0" w:beforeAutospacing="0" w:after="0" w:afterAutospacing="0"/>
              <w:jc w:val="center"/>
              <w:rPr>
                <w:sz w:val="20"/>
                <w:szCs w:val="20"/>
              </w:rPr>
            </w:pPr>
            <w:r w:rsidRPr="00A376CF">
              <w:rPr>
                <w:b/>
                <w:bCs/>
                <w:sz w:val="20"/>
                <w:szCs w:val="20"/>
              </w:rPr>
              <w:t>X</w:t>
            </w:r>
          </w:p>
        </w:tc>
        <w:tc>
          <w:tcPr>
            <w:tcW w:w="10500" w:type="dxa"/>
            <w:hideMark/>
          </w:tcPr>
          <w:p w:rsidR="00000000" w:rsidRPr="00A376CF" w:rsidRDefault="003B7527">
            <w:pPr>
              <w:pStyle w:val="NormalWeb"/>
              <w:spacing w:before="0" w:beforeAutospacing="0" w:after="0" w:afterAutospacing="0"/>
              <w:rPr>
                <w:sz w:val="20"/>
                <w:szCs w:val="20"/>
              </w:rPr>
            </w:pPr>
            <w:r w:rsidRPr="00A376CF">
              <w:rPr>
                <w:b/>
                <w:bCs/>
                <w:sz w:val="20"/>
                <w:szCs w:val="20"/>
              </w:rPr>
              <w:t> </w:t>
            </w:r>
            <w:r w:rsidRPr="00A376CF">
              <w:rPr>
                <w:b/>
                <w:bCs/>
                <w:sz w:val="20"/>
                <w:szCs w:val="20"/>
              </w:rPr>
              <w:t>QUARTERLY REPORT PURSUANT TO SECTION 13 OR 15(d) OF THE SECURITIES EXCHANGE ACT OF 1934</w:t>
            </w:r>
          </w:p>
        </w:tc>
      </w:tr>
      <w:tr w:rsidR="00000000" w:rsidRPr="00A376CF">
        <w:trPr>
          <w:tblCellSpacing w:w="0" w:type="dxa"/>
          <w:jc w:val="center"/>
        </w:trPr>
        <w:tc>
          <w:tcPr>
            <w:tcW w:w="285" w:type="dxa"/>
            <w:hideMark/>
          </w:tcPr>
          <w:p w:rsidR="00000000" w:rsidRPr="00A376CF" w:rsidRDefault="003B7527">
            <w:pPr>
              <w:pStyle w:val="NormalWeb"/>
              <w:rPr>
                <w:sz w:val="20"/>
                <w:szCs w:val="20"/>
              </w:rPr>
            </w:pPr>
            <w:r w:rsidRPr="00A376CF">
              <w:rPr>
                <w:sz w:val="20"/>
                <w:szCs w:val="20"/>
              </w:rPr>
              <w:t> </w:t>
            </w:r>
          </w:p>
        </w:tc>
        <w:tc>
          <w:tcPr>
            <w:tcW w:w="10500" w:type="dxa"/>
            <w:hideMark/>
          </w:tcPr>
          <w:p w:rsidR="00000000" w:rsidRPr="00A376CF" w:rsidRDefault="003B7527">
            <w:pPr>
              <w:pStyle w:val="NormalWeb"/>
              <w:spacing w:before="0" w:beforeAutospacing="0" w:after="0" w:afterAutospacing="0"/>
              <w:rPr>
                <w:sz w:val="20"/>
                <w:szCs w:val="20"/>
              </w:rPr>
            </w:pPr>
            <w:r w:rsidRPr="00A376CF">
              <w:rPr>
                <w:b/>
                <w:bCs/>
                <w:sz w:val="20"/>
                <w:szCs w:val="20"/>
              </w:rPr>
              <w:t> </w:t>
            </w:r>
          </w:p>
        </w:tc>
      </w:tr>
      <w:tr w:rsidR="00000000" w:rsidRPr="00A376CF">
        <w:trPr>
          <w:tblCellSpacing w:w="0" w:type="dxa"/>
          <w:jc w:val="center"/>
        </w:trPr>
        <w:tc>
          <w:tcPr>
            <w:tcW w:w="10800" w:type="dxa"/>
            <w:gridSpan w:val="2"/>
            <w:hideMark/>
          </w:tcPr>
          <w:p w:rsidR="00000000" w:rsidRPr="00A376CF" w:rsidRDefault="003B7527">
            <w:pPr>
              <w:pStyle w:val="NormalWeb"/>
              <w:spacing w:before="0" w:beforeAutospacing="0" w:after="0" w:afterAutospacing="0"/>
              <w:jc w:val="center"/>
              <w:rPr>
                <w:sz w:val="20"/>
                <w:szCs w:val="20"/>
              </w:rPr>
            </w:pPr>
            <w:r w:rsidRPr="00A376CF">
              <w:rPr>
                <w:sz w:val="20"/>
                <w:szCs w:val="20"/>
              </w:rPr>
              <w:t xml:space="preserve">For the quarterly period ended: </w:t>
            </w:r>
            <w:r w:rsidRPr="00A376CF">
              <w:rPr>
                <w:b/>
                <w:bCs/>
                <w:sz w:val="20"/>
                <w:szCs w:val="20"/>
              </w:rPr>
              <w:t>September 30, 2014</w:t>
            </w:r>
          </w:p>
        </w:tc>
      </w:tr>
      <w:tr w:rsidR="00000000" w:rsidRPr="00A376CF">
        <w:trPr>
          <w:tblCellSpacing w:w="0" w:type="dxa"/>
          <w:jc w:val="center"/>
        </w:trPr>
        <w:tc>
          <w:tcPr>
            <w:tcW w:w="10800" w:type="dxa"/>
            <w:gridSpan w:val="2"/>
            <w:hideMark/>
          </w:tcPr>
          <w:p w:rsidR="00000000" w:rsidRPr="00A376CF" w:rsidRDefault="003B7527">
            <w:pPr>
              <w:pStyle w:val="NormalWeb"/>
              <w:spacing w:before="0" w:beforeAutospacing="0" w:after="0" w:afterAutospacing="0"/>
              <w:jc w:val="center"/>
              <w:rPr>
                <w:sz w:val="20"/>
                <w:szCs w:val="20"/>
              </w:rPr>
            </w:pPr>
            <w:r w:rsidRPr="00A376CF">
              <w:rPr>
                <w:sz w:val="20"/>
                <w:szCs w:val="20"/>
              </w:rPr>
              <w:t>Or</w:t>
            </w:r>
          </w:p>
        </w:tc>
      </w:tr>
      <w:tr w:rsidR="00000000" w:rsidRPr="00A376CF">
        <w:trPr>
          <w:tblCellSpacing w:w="0" w:type="dxa"/>
          <w:jc w:val="center"/>
        </w:trPr>
        <w:tc>
          <w:tcPr>
            <w:tcW w:w="285" w:type="dxa"/>
            <w:hideMark/>
          </w:tcPr>
          <w:p w:rsidR="00000000" w:rsidRPr="00A376CF" w:rsidRDefault="003B7527">
            <w:pPr>
              <w:pStyle w:val="NormalWeb"/>
              <w:rPr>
                <w:sz w:val="20"/>
                <w:szCs w:val="20"/>
              </w:rPr>
            </w:pPr>
            <w:r w:rsidRPr="00A376CF">
              <w:rPr>
                <w:sz w:val="20"/>
                <w:szCs w:val="20"/>
              </w:rPr>
              <w:t> </w:t>
            </w:r>
          </w:p>
        </w:tc>
        <w:tc>
          <w:tcPr>
            <w:tcW w:w="10500" w:type="dxa"/>
            <w:hideMark/>
          </w:tcPr>
          <w:p w:rsidR="00000000" w:rsidRPr="00A376CF" w:rsidRDefault="003B7527">
            <w:pPr>
              <w:pStyle w:val="NormalWeb"/>
              <w:rPr>
                <w:sz w:val="20"/>
                <w:szCs w:val="20"/>
              </w:rPr>
            </w:pPr>
            <w:r w:rsidRPr="00A376CF">
              <w:rPr>
                <w:sz w:val="20"/>
                <w:szCs w:val="20"/>
              </w:rPr>
              <w:t> </w:t>
            </w:r>
          </w:p>
        </w:tc>
      </w:tr>
      <w:tr w:rsidR="00000000" w:rsidRPr="00A376CF">
        <w:trPr>
          <w:tblCellSpacing w:w="0" w:type="dxa"/>
          <w:jc w:val="center"/>
        </w:trPr>
        <w:tc>
          <w:tcPr>
            <w:tcW w:w="285" w:type="dxa"/>
            <w:tcBorders>
              <w:top w:val="single" w:sz="6" w:space="0" w:color="000000"/>
              <w:left w:val="single" w:sz="6" w:space="0" w:color="000000"/>
              <w:bottom w:val="single" w:sz="6" w:space="0" w:color="000000"/>
              <w:right w:val="single" w:sz="6" w:space="0" w:color="000000"/>
            </w:tcBorders>
            <w:hideMark/>
          </w:tcPr>
          <w:p w:rsidR="00000000" w:rsidRPr="00A376CF" w:rsidRDefault="003B7527">
            <w:pPr>
              <w:rPr>
                <w:rFonts w:eastAsia="Times New Roman"/>
                <w:sz w:val="20"/>
                <w:szCs w:val="20"/>
              </w:rPr>
            </w:pPr>
          </w:p>
        </w:tc>
        <w:tc>
          <w:tcPr>
            <w:tcW w:w="10500" w:type="dxa"/>
            <w:hideMark/>
          </w:tcPr>
          <w:p w:rsidR="00000000" w:rsidRPr="00A376CF" w:rsidRDefault="003B7527">
            <w:pPr>
              <w:pStyle w:val="NormalWeb"/>
              <w:spacing w:before="0" w:beforeAutospacing="0" w:after="0" w:afterAutospacing="0"/>
              <w:rPr>
                <w:sz w:val="20"/>
                <w:szCs w:val="20"/>
              </w:rPr>
            </w:pPr>
            <w:r w:rsidRPr="00A376CF">
              <w:rPr>
                <w:b/>
                <w:bCs/>
                <w:sz w:val="20"/>
                <w:szCs w:val="20"/>
              </w:rPr>
              <w:t> TRANSITION REPORT PURSUANT TO SECTION 13 OR 15(d) OF THE SECURITIES EXCHANGE  </w:t>
            </w:r>
            <w:r w:rsidRPr="00A376CF">
              <w:rPr>
                <w:b/>
                <w:bCs/>
                <w:sz w:val="20"/>
                <w:szCs w:val="20"/>
              </w:rPr>
              <w:t>ACT OF 1934</w:t>
            </w:r>
          </w:p>
        </w:tc>
      </w:tr>
      <w:tr w:rsidR="00000000" w:rsidRPr="00A376CF">
        <w:trPr>
          <w:tblCellSpacing w:w="0" w:type="dxa"/>
          <w:jc w:val="center"/>
        </w:trPr>
        <w:tc>
          <w:tcPr>
            <w:tcW w:w="285" w:type="dxa"/>
            <w:hideMark/>
          </w:tcPr>
          <w:p w:rsidR="00000000" w:rsidRPr="00A376CF" w:rsidRDefault="003B7527">
            <w:pPr>
              <w:pStyle w:val="NormalWeb"/>
              <w:rPr>
                <w:sz w:val="20"/>
                <w:szCs w:val="20"/>
              </w:rPr>
            </w:pPr>
            <w:r w:rsidRPr="00A376CF">
              <w:rPr>
                <w:sz w:val="20"/>
                <w:szCs w:val="20"/>
              </w:rPr>
              <w:t> </w:t>
            </w:r>
          </w:p>
        </w:tc>
        <w:tc>
          <w:tcPr>
            <w:tcW w:w="10500" w:type="dxa"/>
            <w:hideMark/>
          </w:tcPr>
          <w:p w:rsidR="00000000" w:rsidRPr="00A376CF" w:rsidRDefault="003B7527">
            <w:pPr>
              <w:rPr>
                <w:rFonts w:eastAsia="Times New Roman"/>
                <w:sz w:val="20"/>
                <w:szCs w:val="20"/>
              </w:rPr>
            </w:pPr>
          </w:p>
        </w:tc>
      </w:tr>
      <w:tr w:rsidR="00000000" w:rsidRPr="00A376CF">
        <w:trPr>
          <w:tblCellSpacing w:w="0" w:type="dxa"/>
          <w:jc w:val="center"/>
        </w:trPr>
        <w:tc>
          <w:tcPr>
            <w:tcW w:w="10800" w:type="dxa"/>
            <w:gridSpan w:val="2"/>
            <w:hideMark/>
          </w:tcPr>
          <w:p w:rsidR="00000000" w:rsidRPr="00A376CF" w:rsidRDefault="003B7527">
            <w:pPr>
              <w:pStyle w:val="NormalWeb"/>
              <w:spacing w:before="0" w:beforeAutospacing="0" w:after="0" w:afterAutospacing="0"/>
              <w:jc w:val="center"/>
              <w:rPr>
                <w:sz w:val="20"/>
                <w:szCs w:val="20"/>
              </w:rPr>
            </w:pPr>
            <w:r w:rsidRPr="00A376CF">
              <w:rPr>
                <w:sz w:val="20"/>
                <w:szCs w:val="20"/>
              </w:rPr>
              <w:t>For the transition period from: _____________ to _____________</w:t>
            </w:r>
          </w:p>
        </w:tc>
      </w:tr>
    </w:tbl>
    <w:p w:rsidR="00000000" w:rsidRPr="00A376CF" w:rsidRDefault="003B7527">
      <w:pPr>
        <w:pStyle w:val="NormalWeb"/>
        <w:spacing w:before="0" w:beforeAutospacing="0" w:after="0" w:afterAutospacing="0"/>
        <w:jc w:val="center"/>
        <w:rPr>
          <w:sz w:val="20"/>
          <w:szCs w:val="20"/>
        </w:rPr>
      </w:pPr>
    </w:p>
    <w:p w:rsidR="00000000" w:rsidRPr="00A376CF" w:rsidRDefault="003B7527">
      <w:pPr>
        <w:pStyle w:val="NormalWeb"/>
        <w:spacing w:before="0" w:beforeAutospacing="0" w:after="0" w:afterAutospacing="0"/>
        <w:jc w:val="center"/>
        <w:rPr>
          <w:sz w:val="20"/>
          <w:szCs w:val="20"/>
        </w:rPr>
      </w:pPr>
      <w:r w:rsidRPr="00A376CF">
        <w:rPr>
          <w:sz w:val="20"/>
          <w:szCs w:val="20"/>
        </w:rPr>
        <w:t>———————</w:t>
      </w:r>
    </w:p>
    <w:p w:rsidR="00000000" w:rsidRPr="00A376CF" w:rsidRDefault="003B7527">
      <w:pPr>
        <w:jc w:val="center"/>
        <w:rPr>
          <w:rFonts w:eastAsia="Times New Roman"/>
          <w:sz w:val="20"/>
          <w:szCs w:val="20"/>
        </w:rPr>
      </w:pPr>
      <w:proofErr w:type="gramStart"/>
      <w:r w:rsidRPr="00A376CF">
        <w:rPr>
          <w:rStyle w:val="Strong"/>
          <w:rFonts w:eastAsia="Times New Roman"/>
          <w:sz w:val="20"/>
          <w:szCs w:val="20"/>
        </w:rPr>
        <w:t>ADVANCED OXYGEN TECHNOLOGIES, INC.</w:t>
      </w:r>
      <w:proofErr w:type="gramEnd"/>
    </w:p>
    <w:p w:rsidR="00000000" w:rsidRPr="00A376CF" w:rsidRDefault="003B7527">
      <w:pPr>
        <w:pStyle w:val="NormalWeb"/>
        <w:spacing w:before="0" w:beforeAutospacing="0" w:after="0" w:afterAutospacing="0" w:line="200" w:lineRule="atLeast"/>
        <w:jc w:val="center"/>
        <w:rPr>
          <w:sz w:val="20"/>
          <w:szCs w:val="20"/>
        </w:rPr>
      </w:pPr>
      <w:r w:rsidRPr="00A376CF">
        <w:rPr>
          <w:sz w:val="20"/>
          <w:szCs w:val="20"/>
        </w:rPr>
        <w:t> (Exact name of registrant as specified in its charter)</w:t>
      </w:r>
    </w:p>
    <w:p w:rsidR="00000000" w:rsidRPr="00A376CF" w:rsidRDefault="003B7527">
      <w:pPr>
        <w:pStyle w:val="NormalWeb"/>
        <w:spacing w:before="0" w:beforeAutospacing="0" w:after="0" w:afterAutospacing="0"/>
        <w:jc w:val="center"/>
        <w:rPr>
          <w:sz w:val="20"/>
          <w:szCs w:val="20"/>
        </w:rPr>
      </w:pPr>
      <w:r w:rsidRPr="00A376CF">
        <w:rPr>
          <w:sz w:val="20"/>
          <w:szCs w:val="20"/>
        </w:rPr>
        <w:t>———————</w:t>
      </w:r>
    </w:p>
    <w:p w:rsidR="00000000" w:rsidRPr="00A376CF" w:rsidRDefault="003B7527">
      <w:pPr>
        <w:pStyle w:val="NormalWeb"/>
        <w:spacing w:before="0" w:beforeAutospacing="0" w:after="0" w:afterAutospacing="0"/>
        <w:jc w:val="center"/>
        <w:rPr>
          <w:sz w:val="20"/>
          <w:szCs w:val="20"/>
        </w:rPr>
      </w:pPr>
    </w:p>
    <w:tbl>
      <w:tblPr>
        <w:tblW w:w="0" w:type="auto"/>
        <w:jc w:val="center"/>
        <w:tblCellSpacing w:w="0" w:type="dxa"/>
        <w:tblCellMar>
          <w:top w:w="15" w:type="dxa"/>
          <w:left w:w="15" w:type="dxa"/>
          <w:bottom w:w="15" w:type="dxa"/>
          <w:right w:w="15" w:type="dxa"/>
        </w:tblCellMar>
        <w:tblLook w:val="04A0"/>
      </w:tblPr>
      <w:tblGrid>
        <w:gridCol w:w="3600"/>
        <w:gridCol w:w="3600"/>
        <w:gridCol w:w="3585"/>
      </w:tblGrid>
      <w:tr w:rsidR="00000000" w:rsidRPr="00A376CF">
        <w:trPr>
          <w:tblCellSpacing w:w="0" w:type="dxa"/>
          <w:jc w:val="center"/>
        </w:trPr>
        <w:tc>
          <w:tcPr>
            <w:tcW w:w="3600" w:type="dxa"/>
            <w:vAlign w:val="center"/>
            <w:hideMark/>
          </w:tcPr>
          <w:p w:rsidR="00000000" w:rsidRPr="00A376CF" w:rsidRDefault="003B7527">
            <w:pPr>
              <w:rPr>
                <w:rFonts w:eastAsia="Times New Roman"/>
                <w:sz w:val="20"/>
                <w:szCs w:val="20"/>
              </w:rPr>
            </w:pPr>
          </w:p>
        </w:tc>
        <w:tc>
          <w:tcPr>
            <w:tcW w:w="3600" w:type="dxa"/>
            <w:vAlign w:val="center"/>
            <w:hideMark/>
          </w:tcPr>
          <w:p w:rsidR="00000000" w:rsidRPr="00A376CF" w:rsidRDefault="003B7527">
            <w:pPr>
              <w:rPr>
                <w:rFonts w:eastAsia="Times New Roman"/>
                <w:sz w:val="20"/>
                <w:szCs w:val="20"/>
              </w:rPr>
            </w:pPr>
          </w:p>
        </w:tc>
        <w:tc>
          <w:tcPr>
            <w:tcW w:w="3585" w:type="dxa"/>
            <w:vAlign w:val="center"/>
            <w:hideMark/>
          </w:tcPr>
          <w:p w:rsidR="00000000" w:rsidRPr="00A376CF" w:rsidRDefault="003B7527">
            <w:pPr>
              <w:rPr>
                <w:rFonts w:eastAsia="Times New Roman"/>
                <w:sz w:val="20"/>
                <w:szCs w:val="20"/>
              </w:rPr>
            </w:pPr>
          </w:p>
        </w:tc>
      </w:tr>
      <w:tr w:rsidR="00000000" w:rsidRPr="00A376CF">
        <w:trPr>
          <w:tblCellSpacing w:w="0" w:type="dxa"/>
          <w:jc w:val="center"/>
        </w:trPr>
        <w:tc>
          <w:tcPr>
            <w:tcW w:w="3600" w:type="dxa"/>
            <w:hideMark/>
          </w:tcPr>
          <w:p w:rsidR="00000000" w:rsidRPr="00A376CF" w:rsidRDefault="003B7527">
            <w:pPr>
              <w:pStyle w:val="NormalWeb"/>
              <w:spacing w:before="0" w:beforeAutospacing="0" w:after="0" w:afterAutospacing="0"/>
              <w:jc w:val="center"/>
              <w:rPr>
                <w:sz w:val="20"/>
                <w:szCs w:val="20"/>
              </w:rPr>
            </w:pPr>
            <w:r w:rsidRPr="00A376CF">
              <w:rPr>
                <w:b/>
                <w:bCs/>
                <w:sz w:val="20"/>
                <w:szCs w:val="20"/>
              </w:rPr>
              <w:t>Delaware</w:t>
            </w:r>
          </w:p>
        </w:tc>
        <w:tc>
          <w:tcPr>
            <w:tcW w:w="3600" w:type="dxa"/>
            <w:hideMark/>
          </w:tcPr>
          <w:p w:rsidR="00000000" w:rsidRPr="00A376CF" w:rsidRDefault="003B7527">
            <w:pPr>
              <w:pStyle w:val="NormalWeb"/>
              <w:spacing w:before="0" w:beforeAutospacing="0" w:after="0" w:afterAutospacing="0"/>
              <w:jc w:val="center"/>
              <w:rPr>
                <w:sz w:val="20"/>
                <w:szCs w:val="20"/>
              </w:rPr>
            </w:pPr>
            <w:r w:rsidRPr="00A376CF">
              <w:rPr>
                <w:rStyle w:val="Strong"/>
                <w:sz w:val="20"/>
                <w:szCs w:val="20"/>
              </w:rPr>
              <w:t>0-9951</w:t>
            </w:r>
          </w:p>
        </w:tc>
        <w:tc>
          <w:tcPr>
            <w:tcW w:w="3585" w:type="dxa"/>
            <w:hideMark/>
          </w:tcPr>
          <w:p w:rsidR="00000000" w:rsidRPr="00A376CF" w:rsidRDefault="003B7527">
            <w:pPr>
              <w:pStyle w:val="NormalWeb"/>
              <w:spacing w:before="0" w:beforeAutospacing="0" w:after="0" w:afterAutospacing="0"/>
              <w:jc w:val="center"/>
              <w:rPr>
                <w:sz w:val="20"/>
                <w:szCs w:val="20"/>
              </w:rPr>
            </w:pPr>
            <w:r w:rsidRPr="00A376CF">
              <w:rPr>
                <w:rStyle w:val="Strong"/>
                <w:sz w:val="20"/>
                <w:szCs w:val="20"/>
              </w:rPr>
              <w:t>91-1143622</w:t>
            </w:r>
          </w:p>
        </w:tc>
      </w:tr>
      <w:tr w:rsidR="00000000" w:rsidRPr="00A376CF">
        <w:trPr>
          <w:tblCellSpacing w:w="0" w:type="dxa"/>
          <w:jc w:val="center"/>
        </w:trPr>
        <w:tc>
          <w:tcPr>
            <w:tcW w:w="3600" w:type="dxa"/>
            <w:hideMark/>
          </w:tcPr>
          <w:p w:rsidR="00000000" w:rsidRPr="00A376CF" w:rsidRDefault="003B7527">
            <w:pPr>
              <w:pStyle w:val="NormalWeb"/>
              <w:spacing w:before="0" w:beforeAutospacing="0" w:after="0" w:afterAutospacing="0" w:line="200" w:lineRule="atLeast"/>
              <w:jc w:val="center"/>
              <w:rPr>
                <w:sz w:val="20"/>
                <w:szCs w:val="20"/>
              </w:rPr>
            </w:pPr>
            <w:r w:rsidRPr="00A376CF">
              <w:rPr>
                <w:sz w:val="20"/>
                <w:szCs w:val="20"/>
              </w:rPr>
              <w:t>(State or Other Jurisdiction</w:t>
            </w:r>
          </w:p>
        </w:tc>
        <w:tc>
          <w:tcPr>
            <w:tcW w:w="3600" w:type="dxa"/>
            <w:hideMark/>
          </w:tcPr>
          <w:p w:rsidR="00000000" w:rsidRPr="00A376CF" w:rsidRDefault="003B7527">
            <w:pPr>
              <w:pStyle w:val="NormalWeb"/>
              <w:spacing w:before="0" w:beforeAutospacing="0" w:after="0" w:afterAutospacing="0" w:line="200" w:lineRule="atLeast"/>
              <w:jc w:val="center"/>
              <w:rPr>
                <w:sz w:val="20"/>
                <w:szCs w:val="20"/>
              </w:rPr>
            </w:pPr>
            <w:r w:rsidRPr="00A376CF">
              <w:rPr>
                <w:sz w:val="20"/>
                <w:szCs w:val="20"/>
              </w:rPr>
              <w:t>(Commission</w:t>
            </w:r>
          </w:p>
        </w:tc>
        <w:tc>
          <w:tcPr>
            <w:tcW w:w="3585" w:type="dxa"/>
            <w:hideMark/>
          </w:tcPr>
          <w:p w:rsidR="00000000" w:rsidRPr="00A376CF" w:rsidRDefault="003B7527">
            <w:pPr>
              <w:pStyle w:val="NormalWeb"/>
              <w:spacing w:before="0" w:beforeAutospacing="0" w:after="0" w:afterAutospacing="0" w:line="200" w:lineRule="atLeast"/>
              <w:jc w:val="center"/>
              <w:rPr>
                <w:sz w:val="20"/>
                <w:szCs w:val="20"/>
              </w:rPr>
            </w:pPr>
            <w:r w:rsidRPr="00A376CF">
              <w:rPr>
                <w:sz w:val="20"/>
                <w:szCs w:val="20"/>
              </w:rPr>
              <w:t>(I.R.S. Employer</w:t>
            </w:r>
          </w:p>
        </w:tc>
      </w:tr>
      <w:tr w:rsidR="00000000" w:rsidRPr="00A376CF">
        <w:trPr>
          <w:tblCellSpacing w:w="0" w:type="dxa"/>
          <w:jc w:val="center"/>
        </w:trPr>
        <w:tc>
          <w:tcPr>
            <w:tcW w:w="3600" w:type="dxa"/>
            <w:hideMark/>
          </w:tcPr>
          <w:p w:rsidR="00000000" w:rsidRPr="00A376CF" w:rsidRDefault="003B7527">
            <w:pPr>
              <w:pStyle w:val="NormalWeb"/>
              <w:spacing w:before="0" w:beforeAutospacing="0" w:after="0" w:afterAutospacing="0" w:line="200" w:lineRule="atLeast"/>
              <w:jc w:val="center"/>
              <w:rPr>
                <w:sz w:val="20"/>
                <w:szCs w:val="20"/>
              </w:rPr>
            </w:pPr>
            <w:r w:rsidRPr="00A376CF">
              <w:rPr>
                <w:sz w:val="20"/>
                <w:szCs w:val="20"/>
              </w:rPr>
              <w:t>of Incorporation)</w:t>
            </w:r>
          </w:p>
        </w:tc>
        <w:tc>
          <w:tcPr>
            <w:tcW w:w="3600" w:type="dxa"/>
            <w:hideMark/>
          </w:tcPr>
          <w:p w:rsidR="00000000" w:rsidRPr="00A376CF" w:rsidRDefault="003B7527">
            <w:pPr>
              <w:pStyle w:val="NormalWeb"/>
              <w:spacing w:before="0" w:beforeAutospacing="0" w:after="0" w:afterAutospacing="0" w:line="200" w:lineRule="atLeast"/>
              <w:jc w:val="center"/>
              <w:rPr>
                <w:sz w:val="20"/>
                <w:szCs w:val="20"/>
              </w:rPr>
            </w:pPr>
            <w:r w:rsidRPr="00A376CF">
              <w:rPr>
                <w:sz w:val="20"/>
                <w:szCs w:val="20"/>
              </w:rPr>
              <w:t>File Number)</w:t>
            </w:r>
          </w:p>
        </w:tc>
        <w:tc>
          <w:tcPr>
            <w:tcW w:w="3585" w:type="dxa"/>
            <w:hideMark/>
          </w:tcPr>
          <w:p w:rsidR="00000000" w:rsidRPr="00A376CF" w:rsidRDefault="003B7527">
            <w:pPr>
              <w:pStyle w:val="NormalWeb"/>
              <w:spacing w:before="0" w:beforeAutospacing="0" w:after="0" w:afterAutospacing="0" w:line="200" w:lineRule="atLeast"/>
              <w:jc w:val="center"/>
              <w:rPr>
                <w:sz w:val="20"/>
                <w:szCs w:val="20"/>
              </w:rPr>
            </w:pPr>
            <w:r w:rsidRPr="00A376CF">
              <w:rPr>
                <w:sz w:val="20"/>
                <w:szCs w:val="20"/>
              </w:rPr>
              <w:t>Identification No.)</w:t>
            </w:r>
          </w:p>
        </w:tc>
      </w:tr>
    </w:tbl>
    <w:p w:rsidR="00000000" w:rsidRPr="00A376CF" w:rsidRDefault="003B7527">
      <w:pPr>
        <w:pStyle w:val="NormalWeb"/>
        <w:spacing w:before="0" w:beforeAutospacing="0" w:after="0" w:afterAutospacing="0"/>
        <w:jc w:val="center"/>
        <w:rPr>
          <w:sz w:val="20"/>
          <w:szCs w:val="20"/>
        </w:rPr>
      </w:pPr>
    </w:p>
    <w:p w:rsidR="00000000" w:rsidRPr="00A376CF" w:rsidRDefault="003B7527">
      <w:pPr>
        <w:pStyle w:val="NormalWeb"/>
        <w:spacing w:before="0" w:beforeAutospacing="0" w:after="0" w:afterAutospacing="0"/>
        <w:jc w:val="center"/>
        <w:rPr>
          <w:sz w:val="20"/>
          <w:szCs w:val="20"/>
        </w:rPr>
      </w:pPr>
      <w:r w:rsidRPr="00A376CF">
        <w:rPr>
          <w:b/>
          <w:bCs/>
          <w:sz w:val="20"/>
          <w:szCs w:val="20"/>
        </w:rPr>
        <w:t xml:space="preserve">C/O Crossfield, Inc., 653 VT Route 12A, PO Box 189, Randolph, VT 05060 </w:t>
      </w:r>
    </w:p>
    <w:p w:rsidR="00000000" w:rsidRPr="00A376CF" w:rsidRDefault="003B7527">
      <w:pPr>
        <w:pStyle w:val="NormalWeb"/>
        <w:spacing w:before="0" w:beforeAutospacing="0" w:after="0" w:afterAutospacing="0" w:line="200" w:lineRule="atLeast"/>
        <w:jc w:val="center"/>
        <w:rPr>
          <w:sz w:val="20"/>
          <w:szCs w:val="20"/>
        </w:rPr>
      </w:pPr>
      <w:r w:rsidRPr="00A376CF">
        <w:rPr>
          <w:sz w:val="20"/>
          <w:szCs w:val="20"/>
        </w:rPr>
        <w:t> (Address of Principal Executive Offices) (Zip Code)</w:t>
      </w:r>
    </w:p>
    <w:p w:rsidR="00000000" w:rsidRPr="00A376CF" w:rsidRDefault="003B7527">
      <w:pPr>
        <w:pStyle w:val="NormalWeb"/>
        <w:spacing w:before="0" w:beforeAutospacing="0" w:after="0" w:afterAutospacing="0"/>
        <w:jc w:val="center"/>
        <w:rPr>
          <w:sz w:val="20"/>
          <w:szCs w:val="20"/>
        </w:rPr>
      </w:pPr>
    </w:p>
    <w:p w:rsidR="00000000" w:rsidRPr="00A376CF" w:rsidRDefault="003B7527">
      <w:pPr>
        <w:pStyle w:val="NormalWeb"/>
        <w:spacing w:before="0" w:beforeAutospacing="0" w:after="0" w:afterAutospacing="0"/>
        <w:jc w:val="center"/>
        <w:rPr>
          <w:sz w:val="20"/>
          <w:szCs w:val="20"/>
        </w:rPr>
      </w:pPr>
      <w:r w:rsidRPr="00A376CF">
        <w:rPr>
          <w:b/>
          <w:bCs/>
          <w:sz w:val="20"/>
          <w:szCs w:val="20"/>
        </w:rPr>
        <w:t>(212) 727-7085</w:t>
      </w:r>
    </w:p>
    <w:p w:rsidR="00000000" w:rsidRPr="00A376CF" w:rsidRDefault="003B7527">
      <w:pPr>
        <w:pStyle w:val="NormalWeb"/>
        <w:spacing w:before="0" w:beforeAutospacing="0" w:after="0" w:afterAutospacing="0" w:line="200" w:lineRule="atLeast"/>
        <w:jc w:val="center"/>
        <w:rPr>
          <w:sz w:val="20"/>
          <w:szCs w:val="20"/>
        </w:rPr>
      </w:pPr>
      <w:r w:rsidRPr="00A376CF">
        <w:rPr>
          <w:sz w:val="20"/>
          <w:szCs w:val="20"/>
        </w:rPr>
        <w:t> (Registrant’s telephone number, including area code)</w:t>
      </w:r>
    </w:p>
    <w:p w:rsidR="00000000" w:rsidRPr="00A376CF" w:rsidRDefault="003B7527">
      <w:pPr>
        <w:pStyle w:val="NormalWeb"/>
        <w:spacing w:before="125" w:beforeAutospacing="0" w:after="0" w:afterAutospacing="0"/>
        <w:jc w:val="center"/>
        <w:rPr>
          <w:sz w:val="20"/>
          <w:szCs w:val="20"/>
        </w:rPr>
      </w:pPr>
      <w:r w:rsidRPr="00A376CF">
        <w:rPr>
          <w:b/>
          <w:bCs/>
          <w:sz w:val="20"/>
          <w:szCs w:val="20"/>
        </w:rPr>
        <w:t>C/O Crossfield, Inc., 100 Maiden Lane, Suite 2003, New York, NY 10038</w:t>
      </w:r>
    </w:p>
    <w:p w:rsidR="00000000" w:rsidRPr="00A376CF" w:rsidRDefault="003B7527">
      <w:pPr>
        <w:pStyle w:val="NormalWeb"/>
        <w:spacing w:before="0" w:beforeAutospacing="0" w:after="0" w:afterAutospacing="0" w:line="200" w:lineRule="atLeast"/>
        <w:jc w:val="center"/>
        <w:rPr>
          <w:sz w:val="20"/>
          <w:szCs w:val="20"/>
        </w:rPr>
      </w:pPr>
      <w:r w:rsidRPr="00A376CF">
        <w:rPr>
          <w:sz w:val="20"/>
          <w:szCs w:val="20"/>
        </w:rPr>
        <w:t>(Former name, former address and former fiscal year, if changed since last report)</w:t>
      </w:r>
    </w:p>
    <w:p w:rsidR="00000000" w:rsidRPr="00A376CF" w:rsidRDefault="003B7527">
      <w:pPr>
        <w:pStyle w:val="NormalWeb"/>
        <w:jc w:val="center"/>
        <w:divId w:val="435947914"/>
        <w:rPr>
          <w:sz w:val="20"/>
          <w:szCs w:val="20"/>
        </w:rPr>
      </w:pPr>
      <w:r w:rsidRPr="00A376CF">
        <w:rPr>
          <w:sz w:val="20"/>
          <w:szCs w:val="20"/>
        </w:rPr>
        <w:t>Securities registered under Sectio</w:t>
      </w:r>
      <w:r w:rsidRPr="00A376CF">
        <w:rPr>
          <w:sz w:val="20"/>
          <w:szCs w:val="20"/>
        </w:rPr>
        <w:t>n 12(g) of the Exchange Act: Common Stock, par value $.01per share</w:t>
      </w:r>
    </w:p>
    <w:p w:rsidR="00000000" w:rsidRPr="00A376CF" w:rsidRDefault="003B7527">
      <w:pPr>
        <w:pStyle w:val="NormalWeb"/>
        <w:jc w:val="center"/>
        <w:divId w:val="505286304"/>
        <w:rPr>
          <w:sz w:val="20"/>
          <w:szCs w:val="20"/>
        </w:rPr>
      </w:pPr>
      <w:r w:rsidRPr="00A376CF">
        <w:rPr>
          <w:sz w:val="20"/>
          <w:szCs w:val="20"/>
        </w:rPr>
        <w:t>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47"/>
        <w:gridCol w:w="345"/>
        <w:gridCol w:w="5226"/>
        <w:gridCol w:w="377"/>
      </w:tblGrid>
      <w:tr w:rsidR="00000000" w:rsidRPr="00A376CF">
        <w:trPr>
          <w:divId w:val="435947914"/>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000000" w:rsidRPr="00A376CF" w:rsidRDefault="003B7527">
            <w:pPr>
              <w:pStyle w:val="NormalWeb"/>
              <w:rPr>
                <w:sz w:val="20"/>
                <w:szCs w:val="20"/>
              </w:rPr>
            </w:pPr>
            <w:r w:rsidRPr="00A376CF">
              <w:rPr>
                <w:sz w:val="20"/>
                <w:szCs w:val="20"/>
              </w:rPr>
              <w:t xml:space="preserve">Indicate by check mark if the registrant is a well-known seasoned issuer, as defined in Rule 405 of the Securities Act. Yes </w:t>
            </w:r>
            <w:r w:rsidRPr="00A376CF">
              <w:rPr>
                <w:b/>
                <w:bCs/>
                <w:sz w:val="20"/>
                <w:szCs w:val="20"/>
              </w:rPr>
              <w:t>o</w:t>
            </w:r>
            <w:r w:rsidRPr="00A376CF">
              <w:rPr>
                <w:sz w:val="20"/>
                <w:szCs w:val="20"/>
              </w:rPr>
              <w:t xml:space="preserve">  No </w:t>
            </w:r>
            <w:r w:rsidRPr="00A376CF">
              <w:rPr>
                <w:b/>
                <w:bCs/>
                <w:sz w:val="20"/>
                <w:szCs w:val="20"/>
              </w:rPr>
              <w:t>þ</w:t>
            </w:r>
            <w:r w:rsidRPr="00A376CF">
              <w:rPr>
                <w:sz w:val="20"/>
                <w:szCs w:val="20"/>
              </w:rPr>
              <w:t> </w:t>
            </w:r>
            <w:r w:rsidRPr="00A376CF">
              <w:rPr>
                <w:sz w:val="20"/>
                <w:szCs w:val="20"/>
              </w:rPr>
              <w:t xml:space="preserve"> </w:t>
            </w:r>
          </w:p>
          <w:p w:rsidR="00000000" w:rsidRPr="00A376CF" w:rsidRDefault="003B7527">
            <w:pPr>
              <w:pStyle w:val="NormalWeb"/>
              <w:rPr>
                <w:sz w:val="20"/>
                <w:szCs w:val="20"/>
              </w:rPr>
            </w:pPr>
            <w:r w:rsidRPr="00A376CF">
              <w:rPr>
                <w:sz w:val="20"/>
                <w:szCs w:val="20"/>
              </w:rPr>
              <w:t>Indicate by check mark if the registrant is not re</w:t>
            </w:r>
            <w:r w:rsidRPr="00A376CF">
              <w:rPr>
                <w:sz w:val="20"/>
                <w:szCs w:val="20"/>
              </w:rPr>
              <w:t xml:space="preserve">quired to file reports pursuant to section 13 or Section 15(d) of the Act. Yes </w:t>
            </w:r>
            <w:r w:rsidRPr="00A376CF">
              <w:rPr>
                <w:b/>
                <w:bCs/>
                <w:sz w:val="20"/>
                <w:szCs w:val="20"/>
              </w:rPr>
              <w:t>o</w:t>
            </w:r>
            <w:r w:rsidRPr="00A376CF">
              <w:rPr>
                <w:sz w:val="20"/>
                <w:szCs w:val="20"/>
              </w:rPr>
              <w:t>  No </w:t>
            </w:r>
            <w:r w:rsidRPr="00A376CF">
              <w:rPr>
                <w:b/>
                <w:bCs/>
                <w:sz w:val="20"/>
                <w:szCs w:val="20"/>
              </w:rPr>
              <w:t>þ</w:t>
            </w:r>
          </w:p>
          <w:p w:rsidR="00000000" w:rsidRPr="00A376CF" w:rsidRDefault="003B7527">
            <w:pPr>
              <w:pStyle w:val="NormalWeb"/>
              <w:rPr>
                <w:sz w:val="20"/>
                <w:szCs w:val="20"/>
              </w:rPr>
            </w:pPr>
            <w:r w:rsidRPr="00A376CF">
              <w:rPr>
                <w:sz w:val="20"/>
                <w:szCs w:val="20"/>
              </w:rPr>
              <w:t>Indicate by check whether the registrant: (1) has filed all reports required to be filed by Section 13 or 15(d) of the Securities Exchange Act of 1934 during the precedi</w:t>
            </w:r>
            <w:r w:rsidRPr="00A376CF">
              <w:rPr>
                <w:sz w:val="20"/>
                <w:szCs w:val="20"/>
              </w:rPr>
              <w:t xml:space="preserve">ng 12 months (or for such shorter period that the registrant was required to file such reports), and (2) has been subject to such filing requirements for the past 90 days.     Yes </w:t>
            </w:r>
            <w:r w:rsidRPr="00A376CF">
              <w:rPr>
                <w:b/>
                <w:bCs/>
                <w:sz w:val="20"/>
                <w:szCs w:val="20"/>
              </w:rPr>
              <w:t>þ</w:t>
            </w:r>
            <w:r w:rsidRPr="00A376CF">
              <w:rPr>
                <w:sz w:val="20"/>
                <w:szCs w:val="20"/>
              </w:rPr>
              <w:t>  No </w:t>
            </w:r>
            <w:r w:rsidRPr="00A376CF">
              <w:rPr>
                <w:b/>
                <w:bCs/>
                <w:sz w:val="20"/>
                <w:szCs w:val="20"/>
              </w:rPr>
              <w:t>o</w:t>
            </w:r>
          </w:p>
          <w:p w:rsidR="00000000" w:rsidRPr="00A376CF" w:rsidRDefault="003B7527">
            <w:pPr>
              <w:pStyle w:val="NormalWeb"/>
              <w:rPr>
                <w:sz w:val="20"/>
                <w:szCs w:val="20"/>
              </w:rPr>
            </w:pPr>
            <w:r w:rsidRPr="00A376CF">
              <w:rPr>
                <w:sz w:val="20"/>
                <w:szCs w:val="20"/>
              </w:rPr>
              <w:t>Indicate by check mark whether the registrant has submitted electron</w:t>
            </w:r>
            <w:r w:rsidRPr="00A376CF">
              <w:rPr>
                <w:sz w:val="20"/>
                <w:szCs w:val="20"/>
              </w:rPr>
              <w:t>ically and posted on its corporate Web site, if any, every Interactive Data File required to be submitted and posted pursuant to Rule 405 of Regulation S-T (§ 229.405 of this chapter) during the preceding 12 months (or for such shorter period that the regi</w:t>
            </w:r>
            <w:r w:rsidRPr="00A376CF">
              <w:rPr>
                <w:sz w:val="20"/>
                <w:szCs w:val="20"/>
              </w:rPr>
              <w:t xml:space="preserve">strant was required to submit and post such files). Yes </w:t>
            </w:r>
            <w:r w:rsidRPr="00A376CF">
              <w:rPr>
                <w:b/>
                <w:bCs/>
                <w:sz w:val="20"/>
                <w:szCs w:val="20"/>
              </w:rPr>
              <w:t>þ</w:t>
            </w:r>
            <w:r w:rsidRPr="00A376CF">
              <w:rPr>
                <w:sz w:val="20"/>
                <w:szCs w:val="20"/>
              </w:rPr>
              <w:t>  No </w:t>
            </w:r>
            <w:r w:rsidRPr="00A376CF">
              <w:rPr>
                <w:b/>
                <w:bCs/>
                <w:sz w:val="20"/>
                <w:szCs w:val="20"/>
              </w:rPr>
              <w:t>o</w:t>
            </w:r>
          </w:p>
          <w:p w:rsidR="00000000" w:rsidRPr="00A376CF" w:rsidRDefault="003B7527">
            <w:pPr>
              <w:pStyle w:val="NormalWeb"/>
              <w:rPr>
                <w:sz w:val="20"/>
                <w:szCs w:val="20"/>
              </w:rPr>
            </w:pPr>
            <w:r w:rsidRPr="00A376CF">
              <w:rPr>
                <w:sz w:val="20"/>
                <w:szCs w:val="20"/>
              </w:rPr>
              <w:t>Indicate by check mark if disclosure of delinquent filers in response to Item 405 of Regulation S-</w:t>
            </w:r>
            <w:proofErr w:type="gramStart"/>
            <w:r w:rsidRPr="00A376CF">
              <w:rPr>
                <w:sz w:val="20"/>
                <w:szCs w:val="20"/>
              </w:rPr>
              <w:t>K(</w:t>
            </w:r>
            <w:proofErr w:type="gramEnd"/>
            <w:r w:rsidRPr="00A376CF">
              <w:rPr>
                <w:sz w:val="20"/>
                <w:szCs w:val="20"/>
              </w:rPr>
              <w:t>§ 229.405 of this chapter) is not contained herein, and will not be contained, to the best o</w:t>
            </w:r>
            <w:r w:rsidRPr="00A376CF">
              <w:rPr>
                <w:sz w:val="20"/>
                <w:szCs w:val="20"/>
              </w:rPr>
              <w:t xml:space="preserve">f registrant's knowledge, in definitive proxy or information </w:t>
            </w:r>
            <w:r w:rsidRPr="00A376CF">
              <w:rPr>
                <w:sz w:val="20"/>
                <w:szCs w:val="20"/>
              </w:rPr>
              <w:lastRenderedPageBreak/>
              <w:t xml:space="preserve">statements incorporated by reference in Part III of this Form 10-K or any amendment to this Form 10-K. Yes </w:t>
            </w:r>
            <w:r w:rsidRPr="00A376CF">
              <w:rPr>
                <w:b/>
                <w:bCs/>
                <w:sz w:val="20"/>
                <w:szCs w:val="20"/>
              </w:rPr>
              <w:t>o</w:t>
            </w:r>
            <w:r w:rsidRPr="00A376CF">
              <w:rPr>
                <w:sz w:val="20"/>
                <w:szCs w:val="20"/>
              </w:rPr>
              <w:t>  No </w:t>
            </w:r>
            <w:r w:rsidRPr="00A376CF">
              <w:rPr>
                <w:b/>
                <w:bCs/>
                <w:sz w:val="20"/>
                <w:szCs w:val="20"/>
              </w:rPr>
              <w:t>þ</w:t>
            </w:r>
          </w:p>
          <w:p w:rsidR="00000000" w:rsidRPr="00A376CF" w:rsidRDefault="003B7527">
            <w:pPr>
              <w:pStyle w:val="NormalWeb"/>
              <w:rPr>
                <w:sz w:val="20"/>
                <w:szCs w:val="20"/>
              </w:rPr>
            </w:pPr>
            <w:r w:rsidRPr="00A376CF">
              <w:rPr>
                <w:sz w:val="20"/>
                <w:szCs w:val="20"/>
              </w:rPr>
              <w:t>Indicate by check mark whether the registrant is a large accelerated filer, an a</w:t>
            </w:r>
            <w:r w:rsidRPr="00A376CF">
              <w:rPr>
                <w:sz w:val="20"/>
                <w:szCs w:val="20"/>
              </w:rPr>
              <w:t>ccelerated filer, a non-accelerated filer, or a smaller reporting company. See the definitions of "large accelerated filer", "an accelerated filer" and "smaller reporting company" in Rule 12b-2 of the Exchange Act.</w:t>
            </w:r>
          </w:p>
        </w:tc>
      </w:tr>
      <w:tr w:rsidR="00000000" w:rsidRPr="00A376CF">
        <w:trPr>
          <w:divId w:val="43594791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A376CF" w:rsidRDefault="003B7527">
            <w:pPr>
              <w:pStyle w:val="NormalWeb"/>
              <w:rPr>
                <w:sz w:val="20"/>
                <w:szCs w:val="20"/>
              </w:rPr>
            </w:pPr>
            <w:r w:rsidRPr="00A376CF">
              <w:rPr>
                <w:sz w:val="20"/>
                <w:szCs w:val="20"/>
              </w:rPr>
              <w:lastRenderedPageBreak/>
              <w:t>Large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A376CF" w:rsidRDefault="003B7527">
            <w:pPr>
              <w:pStyle w:val="NormalWeb"/>
              <w:rPr>
                <w:sz w:val="20"/>
                <w:szCs w:val="20"/>
              </w:rPr>
            </w:pPr>
            <w:r w:rsidRPr="00A376CF">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A376CF" w:rsidRDefault="003B7527">
            <w:pPr>
              <w:pStyle w:val="NormalWeb"/>
              <w:rPr>
                <w:sz w:val="20"/>
                <w:szCs w:val="20"/>
              </w:rPr>
            </w:pPr>
            <w:r w:rsidRPr="00A376CF">
              <w:rPr>
                <w:sz w:val="20"/>
                <w:szCs w:val="20"/>
              </w:rPr>
              <w:t>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A376CF" w:rsidRDefault="003B7527">
            <w:pPr>
              <w:pStyle w:val="NormalWeb"/>
              <w:rPr>
                <w:sz w:val="20"/>
                <w:szCs w:val="20"/>
              </w:rPr>
            </w:pPr>
            <w:r w:rsidRPr="00A376CF">
              <w:rPr>
                <w:b/>
                <w:bCs/>
                <w:sz w:val="20"/>
                <w:szCs w:val="20"/>
              </w:rPr>
              <w:t>o</w:t>
            </w:r>
          </w:p>
        </w:tc>
      </w:tr>
      <w:tr w:rsidR="00000000" w:rsidRPr="00A376CF">
        <w:trPr>
          <w:divId w:val="43594791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A376CF" w:rsidRDefault="003B7527">
            <w:pPr>
              <w:pStyle w:val="NormalWeb"/>
              <w:rPr>
                <w:sz w:val="20"/>
                <w:szCs w:val="20"/>
              </w:rPr>
            </w:pPr>
            <w:r w:rsidRPr="00A376CF">
              <w:rPr>
                <w:sz w:val="20"/>
                <w:szCs w:val="20"/>
              </w:rPr>
              <w:t>Non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A376CF" w:rsidRDefault="003B7527">
            <w:pPr>
              <w:pStyle w:val="NormalWeb"/>
              <w:rPr>
                <w:sz w:val="20"/>
                <w:szCs w:val="20"/>
              </w:rPr>
            </w:pPr>
            <w:r w:rsidRPr="00A376CF">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A376CF" w:rsidRDefault="003B7527">
            <w:pPr>
              <w:pStyle w:val="NormalWeb"/>
              <w:rPr>
                <w:sz w:val="20"/>
                <w:szCs w:val="20"/>
              </w:rPr>
            </w:pPr>
            <w:r w:rsidRPr="00A376CF">
              <w:rPr>
                <w:sz w:val="20"/>
                <w:szCs w:val="20"/>
              </w:rPr>
              <w:t>Smaller Reporting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A376CF" w:rsidRDefault="003B7527">
            <w:pPr>
              <w:pStyle w:val="NormalWeb"/>
              <w:rPr>
                <w:sz w:val="20"/>
                <w:szCs w:val="20"/>
              </w:rPr>
            </w:pPr>
            <w:r w:rsidRPr="00A376CF">
              <w:rPr>
                <w:b/>
                <w:bCs/>
                <w:sz w:val="20"/>
                <w:szCs w:val="20"/>
              </w:rPr>
              <w:t>þ</w:t>
            </w:r>
          </w:p>
        </w:tc>
      </w:tr>
      <w:tr w:rsidR="00000000" w:rsidRPr="00A376CF">
        <w:trPr>
          <w:divId w:val="435947914"/>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Pr="00A376CF" w:rsidRDefault="003B7527">
            <w:pPr>
              <w:pStyle w:val="NormalWeb"/>
              <w:rPr>
                <w:sz w:val="20"/>
                <w:szCs w:val="20"/>
              </w:rPr>
            </w:pPr>
            <w:r w:rsidRPr="00A376CF">
              <w:rPr>
                <w:sz w:val="20"/>
                <w:szCs w:val="20"/>
              </w:rPr>
              <w:t> </w:t>
            </w:r>
          </w:p>
          <w:p w:rsidR="00000000" w:rsidRPr="00A376CF" w:rsidRDefault="003B7527">
            <w:pPr>
              <w:pStyle w:val="NormalWeb"/>
              <w:rPr>
                <w:sz w:val="20"/>
                <w:szCs w:val="20"/>
              </w:rPr>
            </w:pPr>
            <w:r w:rsidRPr="00A376CF">
              <w:rPr>
                <w:sz w:val="20"/>
                <w:szCs w:val="20"/>
              </w:rPr>
              <w:t xml:space="preserve">Indicate by check mark whether the registrant is a shell company (as defined in Rule 12b-2 of the Exchange Act. Check one: Yes </w:t>
            </w:r>
            <w:r w:rsidRPr="00A376CF">
              <w:rPr>
                <w:b/>
                <w:bCs/>
                <w:sz w:val="20"/>
                <w:szCs w:val="20"/>
              </w:rPr>
              <w:t>o</w:t>
            </w:r>
            <w:r w:rsidRPr="00A376CF">
              <w:rPr>
                <w:sz w:val="20"/>
                <w:szCs w:val="20"/>
              </w:rPr>
              <w:t>  No </w:t>
            </w:r>
            <w:r w:rsidRPr="00A376CF">
              <w:rPr>
                <w:b/>
                <w:bCs/>
                <w:sz w:val="20"/>
                <w:szCs w:val="20"/>
              </w:rPr>
              <w:t>þ</w:t>
            </w:r>
          </w:p>
          <w:p w:rsidR="00000000" w:rsidRPr="00A376CF" w:rsidRDefault="00A376CF">
            <w:pPr>
              <w:pStyle w:val="NormalWeb"/>
              <w:rPr>
                <w:sz w:val="20"/>
                <w:szCs w:val="20"/>
              </w:rPr>
            </w:pPr>
            <w:r>
              <w:rPr>
                <w:sz w:val="20"/>
                <w:szCs w:val="20"/>
              </w:rPr>
              <w:t>Indicate the nu</w:t>
            </w:r>
            <w:r w:rsidR="003B7527" w:rsidRPr="00A376CF">
              <w:rPr>
                <w:sz w:val="20"/>
                <w:szCs w:val="20"/>
              </w:rPr>
              <w:t>mber of shares outstanding of each of the issuer's classes of common stock, as of the last practicable date: As of November 04, 2014, there were 46,973,585 issued shares and 45,853,585 outstanding shares of the registrant's Common Stock, $.</w:t>
            </w:r>
            <w:r w:rsidR="003B7527" w:rsidRPr="00A376CF">
              <w:rPr>
                <w:sz w:val="20"/>
                <w:szCs w:val="20"/>
              </w:rPr>
              <w:t>01 par value.</w:t>
            </w:r>
          </w:p>
          <w:p w:rsidR="00000000" w:rsidRPr="00A376CF" w:rsidRDefault="003B7527">
            <w:pPr>
              <w:pStyle w:val="NormalWeb"/>
              <w:rPr>
                <w:sz w:val="20"/>
                <w:szCs w:val="20"/>
              </w:rPr>
            </w:pPr>
            <w:r w:rsidRPr="00A376CF">
              <w:rPr>
                <w:sz w:val="20"/>
                <w:szCs w:val="20"/>
              </w:rPr>
              <w:t>Documents incorporated by reference: None.</w:t>
            </w:r>
          </w:p>
        </w:tc>
      </w:tr>
    </w:tbl>
    <w:p w:rsidR="00000000" w:rsidRDefault="00C27026">
      <w:pPr>
        <w:rPr>
          <w:rFonts w:eastAsia="Times New Roman"/>
        </w:rPr>
      </w:pPr>
      <w:r>
        <w:rPr>
          <w:rFonts w:eastAsia="Times New Roman"/>
        </w:rPr>
        <w:pict>
          <v:rect id="_x0000_i1027" style="width:0;height:.75pt" o:hralign="center" o:hrstd="t" o:hrnoshade="t" o:hr="t" fillcolor="black" stroked="f"/>
        </w:pict>
      </w:r>
    </w:p>
    <w:p w:rsidR="00A376CF" w:rsidRDefault="00C27026">
      <w:pPr>
        <w:rPr>
          <w:rFonts w:eastAsia="Times New Roman"/>
        </w:rPr>
      </w:pPr>
      <w:r>
        <w:rPr>
          <w:rFonts w:eastAsia="Times New Roman"/>
        </w:rPr>
        <w:pict>
          <v:rect id="_x0000_i1028" style="width:0;height:3pt" o:hralign="center" o:hrstd="t" o:hrnoshade="t" o:hr="t" fillcolor="black" stroked="f"/>
        </w:pict>
      </w:r>
    </w:p>
    <w:p w:rsidR="00A376CF" w:rsidRDefault="00A376CF">
      <w:pPr>
        <w:rPr>
          <w:rFonts w:eastAsia="Times New Roman"/>
        </w:rPr>
      </w:pPr>
      <w:r>
        <w:rPr>
          <w:rFonts w:eastAsia="Times New Roman"/>
        </w:rPr>
        <w:br w:type="page"/>
      </w:r>
    </w:p>
    <w:p w:rsidR="00000000" w:rsidRDefault="003B7527">
      <w:pPr>
        <w:pStyle w:val="NormalWeb"/>
        <w:jc w:val="center"/>
      </w:pPr>
      <w:proofErr w:type="gramStart"/>
      <w:r>
        <w:rPr>
          <w:b/>
          <w:bCs/>
        </w:rPr>
        <w:lastRenderedPageBreak/>
        <w:t>ADVANCED OXYGEN TECHNOLOGIES, INC.</w:t>
      </w:r>
      <w:proofErr w:type="gramEnd"/>
    </w:p>
    <w:p w:rsidR="00000000" w:rsidRDefault="003B7527">
      <w:pPr>
        <w:pStyle w:val="NormalWeb"/>
        <w:jc w:val="center"/>
      </w:pPr>
      <w:bookmarkStart w:id="0" w:name="toc"/>
      <w:bookmarkEnd w:id="0"/>
      <w:r>
        <w:t> Table of Contents</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7"/>
        <w:gridCol w:w="208"/>
        <w:gridCol w:w="8732"/>
        <w:gridCol w:w="624"/>
        <w:gridCol w:w="624"/>
      </w:tblGrid>
      <w:tr w:rsidR="00000000">
        <w:trPr>
          <w:tblCellSpacing w:w="0" w:type="dxa"/>
          <w:jc w:val="center"/>
        </w:trPr>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center"/>
            </w:pPr>
            <w:r>
              <w:rPr>
                <w:b/>
                <w:bCs/>
                <w:sz w:val="20"/>
                <w:szCs w:val="20"/>
              </w:rPr>
              <w:t>INDEX</w:t>
            </w:r>
          </w:p>
        </w:tc>
      </w:tr>
      <w:tr w:rsidR="0000000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b/>
                <w:bCs/>
                <w:sz w:val="20"/>
                <w:szCs w:val="20"/>
              </w:rPr>
              <w:t>PART I</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 xml:space="preserve">Item I: Financial Statements (unaudited)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Page</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Unaudited consolidated Balance Sheet as of September 30, 2014 and June 30, 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1</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Unaudited Consolidated Statement of Operations and Changes in Accumulated Deficit for the three months ended September 30, 2014 and September 30, 2013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3</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Unaudited Consolidated Statement of Changes in Stockholders’ Equity and (Capital Deficiency) for the three months ended September 30, 2014 and September 30, 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4</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Unaudited Consolidated Statement of Cash Flow for the three months ended September 30, 2014 and September 30, 2013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5</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Notes to the Consolidated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6</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 xml:space="preserve">Item 2: Management's Discussion and Analysis of Financial Condition and Results of Operations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11</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 xml:space="preserve">Item 3: Quantitative and Qualitative Disclosures about Market Risk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16</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Item 4: Controls and Procedures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16</w:t>
            </w:r>
          </w:p>
        </w:tc>
      </w:tr>
      <w:tr w:rsidR="0000000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PART 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 xml:space="preserve">Item 1: Legal Proceedings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18</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 xml:space="preserve">Item 2: Unregistered Sales of Equity Securities and Use of Proceeds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18</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Item 3: Defaults Upon Senior Securities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18</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Item 4: Submission of Matters To a Vote of Security Holders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18</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 xml:space="preserve">Item 5: Other Information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18</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 xml:space="preserve">Item 6. Exhibits and Reports on Form 8-K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18</w:t>
            </w:r>
          </w:p>
        </w:tc>
      </w:tr>
      <w:tr w:rsidR="0000000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Signature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19</w:t>
            </w:r>
          </w:p>
        </w:tc>
      </w:tr>
      <w:tr w:rsidR="0000000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EXHIBIT 99.1 (A), 99.1(B) Certifications of Officers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EX 31</w:t>
            </w:r>
          </w:p>
        </w:tc>
      </w:tr>
      <w:tr w:rsidR="0000000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EXHIBIT 99.1 (C), 99.1(D) Certifications of Officers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EX 32</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 </w:t>
            </w:r>
          </w:p>
        </w:tc>
      </w:tr>
    </w:tbl>
    <w:p w:rsidR="00A376CF" w:rsidRDefault="00C27026">
      <w:pPr>
        <w:rPr>
          <w:rFonts w:eastAsia="Times New Roman"/>
        </w:rPr>
      </w:pPr>
      <w:r>
        <w:rPr>
          <w:rFonts w:eastAsia="Times New Roman"/>
        </w:rPr>
        <w:pict>
          <v:rect id="_x0000_i1029" style="width:0;height:3pt" o:hralign="center" o:hrstd="t" o:hrnoshade="t" o:hr="t" fillcolor="black" stroked="f"/>
        </w:pict>
      </w:r>
    </w:p>
    <w:p w:rsidR="00A376CF" w:rsidRDefault="00A376CF">
      <w:pPr>
        <w:rPr>
          <w:rFonts w:eastAsia="Times New Roman"/>
        </w:rPr>
      </w:pPr>
      <w:r>
        <w:rPr>
          <w:rFonts w:eastAsia="Times New Roman"/>
        </w:rPr>
        <w:br w:type="page"/>
      </w:r>
    </w:p>
    <w:p w:rsidR="00000000" w:rsidRDefault="003B7527">
      <w:pPr>
        <w:pStyle w:val="NormalWeb"/>
      </w:pPr>
      <w:r>
        <w:rPr>
          <w:b/>
          <w:bCs/>
          <w:sz w:val="20"/>
          <w:szCs w:val="20"/>
        </w:rPr>
        <w:lastRenderedPageBreak/>
        <w:t xml:space="preserve">PART 1: FINANCIAL INFORMATION </w:t>
      </w:r>
    </w:p>
    <w:p w:rsidR="00000000" w:rsidRDefault="003B7527">
      <w:pPr>
        <w:divId w:val="1810130847"/>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Consolidated Financial Statements for the three months ending September 30, 2013 (unaudited).</w:t>
      </w:r>
      <w:r>
        <w:rPr>
          <w:rFonts w:eastAsia="Times New Roman"/>
        </w:rPr>
        <w:t xml:space="preserve"> </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2"/>
        <w:gridCol w:w="1384"/>
        <w:gridCol w:w="1385"/>
        <w:gridCol w:w="1384"/>
      </w:tblGrid>
      <w:tr w:rsidR="00000000">
        <w:trPr>
          <w:divId w:val="1810130847"/>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center"/>
            </w:pPr>
            <w:bookmarkStart w:id="1" w:name="bs"/>
            <w:bookmarkEnd w:id="1"/>
            <w:r>
              <w:rPr>
                <w:b/>
                <w:bCs/>
                <w:sz w:val="20"/>
                <w:szCs w:val="20"/>
              </w:rPr>
              <w:t> ADVANCED OXYGEN TECHNOLOGIES, INC.</w:t>
            </w:r>
            <w:r>
              <w:rPr>
                <w:b/>
                <w:bCs/>
              </w:rPr>
              <w:t xml:space="preserve"> </w:t>
            </w:r>
          </w:p>
          <w:p w:rsidR="00000000" w:rsidRDefault="003B7527">
            <w:pPr>
              <w:pStyle w:val="NormalWeb"/>
              <w:jc w:val="center"/>
            </w:pPr>
            <w:r>
              <w:rPr>
                <w:b/>
                <w:bCs/>
                <w:sz w:val="20"/>
                <w:szCs w:val="20"/>
              </w:rPr>
              <w:t>AND SUBSIDIARY</w:t>
            </w:r>
          </w:p>
          <w:p w:rsidR="00000000" w:rsidRDefault="003B7527">
            <w:pPr>
              <w:pStyle w:val="NormalWeb"/>
              <w:jc w:val="center"/>
            </w:pPr>
            <w:r>
              <w:rPr>
                <w:b/>
                <w:bCs/>
                <w:sz w:val="20"/>
                <w:szCs w:val="20"/>
              </w:rPr>
              <w:t>CONSOLATED BALANCE SHEETS</w:t>
            </w:r>
          </w:p>
        </w:tc>
      </w:tr>
      <w:tr w:rsidR="00000000" w:rsidTr="00A376CF">
        <w:trPr>
          <w:divId w:val="1810130847"/>
          <w:tblCellSpacing w:w="0" w:type="dxa"/>
        </w:trPr>
        <w:tc>
          <w:tcPr>
            <w:tcW w:w="3003"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center"/>
            </w:pPr>
            <w:r>
              <w:rPr>
                <w:b/>
                <w:bCs/>
                <w:sz w:val="20"/>
                <w:szCs w:val="20"/>
              </w:rPr>
              <w:t>As of September 30,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center"/>
            </w:pPr>
            <w:r>
              <w:rPr>
                <w:b/>
                <w:bCs/>
                <w:sz w:val="20"/>
                <w:szCs w:val="20"/>
              </w:rPr>
              <w:t>As of June 30,</w:t>
            </w:r>
          </w:p>
        </w:tc>
      </w:tr>
      <w:tr w:rsidR="00000000" w:rsidTr="00A376CF">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b/>
                <w:bCs/>
                <w:sz w:val="20"/>
                <w:szCs w:val="20"/>
              </w:rPr>
              <w:t>ASSETS</w:t>
            </w:r>
          </w:p>
        </w:tc>
        <w:tc>
          <w:tcPr>
            <w:tcW w:w="666"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center"/>
            </w:pPr>
            <w:r>
              <w:rPr>
                <w:b/>
                <w:bCs/>
                <w:sz w:val="20"/>
                <w:szCs w:val="20"/>
              </w:rPr>
              <w:t>2014 </w:t>
            </w:r>
          </w:p>
          <w:p w:rsidR="00000000" w:rsidRDefault="003B7527">
            <w:pPr>
              <w:pStyle w:val="NormalWeb"/>
              <w:jc w:val="center"/>
            </w:pPr>
            <w:r>
              <w:rPr>
                <w:b/>
                <w:bCs/>
              </w:rPr>
              <w:t>(unaudited)</w:t>
            </w:r>
          </w:p>
          <w:p w:rsidR="00000000" w:rsidRDefault="00C27026">
            <w:pPr>
              <w:rPr>
                <w:rFonts w:eastAsia="Times New Roman"/>
              </w:rPr>
            </w:pPr>
            <w:r>
              <w:rPr>
                <w:rFonts w:eastAsia="Times New Roman"/>
              </w:rPr>
              <w:pict>
                <v:rect id="_x0000_i1030" style="width:468pt;height:1.5pt" o:hralign="center" o:hrstd="t" o:hr="t" fillcolor="#aca899" stroked="f"/>
              </w:pict>
            </w:r>
          </w:p>
        </w:tc>
        <w:tc>
          <w:tcPr>
            <w:tcW w:w="666"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center"/>
            </w:pPr>
            <w:r>
              <w:rPr>
                <w:b/>
                <w:bCs/>
                <w:sz w:val="20"/>
                <w:szCs w:val="20"/>
              </w:rPr>
              <w:t>2014 </w:t>
            </w:r>
          </w:p>
          <w:p w:rsidR="00000000" w:rsidRDefault="00C27026">
            <w:pPr>
              <w:jc w:val="center"/>
              <w:rPr>
                <w:rFonts w:eastAsia="Times New Roman"/>
              </w:rPr>
            </w:pPr>
            <w:r>
              <w:rPr>
                <w:rFonts w:eastAsia="Times New Roman"/>
              </w:rPr>
              <w:pict>
                <v:rect id="_x0000_i1031" style="width:468pt;height:1.5pt" o:hralign="center" o:hrstd="t" o:hr="t" fillcolor="#aca899" stroked="f"/>
              </w:pict>
            </w:r>
          </w:p>
        </w:tc>
        <w:tc>
          <w:tcPr>
            <w:tcW w:w="666"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center"/>
            </w:pPr>
            <w:r>
              <w:rPr>
                <w:b/>
                <w:bCs/>
                <w:sz w:val="20"/>
                <w:szCs w:val="20"/>
              </w:rPr>
              <w:t>2013  </w:t>
            </w:r>
          </w:p>
          <w:p w:rsidR="00000000" w:rsidRDefault="00C27026">
            <w:pPr>
              <w:jc w:val="center"/>
              <w:rPr>
                <w:rFonts w:eastAsia="Times New Roman"/>
              </w:rPr>
            </w:pPr>
            <w:r>
              <w:rPr>
                <w:rFonts w:eastAsia="Times New Roman"/>
              </w:rPr>
              <w:pict>
                <v:rect id="_x0000_i1032" style="width:468pt;height:1.5pt" o:hralign="center" o:hrstd="t" o:hr="t" fillcolor="#aca899" stroked="f"/>
              </w:pic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     94,900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     100,825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     5,775</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xml:space="preserve">   </w:t>
            </w:r>
            <w:r>
              <w:rPr>
                <w:sz w:val="20"/>
                <w:szCs w:val="20"/>
              </w:rPr>
              <w:t>Deferred Taxes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jc w:val="right"/>
              <w:rPr>
                <w:rFonts w:eastAsia="Times New Roman"/>
              </w:rPr>
            </w:pPr>
            <w:r>
              <w:rPr>
                <w:rFonts w:eastAsia="Times New Roman"/>
                <w:sz w:val="20"/>
                <w:szCs w:val="20"/>
              </w:rPr>
              <w:t>1,644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jc w:val="right"/>
              <w:rPr>
                <w:rFonts w:eastAsia="Times New Roman"/>
              </w:rPr>
            </w:pPr>
            <w:r>
              <w:rPr>
                <w:rFonts w:eastAsia="Times New Roman"/>
                <w:sz w:val="20"/>
                <w:szCs w:val="20"/>
              </w:rPr>
              <w:t>1,644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Total 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96,544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102,469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5,775</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FIXED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Land and buildings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605,960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605,960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578,704</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TOTAL ASSETS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    702,504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    708,429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    584,479</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center"/>
            </w:pPr>
            <w:r>
              <w:rPr>
                <w:sz w:val="20"/>
                <w:szCs w:val="20"/>
              </w:rPr>
              <w:t> </w:t>
            </w:r>
            <w:r>
              <w:rPr>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r>
    </w:tbl>
    <w:p w:rsidR="00A376CF" w:rsidRDefault="00A376CF">
      <w:pPr>
        <w:divId w:val="1810130847"/>
      </w:pPr>
      <w:r>
        <w:br w:type="page"/>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3"/>
        <w:gridCol w:w="1384"/>
        <w:gridCol w:w="1384"/>
        <w:gridCol w:w="1384"/>
      </w:tblGrid>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b/>
                <w:bCs/>
                <w:sz w:val="20"/>
                <w:szCs w:val="20"/>
              </w:rPr>
              <w:lastRenderedPageBreak/>
              <w:t>            LIABILITIES AND STOCKHOLDERS' EQUITY              </w:t>
            </w:r>
            <w:r>
              <w:rPr>
                <w:sz w:val="20"/>
                <w:szCs w:val="20"/>
              </w:rPr>
              <w:t>   </w:t>
            </w: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Accounts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  8,161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  9,261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    22,591</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Current Portion of Long Term Debt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35,985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35,985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7,386</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Note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126,174</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Taxes payable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55,895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58,026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61,476</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Total 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227,070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230,301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217,627</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Long Term Debt,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206,838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213,900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47,560</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Due to affiliate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57,359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56,259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46,400</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Total Long Term Debt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264,197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270,159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93,960</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Total Liabilities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491,267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500,460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311,587</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STOCKHOLDERS' EQUITY-</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xml:space="preserve">   </w:t>
            </w:r>
            <w:r>
              <w:rPr>
                <w:sz w:val="20"/>
                <w:szCs w:val="20"/>
              </w:rPr>
              <w:t>Convertible preferred stock, Series 2, par value $0.01; authorized  10,000,000 shares; issued and outstanding 5,000 shares liquidating preference $25,000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50</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xml:space="preserve">   </w:t>
            </w:r>
            <w:r>
              <w:rPr>
                <w:sz w:val="20"/>
                <w:szCs w:val="20"/>
              </w:rPr>
              <w:t>Convertible preferred stock, Series 3, par value $0.01; authorized and issued, 1,670,000 shares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16,700</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Convertible preferred stock, Series 4; issued and outstanding,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b/>
                <w:bCs/>
                <w:sz w:val="20"/>
                <w:szCs w:val="20"/>
              </w:rPr>
              <w:t>-</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xml:space="preserve">   </w:t>
            </w:r>
            <w:r>
              <w:rPr>
                <w:sz w:val="20"/>
                <w:szCs w:val="20"/>
              </w:rPr>
              <w:t>Convertible preferred stock, Series 5; issued, 1 share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b/>
                <w:bCs/>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b/>
                <w:bCs/>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Common stock, par value $0.01; authorized, 90,000,000 shares; issued 46,973,585 shares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469,736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469,736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469,736</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Additional paid-in capital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20,497,769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20,497,769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20,497,769</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(20,765,734)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(20,769,002)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(20,704,078)</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Less treasury stock, at cost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1,670,000 shares of convertible preferred   stock, Series 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(7,284)</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1,120,000 shares of common stock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sz w:val="20"/>
                <w:szCs w:val="20"/>
              </w:rPr>
              <w:t>  TOTAL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211,237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207,969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sz w:val="20"/>
                <w:szCs w:val="20"/>
              </w:rPr>
              <w:t>272,893</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pPr>
            <w:r>
              <w:rPr>
                <w:b/>
                <w:bCs/>
                <w:sz w:val="20"/>
                <w:szCs w:val="20"/>
              </w:rPr>
              <w:t>  </w:t>
            </w:r>
            <w:r>
              <w:rPr>
                <w:b/>
                <w:bCs/>
                <w:sz w:val="20"/>
                <w:szCs w:val="20"/>
              </w:rPr>
              <w:t>TOTAL LIABILITIES AND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b/>
                <w:bCs/>
                <w:sz w:val="20"/>
                <w:szCs w:val="20"/>
              </w:rPr>
              <w:t>$   702,504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b/>
                <w:bCs/>
                <w:sz w:val="20"/>
                <w:szCs w:val="20"/>
              </w:rPr>
              <w:t>$   708,429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right"/>
            </w:pPr>
            <w:r>
              <w:rPr>
                <w:b/>
                <w:bCs/>
                <w:sz w:val="20"/>
                <w:szCs w:val="20"/>
              </w:rPr>
              <w:t>$   584,479</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3B7527">
            <w:pPr>
              <w:pStyle w:val="NormalWeb"/>
              <w:jc w:val="right"/>
            </w:pPr>
            <w:r>
              <w:rPr>
                <w:sz w:val="20"/>
                <w:szCs w:val="20"/>
              </w:rPr>
              <w:t>============</w:t>
            </w:r>
          </w:p>
        </w:tc>
      </w:tr>
      <w:tr w:rsidR="00000000">
        <w:trPr>
          <w:divId w:val="18101308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3B7527">
            <w:pPr>
              <w:pStyle w:val="NormalWeb"/>
              <w:jc w:val="center"/>
            </w:pPr>
            <w:r>
              <w:rPr>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r>
    </w:tbl>
    <w:p w:rsidR="00000000" w:rsidRDefault="003B7527">
      <w:pPr>
        <w:pStyle w:val="NormalWeb"/>
        <w:divId w:val="1810130847"/>
      </w:pPr>
      <w:hyperlink w:anchor="toc" w:history="1">
        <w:r>
          <w:rPr>
            <w:rStyle w:val="Hyperlink"/>
            <w:b/>
            <w:bCs/>
            <w:sz w:val="20"/>
            <w:szCs w:val="20"/>
          </w:rPr>
          <w:t>Return to Table of Contents</w:t>
        </w:r>
      </w:hyperlink>
    </w:p>
    <w:p w:rsidR="00A376CF" w:rsidRDefault="00C27026">
      <w:pPr>
        <w:rPr>
          <w:rFonts w:eastAsia="Times New Roman"/>
        </w:rPr>
      </w:pPr>
      <w:r>
        <w:rPr>
          <w:rFonts w:eastAsia="Times New Roman"/>
        </w:rPr>
        <w:pict>
          <v:rect id="_x0000_i1033" style="width:0;height:3pt" o:hralign="center" o:hrstd="t" o:hrnoshade="t" o:hr="t" fillcolor="black" stroked="f"/>
        </w:pict>
      </w:r>
    </w:p>
    <w:p w:rsidR="00A376CF" w:rsidRDefault="00A376CF">
      <w:pPr>
        <w:rPr>
          <w:rFonts w:eastAsia="Times New Roman"/>
        </w:rPr>
      </w:pPr>
      <w:r>
        <w:rPr>
          <w:rFonts w:eastAsia="Times New Roman"/>
        </w:rPr>
        <w:br w:type="page"/>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03"/>
        <w:gridCol w:w="1064"/>
        <w:gridCol w:w="1064"/>
        <w:gridCol w:w="1064"/>
      </w:tblGrid>
      <w:tr w:rsidR="0000000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pStyle w:val="NormalWeb"/>
              <w:jc w:val="center"/>
            </w:pPr>
            <w:r>
              <w:rPr>
                <w:b/>
                <w:bCs/>
                <w:sz w:val="20"/>
                <w:szCs w:val="20"/>
              </w:rPr>
              <w:lastRenderedPageBreak/>
              <w:t>ADVANCED OXYGEN TECHNOLOGIES, INC.</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r>
      <w:tr w:rsidR="0000000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center"/>
              <w:rPr>
                <w:rFonts w:eastAsia="Times New Roman"/>
              </w:rPr>
            </w:pPr>
            <w:r>
              <w:rPr>
                <w:rFonts w:eastAsia="Times New Roman"/>
                <w:b/>
                <w:bCs/>
                <w:sz w:val="20"/>
                <w:szCs w:val="20"/>
              </w:rPr>
              <w:t>Consolidated Statement of Operations and Changes in 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r>
      <w:tr w:rsidR="00000000" w:rsidTr="00A376CF">
        <w:trPr>
          <w:tblCellSpacing w:w="0" w:type="dxa"/>
        </w:trPr>
        <w:tc>
          <w:tcPr>
            <w:tcW w:w="3465" w:type="pct"/>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pStyle w:val="NormalWeb"/>
              <w:jc w:val="center"/>
            </w:pPr>
            <w:r>
              <w:rPr>
                <w:sz w:val="20"/>
                <w:szCs w:val="20"/>
              </w:rPr>
              <w:t>3 Month Period Ending</w:t>
            </w:r>
            <w:r>
              <w:rPr>
                <w:sz w:val="20"/>
                <w:szCs w:val="20"/>
              </w:rPr>
              <w:br/>
              <w:t>September 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pStyle w:val="NormalWeb"/>
              <w:jc w:val="center"/>
            </w:pPr>
            <w:r>
              <w:rPr>
                <w:sz w:val="20"/>
                <w:szCs w:val="20"/>
              </w:rPr>
              <w:t>12 Month Period Ending</w:t>
            </w:r>
            <w:r>
              <w:rPr>
                <w:sz w:val="20"/>
                <w:szCs w:val="20"/>
              </w:rPr>
              <w:br/>
              <w:t>June 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pStyle w:val="NormalWeb"/>
              <w:jc w:val="center"/>
            </w:pPr>
            <w:r>
              <w:rPr>
                <w:b/>
                <w:bCs/>
                <w:sz w:val="20"/>
                <w:szCs w:val="20"/>
              </w:rPr>
              <w:t>(Unaudited)</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pStyle w:val="NormalWeb"/>
              <w:jc w:val="center"/>
            </w:pPr>
            <w:r>
              <w:rPr>
                <w:b/>
                <w:bCs/>
                <w:sz w:val="20"/>
                <w:szCs w:val="20"/>
              </w:rPr>
              <w:t>(Audited)</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pStyle w:val="NormalWeb"/>
              <w:jc w:val="right"/>
            </w:pPr>
            <w:r>
              <w:rPr>
                <w:b/>
                <w:bCs/>
                <w:sz w:val="20"/>
                <w:szCs w:val="20"/>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pStyle w:val="NormalWeb"/>
              <w:jc w:val="right"/>
            </w:pPr>
            <w:r>
              <w:rPr>
                <w:b/>
                <w:bCs/>
                <w:sz w:val="20"/>
                <w:szCs w:val="20"/>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pStyle w:val="NormalWeb"/>
              <w:jc w:val="center"/>
            </w:pPr>
            <w:r>
              <w:rPr>
                <w:b/>
                <w:bCs/>
                <w:sz w:val="20"/>
                <w:szCs w:val="20"/>
              </w:rPr>
              <w:t>2014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Revenues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Real Estate Rental Income,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9,914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6,982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44,830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Total Revenues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9,914</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6,982</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44,830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Cost of Sales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Cost of Sales,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Gross Profit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9,914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6,982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44,830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Expenses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Accounting Expense</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5,172</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12,474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Interest Expense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2,986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973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25,045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General &amp; Administrative</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3,661</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4,513</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5,657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Foreign Exchange Expense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6,116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b/>
                <w:bCs/>
                <w:sz w:val="20"/>
                <w:szCs w:val="20"/>
              </w:rPr>
              <w:t>Taxes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b/>
                <w:bCs/>
                <w:sz w:val="20"/>
                <w:szCs w:val="20"/>
              </w:rPr>
              <w:t>84,745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Transfer Agent Expenses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2,100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Total Expenses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6,647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10,658</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136,137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b/>
                <w:bCs/>
                <w:sz w:val="20"/>
                <w:szCs w:val="20"/>
              </w:rPr>
              <w:t>Income (loss) from Operations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3,267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(3,676)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(92,180)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b/>
                <w:bCs/>
                <w:sz w:val="20"/>
                <w:szCs w:val="20"/>
              </w:rPr>
              <w:t>Income Taxes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Other Income (Expense)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Interest Income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Foreign Exchange gain (loss) of Land and Buildings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27,256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Vendor Debt Write Down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Total Other Income (Expense)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27,256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b/>
                <w:bCs/>
                <w:sz w:val="20"/>
                <w:szCs w:val="20"/>
              </w:rPr>
              <w:t>Net Income (Loss)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b/>
                <w:bCs/>
                <w:sz w:val="20"/>
                <w:szCs w:val="20"/>
              </w:rPr>
              <w:t>3,267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b/>
                <w:bCs/>
                <w:sz w:val="20"/>
                <w:szCs w:val="20"/>
              </w:rPr>
              <w:t>(3,676)</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b/>
                <w:bCs/>
                <w:sz w:val="20"/>
                <w:szCs w:val="20"/>
              </w:rPr>
              <w:t>(64,924)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Beginning of Period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(20,769,001)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(20,704,079)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(20,704,078)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End of Period</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(20,765,734)</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(20,707,755)</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(20,769,002)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b/>
                <w:bCs/>
                <w:sz w:val="20"/>
                <w:szCs w:val="20"/>
              </w:rPr>
              <w:t>Earnings per Share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b/>
                <w:bCs/>
                <w:sz w:val="20"/>
                <w:szCs w:val="20"/>
              </w:rPr>
              <w:t>$ 0.0001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b/>
                <w:bCs/>
                <w:sz w:val="20"/>
                <w:szCs w:val="20"/>
              </w:rPr>
              <w:t>$ (0.0001)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b/>
                <w:bCs/>
                <w:sz w:val="20"/>
                <w:szCs w:val="20"/>
              </w:rPr>
              <w:t>$ (0.0014)</w:t>
            </w:r>
          </w:p>
        </w:tc>
      </w:tr>
      <w:tr w:rsidR="0000000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center"/>
              <w:rPr>
                <w:rFonts w:eastAsia="Times New Roman"/>
              </w:rPr>
            </w:pPr>
            <w:r>
              <w:rPr>
                <w:rFonts w:eastAsia="Times New Roman"/>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p>
        </w:tc>
      </w:tr>
    </w:tbl>
    <w:p w:rsidR="00000000" w:rsidRDefault="003B7527">
      <w:pPr>
        <w:pStyle w:val="NormalWeb"/>
      </w:pPr>
      <w:hyperlink w:anchor="toc" w:history="1">
        <w:r>
          <w:rPr>
            <w:rStyle w:val="Hyperlink"/>
            <w:b/>
            <w:bCs/>
            <w:sz w:val="20"/>
            <w:szCs w:val="20"/>
          </w:rPr>
          <w:t>Return to Table of Contents</w:t>
        </w:r>
      </w:hyperlink>
    </w:p>
    <w:p w:rsidR="00A376CF" w:rsidRDefault="00C27026">
      <w:pPr>
        <w:rPr>
          <w:rFonts w:eastAsia="Times New Roman"/>
        </w:rPr>
      </w:pPr>
      <w:r>
        <w:rPr>
          <w:rFonts w:eastAsia="Times New Roman"/>
        </w:rPr>
        <w:pict>
          <v:rect id="_x0000_i1034" style="width:0;height:3pt" o:hralign="center" o:hrstd="t" o:hrnoshade="t" o:hr="t" fillcolor="black" stroked="f"/>
        </w:pict>
      </w:r>
    </w:p>
    <w:p w:rsidR="00A376CF" w:rsidRDefault="00A376CF">
      <w:pPr>
        <w:rPr>
          <w:rFonts w:eastAsia="Times New Roman"/>
        </w:rPr>
        <w:sectPr w:rsidR="00A376CF" w:rsidSect="00D5038B">
          <w:pgSz w:w="12240" w:h="15840"/>
          <w:pgMar w:top="360" w:right="360" w:bottom="360" w:left="360" w:header="720" w:footer="720" w:gutter="0"/>
          <w:cols w:space="720"/>
          <w:docGrid w:linePitch="360"/>
        </w:sectPr>
      </w:pPr>
    </w:p>
    <w:tbl>
      <w:tblPr>
        <w:tblW w:w="5000" w:type="pct"/>
        <w:tblCellSpacing w:w="0" w:type="dxa"/>
        <w:tblCellMar>
          <w:left w:w="0" w:type="dxa"/>
          <w:right w:w="0" w:type="dxa"/>
        </w:tblCellMar>
        <w:tblLook w:val="04A0"/>
      </w:tblPr>
      <w:tblGrid>
        <w:gridCol w:w="1233"/>
        <w:gridCol w:w="50"/>
        <w:gridCol w:w="739"/>
        <w:gridCol w:w="73"/>
        <w:gridCol w:w="140"/>
        <w:gridCol w:w="892"/>
        <w:gridCol w:w="50"/>
        <w:gridCol w:w="800"/>
        <w:gridCol w:w="50"/>
        <w:gridCol w:w="100"/>
        <w:gridCol w:w="656"/>
        <w:gridCol w:w="50"/>
        <w:gridCol w:w="811"/>
        <w:gridCol w:w="51"/>
        <w:gridCol w:w="101"/>
        <w:gridCol w:w="716"/>
        <w:gridCol w:w="50"/>
        <w:gridCol w:w="950"/>
        <w:gridCol w:w="50"/>
        <w:gridCol w:w="150"/>
        <w:gridCol w:w="700"/>
        <w:gridCol w:w="50"/>
        <w:gridCol w:w="150"/>
        <w:gridCol w:w="1440"/>
        <w:gridCol w:w="50"/>
        <w:gridCol w:w="150"/>
        <w:gridCol w:w="1528"/>
        <w:gridCol w:w="50"/>
        <w:gridCol w:w="150"/>
        <w:gridCol w:w="1440"/>
        <w:gridCol w:w="50"/>
        <w:gridCol w:w="150"/>
        <w:gridCol w:w="1440"/>
        <w:gridCol w:w="60"/>
      </w:tblGrid>
      <w:tr w:rsidR="00000000" w:rsidTr="00A376CF">
        <w:trPr>
          <w:divId w:val="1666319679"/>
          <w:tblCellSpacing w:w="0" w:type="dxa"/>
        </w:trPr>
        <w:tc>
          <w:tcPr>
            <w:tcW w:w="0" w:type="auto"/>
            <w:gridSpan w:val="34"/>
            <w:shd w:val="clear" w:color="auto" w:fill="CCEEFF"/>
            <w:vAlign w:val="center"/>
            <w:hideMark/>
          </w:tcPr>
          <w:p w:rsidR="00000000" w:rsidRPr="00A376CF" w:rsidRDefault="003B7527" w:rsidP="00A376CF">
            <w:pPr>
              <w:jc w:val="center"/>
              <w:rPr>
                <w:rFonts w:eastAsia="Times New Roman"/>
                <w:sz w:val="20"/>
                <w:szCs w:val="20"/>
              </w:rPr>
            </w:pPr>
            <w:r w:rsidRPr="00A376CF">
              <w:rPr>
                <w:rFonts w:eastAsia="Times New Roman"/>
                <w:b/>
                <w:bCs/>
                <w:sz w:val="20"/>
                <w:szCs w:val="20"/>
              </w:rPr>
              <w:lastRenderedPageBreak/>
              <w:t>ADVANCED OXYGEN TECHNOLOGIES, INC.</w:t>
            </w:r>
          </w:p>
          <w:p w:rsidR="00000000" w:rsidRPr="00A376CF" w:rsidRDefault="003B7527" w:rsidP="00A376CF">
            <w:pPr>
              <w:pStyle w:val="NormalWeb"/>
              <w:spacing w:before="0" w:beforeAutospacing="0" w:after="0" w:afterAutospacing="0"/>
              <w:jc w:val="center"/>
              <w:rPr>
                <w:sz w:val="20"/>
                <w:szCs w:val="20"/>
              </w:rPr>
            </w:pPr>
            <w:r w:rsidRPr="00A376CF">
              <w:rPr>
                <w:b/>
                <w:bCs/>
                <w:sz w:val="20"/>
                <w:szCs w:val="20"/>
              </w:rPr>
              <w:t>AND SUBSIDIARY</w:t>
            </w:r>
          </w:p>
          <w:p w:rsidR="00000000" w:rsidRPr="00A376CF" w:rsidRDefault="003B7527" w:rsidP="00A376CF">
            <w:pPr>
              <w:pStyle w:val="NormalWeb"/>
              <w:spacing w:before="0" w:beforeAutospacing="0" w:after="0" w:afterAutospacing="0"/>
              <w:jc w:val="center"/>
              <w:rPr>
                <w:sz w:val="20"/>
                <w:szCs w:val="20"/>
              </w:rPr>
            </w:pPr>
            <w:r w:rsidRPr="00A376CF">
              <w:rPr>
                <w:b/>
                <w:bCs/>
                <w:sz w:val="20"/>
                <w:szCs w:val="20"/>
              </w:rPr>
              <w:t xml:space="preserve">CONSOLIDATED STATEMENTS OF </w:t>
            </w:r>
            <w:r w:rsidRPr="00A376CF">
              <w:rPr>
                <w:b/>
                <w:bCs/>
                <w:sz w:val="20"/>
                <w:szCs w:val="20"/>
              </w:rPr>
              <w:t>STOCKHOLDERS' EQUITY (DEFICIENCY)</w:t>
            </w:r>
          </w:p>
        </w:tc>
      </w:tr>
      <w:tr w:rsidR="00000000" w:rsidTr="00A376CF">
        <w:trPr>
          <w:divId w:val="1666319679"/>
          <w:tblCellSpacing w:w="0" w:type="dxa"/>
        </w:trPr>
        <w:tc>
          <w:tcPr>
            <w:tcW w:w="408" w:type="pct"/>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gridSpan w:val="14"/>
            <w:shd w:val="clear" w:color="auto" w:fill="FFFFFF"/>
            <w:vAlign w:val="center"/>
            <w:hideMark/>
          </w:tcPr>
          <w:p w:rsidR="00000000" w:rsidRPr="00A376CF" w:rsidRDefault="003B7527">
            <w:pPr>
              <w:jc w:val="center"/>
              <w:rPr>
                <w:rFonts w:eastAsia="Times New Roman"/>
                <w:sz w:val="20"/>
                <w:szCs w:val="20"/>
              </w:rPr>
            </w:pPr>
            <w:r w:rsidRPr="00A376CF">
              <w:rPr>
                <w:rFonts w:eastAsia="Times New Roman"/>
                <w:b/>
                <w:bCs/>
                <w:sz w:val="20"/>
                <w:szCs w:val="20"/>
              </w:rPr>
              <w:t>Preferred Stock</w:t>
            </w:r>
            <w:r w:rsidRPr="00A376CF">
              <w:rPr>
                <w:rFonts w:eastAsia="Times New Roman"/>
                <w:sz w:val="20"/>
                <w:szCs w:val="20"/>
              </w:rPr>
              <w:t xml:space="preserve"> </w:t>
            </w:r>
          </w:p>
          <w:p w:rsidR="00000000" w:rsidRPr="00A376CF" w:rsidRDefault="00C27026">
            <w:pPr>
              <w:jc w:val="center"/>
              <w:rPr>
                <w:rFonts w:eastAsia="Times New Roman"/>
                <w:sz w:val="20"/>
                <w:szCs w:val="20"/>
              </w:rPr>
            </w:pPr>
            <w:r w:rsidRPr="00A376CF">
              <w:rPr>
                <w:rFonts w:eastAsia="Times New Roman"/>
                <w:sz w:val="20"/>
                <w:szCs w:val="20"/>
              </w:rPr>
              <w:pict>
                <v:rect id="_x0000_i1035" style="width:0;height:1.5pt" o:hralign="center" o:hrstd="t" o:hr="t" fillcolor="#aca899" stroked="f"/>
              </w:pic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gridSpan w:val="17"/>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r>
      <w:tr w:rsidR="00D5038B" w:rsidTr="00A376CF">
        <w:trPr>
          <w:divId w:val="1666319679"/>
          <w:tblCellSpacing w:w="0" w:type="dxa"/>
        </w:trPr>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gridSpan w:val="4"/>
            <w:shd w:val="clear" w:color="auto" w:fill="FFFFFF"/>
            <w:vAlign w:val="center"/>
            <w:hideMark/>
          </w:tcPr>
          <w:p w:rsidR="00000000" w:rsidRPr="00A376CF" w:rsidRDefault="003B7527">
            <w:pPr>
              <w:jc w:val="center"/>
              <w:rPr>
                <w:rFonts w:eastAsia="Times New Roman"/>
                <w:sz w:val="20"/>
                <w:szCs w:val="20"/>
              </w:rPr>
            </w:pPr>
            <w:r w:rsidRPr="00A376CF">
              <w:rPr>
                <w:rFonts w:eastAsia="Times New Roman"/>
                <w:b/>
                <w:bCs/>
                <w:sz w:val="20"/>
                <w:szCs w:val="20"/>
              </w:rPr>
              <w:t> Convertible Series 2,</w:t>
            </w:r>
            <w:r w:rsidRPr="00A376CF">
              <w:rPr>
                <w:rFonts w:eastAsia="Times New Roman"/>
                <w:b/>
                <w:bCs/>
                <w:sz w:val="20"/>
                <w:szCs w:val="20"/>
              </w:rPr>
              <w:br/>
              <w:t>par value $0.01,</w:t>
            </w:r>
            <w:r w:rsidRPr="00A376CF">
              <w:rPr>
                <w:rFonts w:eastAsia="Times New Roman"/>
                <w:b/>
                <w:bCs/>
                <w:sz w:val="20"/>
                <w:szCs w:val="20"/>
              </w:rPr>
              <w:br/>
              <w:t>$25,000 liquidating Preference</w:t>
            </w:r>
          </w:p>
        </w:tc>
        <w:tc>
          <w:tcPr>
            <w:tcW w:w="0" w:type="auto"/>
            <w:shd w:val="clear" w:color="auto" w:fill="FFFFFF"/>
            <w:vAlign w:val="center"/>
            <w:hideMark/>
          </w:tcPr>
          <w:p w:rsidR="00000000" w:rsidRPr="00A376CF" w:rsidRDefault="003B7527">
            <w:pPr>
              <w:rPr>
                <w:rFonts w:eastAsia="Times New Roman"/>
                <w:sz w:val="20"/>
                <w:szCs w:val="20"/>
              </w:rPr>
            </w:pPr>
          </w:p>
        </w:tc>
        <w:tc>
          <w:tcPr>
            <w:tcW w:w="0" w:type="auto"/>
            <w:gridSpan w:val="4"/>
            <w:shd w:val="clear" w:color="auto" w:fill="FFFFFF"/>
            <w:vAlign w:val="center"/>
            <w:hideMark/>
          </w:tcPr>
          <w:p w:rsidR="00000000" w:rsidRPr="00A376CF" w:rsidRDefault="003B7527">
            <w:pPr>
              <w:jc w:val="center"/>
              <w:rPr>
                <w:rFonts w:eastAsia="Times New Roman"/>
                <w:sz w:val="20"/>
                <w:szCs w:val="20"/>
              </w:rPr>
            </w:pPr>
            <w:r w:rsidRPr="00A376CF">
              <w:rPr>
                <w:rFonts w:eastAsia="Times New Roman"/>
                <w:sz w:val="20"/>
                <w:szCs w:val="20"/>
              </w:rPr>
              <w:t> </w:t>
            </w:r>
            <w:r w:rsidRPr="00A376CF">
              <w:rPr>
                <w:rFonts w:eastAsia="Times New Roman"/>
                <w:b/>
                <w:bCs/>
                <w:sz w:val="20"/>
                <w:szCs w:val="20"/>
              </w:rPr>
              <w:t>Convertible</w:t>
            </w:r>
            <w:r w:rsidRPr="00A376CF">
              <w:rPr>
                <w:rFonts w:eastAsia="Times New Roman"/>
                <w:sz w:val="20"/>
                <w:szCs w:val="20"/>
              </w:rPr>
              <w:br/>
            </w:r>
            <w:r w:rsidRPr="00A376CF">
              <w:rPr>
                <w:rFonts w:eastAsia="Times New Roman"/>
                <w:b/>
                <w:bCs/>
                <w:sz w:val="20"/>
                <w:szCs w:val="20"/>
              </w:rPr>
              <w:t xml:space="preserve">Series 3, </w:t>
            </w:r>
            <w:r w:rsidRPr="00A376CF">
              <w:rPr>
                <w:rFonts w:eastAsia="Times New Roman"/>
                <w:sz w:val="20"/>
                <w:szCs w:val="20"/>
              </w:rPr>
              <w:br/>
            </w:r>
            <w:r w:rsidRPr="00A376CF">
              <w:rPr>
                <w:rFonts w:eastAsia="Times New Roman"/>
                <w:b/>
                <w:bCs/>
                <w:sz w:val="20"/>
                <w:szCs w:val="20"/>
              </w:rPr>
              <w:t>par value $0.01</w:t>
            </w:r>
          </w:p>
        </w:tc>
        <w:tc>
          <w:tcPr>
            <w:tcW w:w="0" w:type="auto"/>
            <w:shd w:val="clear" w:color="auto" w:fill="FFFFFF"/>
            <w:vAlign w:val="center"/>
            <w:hideMark/>
          </w:tcPr>
          <w:p w:rsidR="00000000" w:rsidRPr="00A376CF" w:rsidRDefault="003B7527">
            <w:pPr>
              <w:jc w:val="center"/>
              <w:rPr>
                <w:rFonts w:eastAsia="Times New Roman"/>
                <w:sz w:val="20"/>
                <w:szCs w:val="20"/>
              </w:rPr>
            </w:pPr>
            <w:r w:rsidRPr="00A376CF">
              <w:rPr>
                <w:rFonts w:eastAsia="Times New Roman"/>
                <w:sz w:val="20"/>
                <w:szCs w:val="20"/>
              </w:rPr>
              <w:t> </w:t>
            </w:r>
          </w:p>
        </w:tc>
        <w:tc>
          <w:tcPr>
            <w:tcW w:w="0" w:type="auto"/>
            <w:gridSpan w:val="4"/>
            <w:shd w:val="clear" w:color="auto" w:fill="FFFFFF"/>
            <w:vAlign w:val="center"/>
            <w:hideMark/>
          </w:tcPr>
          <w:p w:rsidR="00000000" w:rsidRPr="00A376CF" w:rsidRDefault="003B7527">
            <w:pPr>
              <w:jc w:val="center"/>
              <w:rPr>
                <w:rFonts w:eastAsia="Times New Roman"/>
                <w:sz w:val="20"/>
                <w:szCs w:val="20"/>
              </w:rPr>
            </w:pPr>
            <w:r w:rsidRPr="00A376CF">
              <w:rPr>
                <w:rFonts w:eastAsia="Times New Roman"/>
                <w:sz w:val="20"/>
                <w:szCs w:val="20"/>
              </w:rPr>
              <w:t> </w:t>
            </w:r>
            <w:r w:rsidRPr="00A376CF">
              <w:rPr>
                <w:rFonts w:eastAsia="Times New Roman"/>
                <w:b/>
                <w:bCs/>
                <w:sz w:val="20"/>
                <w:szCs w:val="20"/>
              </w:rPr>
              <w:t xml:space="preserve">Treasury, </w:t>
            </w:r>
            <w:r w:rsidRPr="00A376CF">
              <w:rPr>
                <w:rFonts w:eastAsia="Times New Roman"/>
                <w:sz w:val="20"/>
                <w:szCs w:val="20"/>
              </w:rPr>
              <w:br/>
            </w:r>
            <w:r w:rsidRPr="00A376CF">
              <w:rPr>
                <w:rFonts w:eastAsia="Times New Roman"/>
                <w:b/>
                <w:bCs/>
                <w:sz w:val="20"/>
                <w:szCs w:val="20"/>
              </w:rPr>
              <w:t xml:space="preserve">Convertible Series 3 </w:t>
            </w:r>
            <w:r w:rsidRPr="00A376CF">
              <w:rPr>
                <w:rFonts w:eastAsia="Times New Roman"/>
                <w:sz w:val="20"/>
                <w:szCs w:val="20"/>
              </w:rPr>
              <w:br/>
            </w:r>
            <w:r w:rsidRPr="00A376CF">
              <w:rPr>
                <w:rFonts w:eastAsia="Times New Roman"/>
                <w:b/>
                <w:bCs/>
                <w:sz w:val="20"/>
                <w:szCs w:val="20"/>
              </w:rPr>
              <w:t>(at cost)</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gridSpan w:val="4"/>
            <w:shd w:val="clear" w:color="auto" w:fill="FFFFFF"/>
            <w:vAlign w:val="center"/>
            <w:hideMark/>
          </w:tcPr>
          <w:p w:rsidR="00000000" w:rsidRPr="00A376CF" w:rsidRDefault="003B7527">
            <w:pPr>
              <w:jc w:val="center"/>
              <w:rPr>
                <w:rFonts w:eastAsia="Times New Roman"/>
                <w:sz w:val="20"/>
                <w:szCs w:val="20"/>
              </w:rPr>
            </w:pPr>
            <w:r w:rsidRPr="00A376CF">
              <w:rPr>
                <w:rFonts w:eastAsia="Times New Roman"/>
                <w:b/>
                <w:bCs/>
                <w:sz w:val="20"/>
                <w:szCs w:val="20"/>
              </w:rPr>
              <w:t>Common </w:t>
            </w:r>
            <w:r w:rsidRPr="00A376CF">
              <w:rPr>
                <w:rFonts w:eastAsia="Times New Roman"/>
                <w:b/>
                <w:bCs/>
                <w:sz w:val="20"/>
                <w:szCs w:val="20"/>
              </w:rPr>
              <w:t>Stock</w:t>
            </w:r>
            <w:r w:rsidRPr="00A376CF">
              <w:rPr>
                <w:rFonts w:eastAsia="Times New Roman"/>
                <w:sz w:val="20"/>
                <w:szCs w:val="20"/>
              </w:rPr>
              <w:t xml:space="preserve">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3B7527">
            <w:pPr>
              <w:jc w:val="center"/>
              <w:rPr>
                <w:rFonts w:eastAsia="Times New Roman"/>
                <w:sz w:val="20"/>
                <w:szCs w:val="20"/>
              </w:rPr>
            </w:pPr>
            <w:r w:rsidRPr="00A376CF">
              <w:rPr>
                <w:rFonts w:eastAsia="Times New Roman"/>
                <w:b/>
                <w:bCs/>
                <w:sz w:val="20"/>
                <w:szCs w:val="20"/>
              </w:rPr>
              <w:t xml:space="preserve">Additional Paid </w:t>
            </w:r>
            <w:r w:rsidRPr="00A376CF">
              <w:rPr>
                <w:rFonts w:eastAsia="Times New Roman"/>
                <w:sz w:val="20"/>
                <w:szCs w:val="20"/>
              </w:rPr>
              <w:br/>
            </w:r>
            <w:r w:rsidRPr="00A376CF">
              <w:rPr>
                <w:rFonts w:eastAsia="Times New Roman"/>
                <w:b/>
                <w:bCs/>
                <w:sz w:val="20"/>
                <w:szCs w:val="20"/>
              </w:rPr>
              <w:t>In Capital</w:t>
            </w: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3B7527">
            <w:pPr>
              <w:jc w:val="center"/>
              <w:rPr>
                <w:rFonts w:eastAsia="Times New Roman"/>
                <w:sz w:val="20"/>
                <w:szCs w:val="20"/>
              </w:rPr>
            </w:pPr>
            <w:r w:rsidRPr="00A376CF">
              <w:rPr>
                <w:rFonts w:eastAsia="Times New Roman"/>
                <w:b/>
                <w:bCs/>
                <w:sz w:val="20"/>
                <w:szCs w:val="20"/>
              </w:rPr>
              <w:t xml:space="preserve">Accumulated Other </w:t>
            </w:r>
            <w:r w:rsidRPr="00A376CF">
              <w:rPr>
                <w:rFonts w:eastAsia="Times New Roman"/>
                <w:sz w:val="20"/>
                <w:szCs w:val="20"/>
              </w:rPr>
              <w:br/>
            </w:r>
            <w:r w:rsidRPr="00A376CF">
              <w:rPr>
                <w:rFonts w:eastAsia="Times New Roman"/>
                <w:b/>
                <w:bCs/>
                <w:sz w:val="20"/>
                <w:szCs w:val="20"/>
              </w:rPr>
              <w:t xml:space="preserve">Comprehensive </w:t>
            </w:r>
            <w:r w:rsidRPr="00A376CF">
              <w:rPr>
                <w:rFonts w:eastAsia="Times New Roman"/>
                <w:sz w:val="20"/>
                <w:szCs w:val="20"/>
              </w:rPr>
              <w:br/>
            </w:r>
            <w:r w:rsidRPr="00A376CF">
              <w:rPr>
                <w:rFonts w:eastAsia="Times New Roman"/>
                <w:b/>
                <w:bCs/>
                <w:sz w:val="20"/>
                <w:szCs w:val="20"/>
              </w:rPr>
              <w:t>Income(Loss)</w:t>
            </w: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3B7527">
            <w:pPr>
              <w:jc w:val="center"/>
              <w:rPr>
                <w:rFonts w:eastAsia="Times New Roman"/>
                <w:sz w:val="20"/>
                <w:szCs w:val="20"/>
              </w:rPr>
            </w:pPr>
            <w:r w:rsidRPr="00A376CF">
              <w:rPr>
                <w:rFonts w:eastAsia="Times New Roman"/>
                <w:b/>
                <w:bCs/>
                <w:sz w:val="20"/>
                <w:szCs w:val="20"/>
              </w:rPr>
              <w:t>Accumulated</w:t>
            </w:r>
            <w:r w:rsidRPr="00A376CF">
              <w:rPr>
                <w:rFonts w:eastAsia="Times New Roman"/>
                <w:sz w:val="20"/>
                <w:szCs w:val="20"/>
              </w:rPr>
              <w:br/>
            </w:r>
            <w:r w:rsidRPr="00A376CF">
              <w:rPr>
                <w:rFonts w:eastAsia="Times New Roman"/>
                <w:b/>
                <w:bCs/>
                <w:sz w:val="20"/>
                <w:szCs w:val="20"/>
              </w:rPr>
              <w:t>Deficit</w:t>
            </w: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3B7527">
            <w:pPr>
              <w:jc w:val="center"/>
              <w:rPr>
                <w:rFonts w:eastAsia="Times New Roman"/>
                <w:sz w:val="20"/>
                <w:szCs w:val="20"/>
              </w:rPr>
            </w:pPr>
            <w:r w:rsidRPr="00A376CF">
              <w:rPr>
                <w:rFonts w:eastAsia="Times New Roman"/>
                <w:sz w:val="20"/>
                <w:szCs w:val="20"/>
              </w:rPr>
              <w:t> </w:t>
            </w:r>
            <w:r w:rsidRPr="00A376CF">
              <w:rPr>
                <w:rFonts w:eastAsia="Times New Roman"/>
                <w:b/>
                <w:bCs/>
                <w:sz w:val="20"/>
                <w:szCs w:val="20"/>
              </w:rPr>
              <w:t xml:space="preserve">Total </w:t>
            </w:r>
            <w:r w:rsidRPr="00A376CF">
              <w:rPr>
                <w:rFonts w:eastAsia="Times New Roman"/>
                <w:sz w:val="20"/>
                <w:szCs w:val="20"/>
              </w:rPr>
              <w:br/>
            </w:r>
            <w:r w:rsidRPr="00A376CF">
              <w:rPr>
                <w:rFonts w:eastAsia="Times New Roman"/>
                <w:b/>
                <w:bCs/>
                <w:sz w:val="20"/>
                <w:szCs w:val="20"/>
              </w:rPr>
              <w:t>Stockholders'</w:t>
            </w:r>
            <w:r w:rsidRPr="00A376CF">
              <w:rPr>
                <w:rFonts w:eastAsia="Times New Roman"/>
                <w:sz w:val="20"/>
                <w:szCs w:val="20"/>
              </w:rPr>
              <w:br/>
            </w:r>
            <w:r w:rsidRPr="00A376CF">
              <w:rPr>
                <w:rFonts w:eastAsia="Times New Roman"/>
                <w:b/>
                <w:bCs/>
                <w:sz w:val="20"/>
                <w:szCs w:val="20"/>
              </w:rPr>
              <w:t>Equity</w:t>
            </w:r>
          </w:p>
        </w:tc>
        <w:tc>
          <w:tcPr>
            <w:tcW w:w="0" w:type="auto"/>
            <w:vAlign w:val="center"/>
            <w:hideMark/>
          </w:tcPr>
          <w:p w:rsidR="00000000" w:rsidRDefault="003B7527">
            <w:pPr>
              <w:rPr>
                <w:rFonts w:eastAsia="Times New Roman"/>
                <w:sz w:val="20"/>
                <w:szCs w:val="20"/>
              </w:rPr>
            </w:pPr>
          </w:p>
        </w:tc>
      </w:tr>
      <w:tr w:rsidR="00A376CF" w:rsidTr="00A376CF">
        <w:trPr>
          <w:divId w:val="1666319679"/>
          <w:tblCellSpacing w:w="0" w:type="dxa"/>
        </w:trPr>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gridSpan w:val="4"/>
            <w:vAlign w:val="center"/>
            <w:hideMark/>
          </w:tcPr>
          <w:p w:rsidR="00000000" w:rsidRPr="00A376CF" w:rsidRDefault="00C27026">
            <w:pPr>
              <w:rPr>
                <w:rFonts w:eastAsia="Times New Roman"/>
                <w:sz w:val="20"/>
                <w:szCs w:val="20"/>
              </w:rPr>
            </w:pPr>
            <w:r w:rsidRPr="00A376CF">
              <w:rPr>
                <w:rFonts w:eastAsia="Times New Roman"/>
                <w:sz w:val="20"/>
                <w:szCs w:val="20"/>
              </w:rPr>
              <w:pict>
                <v:rect id="_x0000_i1036" style="width:0;height:1.5pt" o:hralign="center" o:hrstd="t" o:hr="t" fillcolor="#aca899" stroked="f"/>
              </w:pict>
            </w:r>
          </w:p>
        </w:tc>
        <w:tc>
          <w:tcPr>
            <w:tcW w:w="0" w:type="auto"/>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gridSpan w:val="4"/>
            <w:vAlign w:val="center"/>
            <w:hideMark/>
          </w:tcPr>
          <w:p w:rsidR="00000000" w:rsidRPr="00A376CF" w:rsidRDefault="00C27026">
            <w:pPr>
              <w:rPr>
                <w:rFonts w:eastAsia="Times New Roman"/>
                <w:sz w:val="20"/>
                <w:szCs w:val="20"/>
              </w:rPr>
            </w:pPr>
            <w:r w:rsidRPr="00A376CF">
              <w:rPr>
                <w:rFonts w:eastAsia="Times New Roman"/>
                <w:sz w:val="20"/>
                <w:szCs w:val="20"/>
              </w:rPr>
              <w:pict>
                <v:rect id="_x0000_i1037" style="width:0;height:1.5pt" o:hralign="center" o:hrstd="t" o:hr="t" fillcolor="#aca899" stroked="f"/>
              </w:pict>
            </w:r>
          </w:p>
        </w:tc>
        <w:tc>
          <w:tcPr>
            <w:tcW w:w="0" w:type="auto"/>
            <w:vAlign w:val="center"/>
            <w:hideMark/>
          </w:tcPr>
          <w:p w:rsidR="00000000" w:rsidRPr="00A376CF" w:rsidRDefault="003B7527">
            <w:pPr>
              <w:rPr>
                <w:rFonts w:eastAsia="Times New Roman"/>
                <w:sz w:val="20"/>
                <w:szCs w:val="20"/>
              </w:rPr>
            </w:pPr>
          </w:p>
        </w:tc>
        <w:tc>
          <w:tcPr>
            <w:tcW w:w="0" w:type="auto"/>
            <w:gridSpan w:val="4"/>
            <w:vAlign w:val="center"/>
            <w:hideMark/>
          </w:tcPr>
          <w:p w:rsidR="00000000" w:rsidRPr="00A376CF" w:rsidRDefault="00C27026">
            <w:pPr>
              <w:rPr>
                <w:rFonts w:eastAsia="Times New Roman"/>
                <w:sz w:val="20"/>
                <w:szCs w:val="20"/>
              </w:rPr>
            </w:pPr>
            <w:r w:rsidRPr="00A376CF">
              <w:rPr>
                <w:rFonts w:eastAsia="Times New Roman"/>
                <w:sz w:val="20"/>
                <w:szCs w:val="20"/>
              </w:rPr>
              <w:pict>
                <v:rect id="_x0000_i1038" style="width:0;height:1.5pt" o:hralign="center" o:hrstd="t" o:hr="t" fillcolor="#aca899" stroked="f"/>
              </w:pict>
            </w:r>
          </w:p>
        </w:tc>
        <w:tc>
          <w:tcPr>
            <w:tcW w:w="0" w:type="auto"/>
            <w:vAlign w:val="center"/>
            <w:hideMark/>
          </w:tcPr>
          <w:p w:rsidR="00000000" w:rsidRPr="00A376CF" w:rsidRDefault="003B7527">
            <w:pPr>
              <w:rPr>
                <w:rFonts w:eastAsia="Times New Roman"/>
                <w:sz w:val="20"/>
                <w:szCs w:val="20"/>
              </w:rPr>
            </w:pPr>
          </w:p>
        </w:tc>
        <w:tc>
          <w:tcPr>
            <w:tcW w:w="0" w:type="auto"/>
            <w:gridSpan w:val="4"/>
            <w:vAlign w:val="center"/>
            <w:hideMark/>
          </w:tcPr>
          <w:p w:rsidR="00000000" w:rsidRPr="00A376CF" w:rsidRDefault="00C27026">
            <w:pPr>
              <w:rPr>
                <w:rFonts w:eastAsia="Times New Roman"/>
                <w:sz w:val="20"/>
                <w:szCs w:val="20"/>
              </w:rPr>
            </w:pPr>
            <w:r w:rsidRPr="00A376CF">
              <w:rPr>
                <w:rFonts w:eastAsia="Times New Roman"/>
                <w:sz w:val="20"/>
                <w:szCs w:val="20"/>
              </w:rPr>
              <w:pict>
                <v:rect id="_x0000_i1039" style="width:0;height:1.5pt" o:hralign="center" o:hrstd="t" o:hr="t" fillcolor="#aca899" stroked="f"/>
              </w:pict>
            </w: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C27026">
            <w:pPr>
              <w:rPr>
                <w:rFonts w:eastAsia="Times New Roman"/>
                <w:sz w:val="20"/>
                <w:szCs w:val="20"/>
              </w:rPr>
            </w:pPr>
            <w:r w:rsidRPr="00A376CF">
              <w:rPr>
                <w:rFonts w:eastAsia="Times New Roman"/>
                <w:sz w:val="20"/>
                <w:szCs w:val="20"/>
              </w:rPr>
              <w:pict>
                <v:rect id="_x0000_i1040" style="width:0;height:1.5pt" o:hralign="center" o:hrstd="t" o:hr="t" fillcolor="#aca899" stroked="f"/>
              </w:pict>
            </w: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C27026">
            <w:pPr>
              <w:rPr>
                <w:rFonts w:eastAsia="Times New Roman"/>
                <w:sz w:val="20"/>
                <w:szCs w:val="20"/>
              </w:rPr>
            </w:pPr>
            <w:r w:rsidRPr="00A376CF">
              <w:rPr>
                <w:rFonts w:eastAsia="Times New Roman"/>
                <w:sz w:val="20"/>
                <w:szCs w:val="20"/>
              </w:rPr>
              <w:pict>
                <v:rect id="_x0000_i1041" style="width:0;height:1.5pt" o:hralign="center" o:hrstd="t" o:hr="t" fillcolor="#aca899" stroked="f"/>
              </w:pict>
            </w: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C27026">
            <w:pPr>
              <w:rPr>
                <w:rFonts w:eastAsia="Times New Roman"/>
                <w:sz w:val="20"/>
                <w:szCs w:val="20"/>
              </w:rPr>
            </w:pPr>
            <w:r w:rsidRPr="00A376CF">
              <w:rPr>
                <w:rFonts w:eastAsia="Times New Roman"/>
                <w:sz w:val="20"/>
                <w:szCs w:val="20"/>
              </w:rPr>
              <w:pict>
                <v:rect id="_x0000_i1042" style="width:0;height:1.5pt" o:hralign="center" o:hrstd="t" o:hr="t" fillcolor="#aca899" stroked="f"/>
              </w:pict>
            </w: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3B7527">
            <w:pPr>
              <w:rPr>
                <w:rFonts w:eastAsia="Times New Roman"/>
                <w:sz w:val="20"/>
                <w:szCs w:val="20"/>
              </w:rPr>
            </w:pPr>
          </w:p>
        </w:tc>
        <w:tc>
          <w:tcPr>
            <w:tcW w:w="0" w:type="auto"/>
            <w:vAlign w:val="center"/>
            <w:hideMark/>
          </w:tcPr>
          <w:p w:rsidR="00000000" w:rsidRPr="00A376CF" w:rsidRDefault="00C27026">
            <w:pPr>
              <w:rPr>
                <w:rFonts w:eastAsia="Times New Roman"/>
                <w:sz w:val="20"/>
                <w:szCs w:val="20"/>
              </w:rPr>
            </w:pPr>
            <w:r w:rsidRPr="00A376CF">
              <w:rPr>
                <w:rFonts w:eastAsia="Times New Roman"/>
                <w:sz w:val="20"/>
                <w:szCs w:val="20"/>
              </w:rPr>
              <w:pict>
                <v:rect id="_x0000_i1043" style="width:0;height:1.5pt" o:hralign="center" o:hrstd="t" o:hr="t" fillcolor="#aca899" stroked="f"/>
              </w:pict>
            </w:r>
          </w:p>
        </w:tc>
        <w:tc>
          <w:tcPr>
            <w:tcW w:w="0" w:type="auto"/>
            <w:vAlign w:val="center"/>
            <w:hideMark/>
          </w:tcPr>
          <w:p w:rsidR="00000000" w:rsidRDefault="003B7527">
            <w:pPr>
              <w:rPr>
                <w:rFonts w:eastAsia="Times New Roman"/>
                <w:sz w:val="20"/>
                <w:szCs w:val="20"/>
              </w:rPr>
            </w:pPr>
          </w:p>
        </w:tc>
      </w:tr>
      <w:tr w:rsidR="00A376CF" w:rsidTr="00A376CF">
        <w:trPr>
          <w:divId w:val="1666319679"/>
          <w:tblCellSpacing w:w="0" w:type="dxa"/>
        </w:trPr>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center"/>
              <w:rPr>
                <w:rFonts w:eastAsia="Times New Roman"/>
                <w:sz w:val="20"/>
                <w:szCs w:val="20"/>
              </w:rPr>
            </w:pPr>
            <w:r w:rsidRPr="00A376CF">
              <w:rPr>
                <w:rFonts w:eastAsia="Times New Roman"/>
                <w:sz w:val="20"/>
                <w:szCs w:val="20"/>
              </w:rPr>
              <w:t>Shares</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center"/>
              <w:rPr>
                <w:rFonts w:eastAsia="Times New Roman"/>
                <w:sz w:val="20"/>
                <w:szCs w:val="20"/>
              </w:rPr>
            </w:pPr>
            <w:r w:rsidRPr="00A376CF">
              <w:rPr>
                <w:rFonts w:eastAsia="Times New Roman"/>
                <w:sz w:val="20"/>
                <w:szCs w:val="20"/>
              </w:rPr>
              <w:t>Amount</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center"/>
              <w:rPr>
                <w:rFonts w:eastAsia="Times New Roman"/>
                <w:sz w:val="20"/>
                <w:szCs w:val="20"/>
              </w:rPr>
            </w:pPr>
            <w:r w:rsidRPr="00A376CF">
              <w:rPr>
                <w:rFonts w:eastAsia="Times New Roman"/>
                <w:sz w:val="20"/>
                <w:szCs w:val="20"/>
              </w:rPr>
              <w:t>Shares</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center"/>
              <w:rPr>
                <w:rFonts w:eastAsia="Times New Roman"/>
                <w:sz w:val="20"/>
                <w:szCs w:val="20"/>
              </w:rPr>
            </w:pPr>
            <w:r w:rsidRPr="00A376CF">
              <w:rPr>
                <w:rFonts w:eastAsia="Times New Roman"/>
                <w:sz w:val="20"/>
                <w:szCs w:val="20"/>
              </w:rPr>
              <w:t>Amount</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center"/>
              <w:rPr>
                <w:rFonts w:eastAsia="Times New Roman"/>
                <w:sz w:val="20"/>
                <w:szCs w:val="20"/>
              </w:rPr>
            </w:pPr>
            <w:r w:rsidRPr="00A376CF">
              <w:rPr>
                <w:rFonts w:eastAsia="Times New Roman"/>
                <w:sz w:val="20"/>
                <w:szCs w:val="20"/>
              </w:rPr>
              <w:t>Shares</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center"/>
              <w:rPr>
                <w:rFonts w:eastAsia="Times New Roman"/>
                <w:sz w:val="20"/>
                <w:szCs w:val="20"/>
              </w:rPr>
            </w:pPr>
            <w:r w:rsidRPr="00A376CF">
              <w:rPr>
                <w:rFonts w:eastAsia="Times New Roman"/>
                <w:sz w:val="20"/>
                <w:szCs w:val="20"/>
              </w:rPr>
              <w:t>Amount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center"/>
              <w:rPr>
                <w:rFonts w:eastAsia="Times New Roman"/>
                <w:sz w:val="20"/>
                <w:szCs w:val="20"/>
              </w:rPr>
            </w:pPr>
            <w:r w:rsidRPr="00A376CF">
              <w:rPr>
                <w:rFonts w:eastAsia="Times New Roman"/>
                <w:sz w:val="20"/>
                <w:szCs w:val="20"/>
              </w:rPr>
              <w:t>Shares</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Amount</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center"/>
              <w:rPr>
                <w:rFonts w:eastAsia="Times New Roman"/>
                <w:sz w:val="20"/>
                <w:szCs w:val="20"/>
              </w:rPr>
            </w:pPr>
            <w:r w:rsidRPr="00A376CF">
              <w:rPr>
                <w:rFonts w:eastAsia="Times New Roman"/>
                <w:sz w:val="20"/>
                <w:szCs w:val="20"/>
              </w:rPr>
              <w:t>Amount</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center"/>
              <w:rPr>
                <w:rFonts w:eastAsia="Times New Roman"/>
                <w:sz w:val="20"/>
                <w:szCs w:val="20"/>
              </w:rPr>
            </w:pPr>
            <w:r w:rsidRPr="00A376CF">
              <w:rPr>
                <w:rFonts w:eastAsia="Times New Roman"/>
                <w:sz w:val="20"/>
                <w:szCs w:val="20"/>
              </w:rPr>
              <w:t>Amount</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center"/>
              <w:rPr>
                <w:rFonts w:eastAsia="Times New Roman"/>
                <w:sz w:val="20"/>
                <w:szCs w:val="20"/>
              </w:rPr>
            </w:pPr>
            <w:r w:rsidRPr="00A376CF">
              <w:rPr>
                <w:rFonts w:eastAsia="Times New Roman"/>
                <w:sz w:val="20"/>
                <w:szCs w:val="20"/>
              </w:rPr>
              <w:t>Amount</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center"/>
              <w:rPr>
                <w:rFonts w:eastAsia="Times New Roman"/>
                <w:sz w:val="20"/>
                <w:szCs w:val="20"/>
              </w:rPr>
            </w:pPr>
            <w:r w:rsidRPr="00A376CF">
              <w:rPr>
                <w:rFonts w:eastAsia="Times New Roman"/>
                <w:sz w:val="20"/>
                <w:szCs w:val="20"/>
              </w:rPr>
              <w:t>Amount</w:t>
            </w:r>
          </w:p>
        </w:tc>
        <w:tc>
          <w:tcPr>
            <w:tcW w:w="0" w:type="auto"/>
            <w:shd w:val="clear" w:color="auto" w:fill="CCEEFF"/>
            <w:vAlign w:val="center"/>
            <w:hideMark/>
          </w:tcPr>
          <w:p w:rsidR="00000000" w:rsidRDefault="003B7527">
            <w:pPr>
              <w:rPr>
                <w:rFonts w:eastAsia="Times New Roman"/>
              </w:rPr>
            </w:pPr>
            <w:r>
              <w:rPr>
                <w:rFonts w:eastAsia="Times New Roman"/>
              </w:rPr>
              <w:t> </w:t>
            </w:r>
          </w:p>
        </w:tc>
      </w:tr>
      <w:tr w:rsidR="00A376CF" w:rsidTr="00A376CF">
        <w:trPr>
          <w:divId w:val="1666319679"/>
          <w:tblCellSpacing w:w="0" w:type="dxa"/>
        </w:trPr>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b/>
                <w:bCs/>
                <w:sz w:val="20"/>
                <w:szCs w:val="20"/>
              </w:rPr>
              <w:t>Balance at June 30, 2012</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5,000</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rsidP="00A376CF">
            <w:pPr>
              <w:jc w:val="center"/>
              <w:rPr>
                <w:rFonts w:eastAsia="Times New Roman"/>
                <w:sz w:val="20"/>
                <w:szCs w:val="20"/>
              </w:rPr>
            </w:pPr>
            <w:r w:rsidRPr="00A376CF">
              <w:rPr>
                <w:rFonts w:eastAsia="Times New Roman"/>
                <w:sz w:val="20"/>
                <w:szCs w:val="20"/>
              </w:rPr>
              <w:t>$</w:t>
            </w:r>
          </w:p>
        </w:tc>
        <w:tc>
          <w:tcPr>
            <w:tcW w:w="0" w:type="auto"/>
            <w:shd w:val="clear" w:color="auto" w:fill="FFFFFF"/>
            <w:vAlign w:val="center"/>
            <w:hideMark/>
          </w:tcPr>
          <w:p w:rsidR="00000000" w:rsidRPr="00A376CF" w:rsidRDefault="003B7527" w:rsidP="00A376CF">
            <w:pPr>
              <w:jc w:val="center"/>
              <w:rPr>
                <w:rFonts w:eastAsia="Times New Roman"/>
                <w:sz w:val="20"/>
                <w:szCs w:val="20"/>
              </w:rPr>
            </w:pPr>
            <w:r w:rsidRPr="00A376CF">
              <w:rPr>
                <w:rFonts w:eastAsia="Times New Roman"/>
                <w:b/>
                <w:bCs/>
                <w:sz w:val="20"/>
                <w:szCs w:val="20"/>
              </w:rPr>
              <w:t>50</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1,670,000</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sz w:val="20"/>
                <w:szCs w:val="20"/>
              </w:rPr>
              <w:t>$</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16,700</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1,670,000</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sz w:val="20"/>
                <w:szCs w:val="20"/>
              </w:rPr>
              <w:t>$</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(7,284)</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r w:rsidRPr="00A376CF">
              <w:rPr>
                <w:rFonts w:eastAsia="Times New Roman"/>
                <w:b/>
                <w:bCs/>
                <w:sz w:val="20"/>
                <w:szCs w:val="20"/>
              </w:rPr>
              <w:t>46,973,585</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sz w:val="20"/>
                <w:szCs w:val="20"/>
              </w:rPr>
              <w:t> </w:t>
            </w:r>
            <w:r w:rsidRPr="00A376CF">
              <w:rPr>
                <w:rFonts w:eastAsia="Times New Roman"/>
                <w:b/>
                <w:bCs/>
                <w:sz w:val="20"/>
                <w:szCs w:val="20"/>
              </w:rPr>
              <w:t>469,736</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 20,497,769</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 (20,737,935)</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 239,036</w:t>
            </w:r>
          </w:p>
        </w:tc>
        <w:tc>
          <w:tcPr>
            <w:tcW w:w="0" w:type="auto"/>
            <w:shd w:val="clear" w:color="auto" w:fill="FFFFFF"/>
            <w:vAlign w:val="center"/>
            <w:hideMark/>
          </w:tcPr>
          <w:p w:rsidR="00000000" w:rsidRDefault="003B7527">
            <w:pPr>
              <w:rPr>
                <w:rFonts w:eastAsia="Times New Roman"/>
              </w:rPr>
            </w:pPr>
            <w:r>
              <w:rPr>
                <w:rFonts w:eastAsia="Times New Roman"/>
              </w:rPr>
              <w:t> </w:t>
            </w:r>
          </w:p>
        </w:tc>
      </w:tr>
      <w:tr w:rsidR="00A376CF" w:rsidTr="00A376CF">
        <w:trPr>
          <w:divId w:val="1666319679"/>
          <w:tblCellSpacing w:w="0" w:type="dxa"/>
        </w:trPr>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Net Income (Loss)</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rsidP="00A376CF">
            <w:pPr>
              <w:jc w:val="center"/>
              <w:rPr>
                <w:rFonts w:eastAsia="Times New Roman"/>
                <w:sz w:val="20"/>
                <w:szCs w:val="20"/>
              </w:rPr>
            </w:pPr>
          </w:p>
        </w:tc>
        <w:tc>
          <w:tcPr>
            <w:tcW w:w="0" w:type="auto"/>
            <w:shd w:val="clear" w:color="auto" w:fill="CCEEFF"/>
            <w:vAlign w:val="center"/>
            <w:hideMark/>
          </w:tcPr>
          <w:p w:rsidR="00000000" w:rsidRPr="00A376CF" w:rsidRDefault="003B7527" w:rsidP="00A376CF">
            <w:pPr>
              <w:jc w:val="center"/>
              <w:rPr>
                <w:rFonts w:eastAsia="Times New Roman"/>
                <w:sz w:val="20"/>
                <w:szCs w:val="20"/>
              </w:rPr>
            </w:pP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sz w:val="20"/>
                <w:szCs w:val="20"/>
              </w:rPr>
              <w:t> 33,856</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Default="003B7527">
            <w:pPr>
              <w:rPr>
                <w:rFonts w:eastAsia="Times New Roman"/>
              </w:rPr>
            </w:pPr>
            <w:r>
              <w:rPr>
                <w:rFonts w:eastAsia="Times New Roman"/>
              </w:rPr>
              <w:t> </w:t>
            </w:r>
          </w:p>
        </w:tc>
      </w:tr>
      <w:tr w:rsidR="00A376CF" w:rsidTr="00A376CF">
        <w:trPr>
          <w:divId w:val="1666319679"/>
          <w:tblCellSpacing w:w="0" w:type="dxa"/>
        </w:trPr>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Rounding</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rsidP="00A376CF">
            <w:pPr>
              <w:jc w:val="center"/>
              <w:rPr>
                <w:rFonts w:eastAsia="Times New Roman"/>
                <w:sz w:val="20"/>
                <w:szCs w:val="20"/>
              </w:rPr>
            </w:pPr>
          </w:p>
        </w:tc>
        <w:tc>
          <w:tcPr>
            <w:tcW w:w="0" w:type="auto"/>
            <w:shd w:val="clear" w:color="auto" w:fill="FFFFFF"/>
            <w:vAlign w:val="center"/>
            <w:hideMark/>
          </w:tcPr>
          <w:p w:rsidR="00000000" w:rsidRPr="00A376CF" w:rsidRDefault="003B7527" w:rsidP="00A376CF">
            <w:pPr>
              <w:jc w:val="center"/>
              <w:rPr>
                <w:rFonts w:eastAsia="Times New Roman"/>
                <w:sz w:val="20"/>
                <w:szCs w:val="20"/>
              </w:rPr>
            </w:pP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sz w:val="20"/>
                <w:szCs w:val="20"/>
              </w:rPr>
              <w:t> 1</w:t>
            </w:r>
          </w:p>
        </w:tc>
        <w:tc>
          <w:tcPr>
            <w:tcW w:w="0" w:type="auto"/>
            <w:shd w:val="clear" w:color="auto" w:fill="FFFFFF"/>
            <w:vAlign w:val="center"/>
            <w:hideMark/>
          </w:tcPr>
          <w:p w:rsidR="00000000" w:rsidRPr="00A376CF" w:rsidRDefault="003B7527">
            <w:pPr>
              <w:rPr>
                <w:rFonts w:eastAsia="Times New Roman"/>
                <w:sz w:val="20"/>
                <w:szCs w:val="20"/>
              </w:rPr>
            </w:pP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Default="003B7527">
            <w:pPr>
              <w:rPr>
                <w:rFonts w:eastAsia="Times New Roman"/>
              </w:rPr>
            </w:pPr>
            <w:r>
              <w:rPr>
                <w:rFonts w:eastAsia="Times New Roman"/>
              </w:rPr>
              <w:t> </w:t>
            </w:r>
          </w:p>
        </w:tc>
      </w:tr>
      <w:tr w:rsidR="00A376CF" w:rsidTr="00A376CF">
        <w:trPr>
          <w:divId w:val="1666319679"/>
          <w:tblCellSpacing w:w="0" w:type="dxa"/>
        </w:trPr>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b/>
                <w:bCs/>
                <w:sz w:val="20"/>
                <w:szCs w:val="20"/>
              </w:rPr>
              <w:t>Balance at June 30, 2013</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5,000</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rsidP="00A376CF">
            <w:pPr>
              <w:jc w:val="center"/>
              <w:rPr>
                <w:rFonts w:eastAsia="Times New Roman"/>
                <w:sz w:val="20"/>
                <w:szCs w:val="20"/>
              </w:rPr>
            </w:pPr>
          </w:p>
        </w:tc>
        <w:tc>
          <w:tcPr>
            <w:tcW w:w="0" w:type="auto"/>
            <w:shd w:val="clear" w:color="auto" w:fill="CCEEFF"/>
            <w:vAlign w:val="center"/>
            <w:hideMark/>
          </w:tcPr>
          <w:p w:rsidR="00000000" w:rsidRPr="00A376CF" w:rsidRDefault="003B7527" w:rsidP="00A376CF">
            <w:pPr>
              <w:jc w:val="center"/>
              <w:rPr>
                <w:rFonts w:eastAsia="Times New Roman"/>
                <w:sz w:val="20"/>
                <w:szCs w:val="20"/>
              </w:rPr>
            </w:pPr>
            <w:r w:rsidRPr="00A376CF">
              <w:rPr>
                <w:rFonts w:eastAsia="Times New Roman"/>
                <w:b/>
                <w:bCs/>
                <w:sz w:val="20"/>
                <w:szCs w:val="20"/>
              </w:rPr>
              <w:t>50</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1,670,000</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16,700</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1,670,000</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sz w:val="20"/>
                <w:szCs w:val="20"/>
              </w:rPr>
              <w:t> </w:t>
            </w:r>
            <w:r w:rsidRPr="00A376CF">
              <w:rPr>
                <w:rFonts w:eastAsia="Times New Roman"/>
                <w:b/>
                <w:bCs/>
                <w:sz w:val="20"/>
                <w:szCs w:val="20"/>
              </w:rPr>
              <w:t>(7,284)</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sz w:val="20"/>
                <w:szCs w:val="20"/>
              </w:rPr>
              <w:t> </w:t>
            </w:r>
            <w:r w:rsidRPr="00A376CF">
              <w:rPr>
                <w:rFonts w:eastAsia="Times New Roman"/>
                <w:b/>
                <w:bCs/>
                <w:sz w:val="20"/>
                <w:szCs w:val="20"/>
              </w:rPr>
              <w:t>46,973,585</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sz w:val="20"/>
                <w:szCs w:val="20"/>
              </w:rPr>
              <w:t> </w:t>
            </w:r>
            <w:r w:rsidRPr="00A376CF">
              <w:rPr>
                <w:rFonts w:eastAsia="Times New Roman"/>
                <w:b/>
                <w:bCs/>
                <w:sz w:val="20"/>
                <w:szCs w:val="20"/>
              </w:rPr>
              <w:t>469,736</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 20,497,769</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 </w:t>
            </w:r>
            <w:r w:rsidRPr="00A376CF">
              <w:rPr>
                <w:rFonts w:eastAsia="Times New Roman"/>
                <w:b/>
                <w:bCs/>
                <w:sz w:val="20"/>
                <w:szCs w:val="20"/>
              </w:rPr>
              <w:t>(20,704,078)</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 272,893</w:t>
            </w:r>
          </w:p>
        </w:tc>
        <w:tc>
          <w:tcPr>
            <w:tcW w:w="0" w:type="auto"/>
            <w:shd w:val="clear" w:color="auto" w:fill="CCEEFF"/>
            <w:vAlign w:val="center"/>
            <w:hideMark/>
          </w:tcPr>
          <w:p w:rsidR="00000000" w:rsidRDefault="003B7527">
            <w:pPr>
              <w:rPr>
                <w:rFonts w:eastAsia="Times New Roman"/>
              </w:rPr>
            </w:pPr>
            <w:r>
              <w:rPr>
                <w:rFonts w:eastAsia="Times New Roman"/>
              </w:rPr>
              <w:t> </w:t>
            </w:r>
          </w:p>
        </w:tc>
      </w:tr>
      <w:tr w:rsidR="00A376CF" w:rsidTr="00A376CF">
        <w:trPr>
          <w:divId w:val="1666319679"/>
          <w:tblCellSpacing w:w="0" w:type="dxa"/>
        </w:trPr>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Net Income (Loss)</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rsidP="00A376CF">
            <w:pPr>
              <w:jc w:val="center"/>
              <w:rPr>
                <w:rFonts w:eastAsia="Times New Roman"/>
                <w:sz w:val="20"/>
                <w:szCs w:val="20"/>
              </w:rPr>
            </w:pPr>
          </w:p>
        </w:tc>
        <w:tc>
          <w:tcPr>
            <w:tcW w:w="0" w:type="auto"/>
            <w:shd w:val="clear" w:color="auto" w:fill="FFFFFF"/>
            <w:vAlign w:val="center"/>
            <w:hideMark/>
          </w:tcPr>
          <w:p w:rsidR="00000000" w:rsidRPr="00A376CF" w:rsidRDefault="003B7527" w:rsidP="00A376CF">
            <w:pPr>
              <w:jc w:val="center"/>
              <w:rPr>
                <w:rFonts w:eastAsia="Times New Roman"/>
                <w:sz w:val="20"/>
                <w:szCs w:val="20"/>
              </w:rPr>
            </w:pP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jc w:val="right"/>
              <w:rPr>
                <w:rFonts w:eastAsia="Times New Roman"/>
                <w:sz w:val="20"/>
                <w:szCs w:val="20"/>
              </w:rPr>
            </w:pPr>
            <w:r w:rsidRPr="00A376CF">
              <w:rPr>
                <w:rFonts w:eastAsia="Times New Roman"/>
                <w:sz w:val="20"/>
                <w:szCs w:val="20"/>
              </w:rPr>
              <w:t> 3,268</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FFFFFF"/>
            <w:vAlign w:val="center"/>
            <w:hideMark/>
          </w:tcPr>
          <w:p w:rsidR="00000000" w:rsidRDefault="003B7527">
            <w:pPr>
              <w:rPr>
                <w:rFonts w:eastAsia="Times New Roman"/>
              </w:rPr>
            </w:pPr>
            <w:r>
              <w:rPr>
                <w:rFonts w:eastAsia="Times New Roman"/>
              </w:rPr>
              <w:t> </w:t>
            </w:r>
          </w:p>
        </w:tc>
      </w:tr>
      <w:tr w:rsidR="00A376CF" w:rsidTr="00A376CF">
        <w:trPr>
          <w:divId w:val="1666319679"/>
          <w:tblCellSpacing w:w="0" w:type="dxa"/>
        </w:trPr>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b/>
                <w:bCs/>
                <w:sz w:val="20"/>
                <w:szCs w:val="20"/>
              </w:rPr>
              <w:t>Balance at June 30, 2014</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5,000</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rsidP="00A376CF">
            <w:pPr>
              <w:jc w:val="center"/>
              <w:rPr>
                <w:rFonts w:eastAsia="Times New Roman"/>
                <w:sz w:val="20"/>
                <w:szCs w:val="20"/>
              </w:rPr>
            </w:pPr>
          </w:p>
        </w:tc>
        <w:tc>
          <w:tcPr>
            <w:tcW w:w="0" w:type="auto"/>
            <w:shd w:val="clear" w:color="auto" w:fill="CCEEFF"/>
            <w:vAlign w:val="center"/>
            <w:hideMark/>
          </w:tcPr>
          <w:p w:rsidR="00000000" w:rsidRPr="00A376CF" w:rsidRDefault="003B7527" w:rsidP="00A376CF">
            <w:pPr>
              <w:jc w:val="center"/>
              <w:rPr>
                <w:rFonts w:eastAsia="Times New Roman"/>
                <w:sz w:val="20"/>
                <w:szCs w:val="20"/>
              </w:rPr>
            </w:pPr>
            <w:r w:rsidRPr="00A376CF">
              <w:rPr>
                <w:rFonts w:eastAsia="Times New Roman"/>
                <w:b/>
                <w:bCs/>
                <w:sz w:val="20"/>
                <w:szCs w:val="20"/>
              </w:rPr>
              <w:t>50</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1,670,000</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16,700</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1,670,000</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 (7,284)</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 46,973,585</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sz w:val="20"/>
                <w:szCs w:val="20"/>
              </w:rPr>
              <w:t> </w:t>
            </w:r>
            <w:r w:rsidRPr="00A376CF">
              <w:rPr>
                <w:rFonts w:eastAsia="Times New Roman"/>
                <w:b/>
                <w:bCs/>
                <w:sz w:val="20"/>
                <w:szCs w:val="20"/>
              </w:rPr>
              <w:t>469,736</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 20,497,769</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 (20,765,734)</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rPr>
                <w:rFonts w:eastAsia="Times New Roman"/>
                <w:sz w:val="20"/>
                <w:szCs w:val="20"/>
              </w:rPr>
            </w:pPr>
            <w:r w:rsidRPr="00A376CF">
              <w:rPr>
                <w:rFonts w:eastAsia="Times New Roman"/>
                <w:sz w:val="20"/>
                <w:szCs w:val="20"/>
              </w:rPr>
              <w:t> </w:t>
            </w:r>
          </w:p>
        </w:tc>
        <w:tc>
          <w:tcPr>
            <w:tcW w:w="0" w:type="auto"/>
            <w:shd w:val="clear" w:color="auto" w:fill="CCEEFF"/>
            <w:vAlign w:val="center"/>
            <w:hideMark/>
          </w:tcPr>
          <w:p w:rsidR="00000000" w:rsidRPr="00A376CF" w:rsidRDefault="003B7527">
            <w:pPr>
              <w:jc w:val="right"/>
              <w:rPr>
                <w:rFonts w:eastAsia="Times New Roman"/>
                <w:sz w:val="20"/>
                <w:szCs w:val="20"/>
              </w:rPr>
            </w:pPr>
            <w:r w:rsidRPr="00A376CF">
              <w:rPr>
                <w:rFonts w:eastAsia="Times New Roman"/>
                <w:b/>
                <w:bCs/>
                <w:sz w:val="20"/>
                <w:szCs w:val="20"/>
              </w:rPr>
              <w:t>211,237</w:t>
            </w:r>
          </w:p>
        </w:tc>
        <w:tc>
          <w:tcPr>
            <w:tcW w:w="0" w:type="auto"/>
            <w:shd w:val="clear" w:color="auto" w:fill="CCEEFF"/>
            <w:vAlign w:val="center"/>
            <w:hideMark/>
          </w:tcPr>
          <w:p w:rsidR="00000000" w:rsidRDefault="003B7527">
            <w:pPr>
              <w:rPr>
                <w:rFonts w:eastAsia="Times New Roman"/>
              </w:rPr>
            </w:pPr>
            <w:r>
              <w:rPr>
                <w:rFonts w:eastAsia="Times New Roman"/>
              </w:rPr>
              <w:t> </w:t>
            </w:r>
          </w:p>
        </w:tc>
      </w:tr>
      <w:tr w:rsidR="00A376CF" w:rsidTr="00726B71">
        <w:trPr>
          <w:divId w:val="1666319679"/>
          <w:tblCellSpacing w:w="0" w:type="dxa"/>
        </w:trPr>
        <w:tc>
          <w:tcPr>
            <w:tcW w:w="0" w:type="auto"/>
            <w:gridSpan w:val="33"/>
            <w:shd w:val="clear" w:color="auto" w:fill="FFFFFF"/>
            <w:vAlign w:val="center"/>
            <w:hideMark/>
          </w:tcPr>
          <w:p w:rsidR="00A376CF" w:rsidRPr="00A376CF" w:rsidRDefault="00A376CF" w:rsidP="00A376CF">
            <w:pPr>
              <w:jc w:val="center"/>
              <w:rPr>
                <w:rFonts w:eastAsia="Times New Roman"/>
                <w:sz w:val="20"/>
                <w:szCs w:val="20"/>
              </w:rPr>
            </w:pPr>
            <w:r w:rsidRPr="00A376CF">
              <w:rPr>
                <w:b/>
                <w:bCs/>
                <w:sz w:val="20"/>
                <w:szCs w:val="20"/>
              </w:rPr>
              <w:t>See accompanying notes to financial statements.</w:t>
            </w:r>
          </w:p>
        </w:tc>
        <w:tc>
          <w:tcPr>
            <w:tcW w:w="0" w:type="auto"/>
            <w:vAlign w:val="center"/>
            <w:hideMark/>
          </w:tcPr>
          <w:p w:rsidR="00A376CF" w:rsidRDefault="00A376CF">
            <w:pPr>
              <w:rPr>
                <w:rFonts w:eastAsia="Times New Roman"/>
                <w:sz w:val="20"/>
                <w:szCs w:val="20"/>
              </w:rPr>
            </w:pPr>
          </w:p>
        </w:tc>
      </w:tr>
    </w:tbl>
    <w:p w:rsidR="00000000" w:rsidRDefault="003B7527">
      <w:pPr>
        <w:divId w:val="1666319679"/>
        <w:rPr>
          <w:rFonts w:eastAsia="Times New Roman"/>
        </w:rPr>
      </w:pPr>
    </w:p>
    <w:p w:rsidR="00000000" w:rsidRDefault="003B7527">
      <w:pPr>
        <w:pStyle w:val="NormalWeb"/>
        <w:jc w:val="center"/>
        <w:divId w:val="1666319679"/>
      </w:pPr>
      <w:hyperlink w:anchor="toc" w:history="1">
        <w:r>
          <w:rPr>
            <w:rStyle w:val="Hyperlink"/>
            <w:b/>
            <w:bCs/>
            <w:sz w:val="20"/>
            <w:szCs w:val="20"/>
          </w:rPr>
          <w:t>Return to Table of Contents</w:t>
        </w:r>
      </w:hyperlink>
    </w:p>
    <w:p w:rsidR="00A376CF" w:rsidRDefault="00C27026">
      <w:pPr>
        <w:rPr>
          <w:rFonts w:eastAsia="Times New Roman"/>
        </w:rPr>
        <w:sectPr w:rsidR="00A376CF" w:rsidSect="00A376CF">
          <w:pgSz w:w="15840" w:h="12240" w:orient="landscape"/>
          <w:pgMar w:top="360" w:right="360" w:bottom="360" w:left="360" w:header="720" w:footer="720" w:gutter="0"/>
          <w:cols w:space="720"/>
          <w:docGrid w:linePitch="360"/>
        </w:sectPr>
      </w:pPr>
      <w:r>
        <w:rPr>
          <w:rFonts w:eastAsia="Times New Roman"/>
        </w:rPr>
        <w:pict>
          <v:rect id="_x0000_i1044" style="width:0;height:3pt" o:hralign="center" o:hrstd="t" o:hrnoshade="t" o:hr="t" fillcolor="black" stroked="f"/>
        </w:pict>
      </w:r>
    </w:p>
    <w:p w:rsidR="00000000" w:rsidRDefault="003B7527">
      <w:pPr>
        <w:rPr>
          <w:rFonts w:eastAsia="Times New Roman"/>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05"/>
        <w:gridCol w:w="1288"/>
        <w:gridCol w:w="1288"/>
        <w:gridCol w:w="814"/>
      </w:tblGrid>
      <w:tr w:rsidR="0000000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pStyle w:val="NormalWeb"/>
              <w:jc w:val="center"/>
            </w:pPr>
            <w:r>
              <w:rPr>
                <w:b/>
                <w:bCs/>
                <w:sz w:val="20"/>
                <w:szCs w:val="20"/>
              </w:rPr>
              <w:t>ADVANCED OXYGEN TECHNOLOGIES, INC.</w:t>
            </w:r>
          </w:p>
        </w:tc>
      </w:tr>
      <w:tr w:rsidR="0000000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center"/>
              <w:rPr>
                <w:rFonts w:eastAsia="Times New Roman"/>
              </w:rPr>
            </w:pPr>
            <w:r>
              <w:rPr>
                <w:rFonts w:eastAsia="Times New Roman"/>
                <w:b/>
                <w:bCs/>
                <w:sz w:val="20"/>
                <w:szCs w:val="20"/>
              </w:rPr>
              <w:t>Consolidated Statement of Cash Flow </w:t>
            </w:r>
          </w:p>
        </w:tc>
      </w:tr>
      <w:tr w:rsidR="00000000">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p>
        </w:tc>
        <w:tc>
          <w:tcPr>
            <w:tcW w:w="750" w:type="pct"/>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p>
        </w:tc>
        <w:tc>
          <w:tcPr>
            <w:tcW w:w="750" w:type="pct"/>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p>
        </w:tc>
        <w:tc>
          <w:tcPr>
            <w:tcW w:w="750" w:type="pct"/>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pStyle w:val="NormalWeb"/>
              <w:jc w:val="center"/>
            </w:pPr>
            <w:r>
              <w:rPr>
                <w:sz w:val="20"/>
                <w:szCs w:val="20"/>
              </w:rPr>
              <w:t>3 Month Period Ending</w:t>
            </w:r>
            <w:r>
              <w:rPr>
                <w:sz w:val="20"/>
                <w:szCs w:val="20"/>
              </w:rPr>
              <w:br/>
              <w:t>September 30</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center"/>
            </w:pPr>
            <w:r>
              <w:rPr>
                <w:sz w:val="20"/>
                <w:szCs w:val="20"/>
              </w:rPr>
              <w:t>12 Month Period Ending June 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pStyle w:val="NormalWeb"/>
              <w:jc w:val="center"/>
            </w:pPr>
            <w:r>
              <w:rPr>
                <w:b/>
                <w:bCs/>
                <w:sz w:val="20"/>
                <w:szCs w:val="20"/>
              </w:rPr>
              <w:t xml:space="preserve">(unaudited) </w: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center"/>
            </w:pPr>
            <w:r>
              <w:rPr>
                <w:b/>
                <w:bCs/>
                <w:sz w:val="20"/>
                <w:szCs w:val="20"/>
              </w:rPr>
              <w:t xml:space="preserve">(audited)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pStyle w:val="NormalWeb"/>
              <w:jc w:val="right"/>
            </w:pPr>
            <w:r>
              <w:rPr>
                <w:b/>
                <w:bCs/>
                <w:sz w:val="20"/>
                <w:szCs w:val="20"/>
              </w:rPr>
              <w:t>2013</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pStyle w:val="NormalWeb"/>
              <w:jc w:val="right"/>
            </w:pPr>
            <w:r>
              <w:rPr>
                <w:b/>
                <w:bCs/>
                <w:sz w:val="20"/>
                <w:szCs w:val="20"/>
              </w:rPr>
              <w:t>2013</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pStyle w:val="NormalWeb"/>
              <w:jc w:val="right"/>
            </w:pPr>
            <w:r>
              <w:rPr>
                <w:b/>
                <w:bCs/>
                <w:sz w:val="20"/>
                <w:szCs w:val="20"/>
              </w:rPr>
              <w:t>2014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b/>
                <w:bCs/>
                <w:sz w:val="20"/>
                <w:szCs w:val="20"/>
              </w:rPr>
              <w:t>Cash flow from operating activities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Net Income (Loss)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3,268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(3,676)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(64,924)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Adjustments to reconcile net loss to cash provided by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Accounts Receivable &amp; Value Added Tax Receivable</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(1,644)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Accounts Payable and Accrued Expenses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(9,483)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(13,331)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Current Portion of Long Term Debt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48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Note Payable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855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Taxes Payable</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(2,131)</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(1,211)</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3,450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Prepaid Rental Revenues, ANV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855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Land &amp; Buildings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(27,256)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Current Bank Liability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2,278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Total Adjustments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(3,231)</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(7,561)</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(37,878)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b/>
                <w:bCs/>
                <w:sz w:val="20"/>
                <w:szCs w:val="20"/>
              </w:rPr>
              <w:t>Net Cash provided (used) by operations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b/>
                <w:bCs/>
                <w:sz w:val="20"/>
                <w:szCs w:val="20"/>
              </w:rPr>
              <w:t>37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b/>
                <w:bCs/>
                <w:sz w:val="20"/>
                <w:szCs w:val="20"/>
              </w:rPr>
              <w:t>(11,237)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b/>
                <w:bCs/>
                <w:sz w:val="20"/>
                <w:szCs w:val="20"/>
              </w:rPr>
              <w:t>(109,492)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b/>
                <w:bCs/>
                <w:sz w:val="20"/>
                <w:szCs w:val="20"/>
              </w:rPr>
              <w:t>Cash Flows from financing activities: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Proceeds From: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Note Payable, Crossfield</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1,100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7,759</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9,859</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Proceeds Used For: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Long Term Debt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(7,062)</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(2,295)</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194,939</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b/>
                <w:bCs/>
                <w:sz w:val="20"/>
                <w:szCs w:val="20"/>
              </w:rPr>
              <w:t>Net Cash Flows used in Financing Activities: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(5,962)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5,464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204,798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b/>
                <w:bCs/>
                <w:sz w:val="20"/>
                <w:szCs w:val="20"/>
              </w:rPr>
              <w:t>Net Increase (decrease) in Cash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(5,925)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(8,051)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95,050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b/>
                <w:bCs/>
                <w:sz w:val="20"/>
                <w:szCs w:val="20"/>
              </w:rPr>
              <w:t>Cash Balance at beginning of Period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100,825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5,775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r>
              <w:rPr>
                <w:rFonts w:eastAsia="Times New Roman"/>
                <w:sz w:val="20"/>
                <w:szCs w:val="20"/>
              </w:rPr>
              <w:t>5,775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rPr>
                <w:rFonts w:eastAsia="Times New Roman"/>
              </w:rPr>
            </w:pPr>
            <w:r>
              <w:rPr>
                <w:rFonts w:eastAsia="Times New Roman"/>
                <w:b/>
                <w:bCs/>
                <w:sz w:val="20"/>
                <w:szCs w:val="20"/>
              </w:rPr>
              <w:t>Cash Balance at End of Period</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94,900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right"/>
              <w:rPr>
                <w:rFonts w:eastAsia="Times New Roman"/>
              </w:rPr>
            </w:pPr>
            <w:r>
              <w:rPr>
                <w:rFonts w:eastAsia="Times New Roman"/>
                <w:sz w:val="20"/>
                <w:szCs w:val="20"/>
              </w:rPr>
              <w:t>100,825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3B7527">
            <w:pPr>
              <w:jc w:val="right"/>
              <w:rPr>
                <w:rFonts w:eastAsia="Times New Roman"/>
              </w:rPr>
            </w:pPr>
          </w:p>
        </w:tc>
      </w:tr>
      <w:tr w:rsidR="0000000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hideMark/>
          </w:tcPr>
          <w:p w:rsidR="00000000" w:rsidRDefault="003B7527">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r>
    </w:tbl>
    <w:p w:rsidR="00000000" w:rsidRDefault="003B7527">
      <w:pPr>
        <w:pStyle w:val="NormalWeb"/>
      </w:pPr>
      <w:hyperlink w:anchor="toc" w:history="1">
        <w:r>
          <w:rPr>
            <w:rStyle w:val="Hyperlink"/>
            <w:b/>
            <w:bCs/>
            <w:sz w:val="20"/>
            <w:szCs w:val="20"/>
          </w:rPr>
          <w:t>Return to Table of Contents</w:t>
        </w:r>
      </w:hyperlink>
    </w:p>
    <w:p w:rsidR="000452C7" w:rsidRDefault="00C27026">
      <w:pPr>
        <w:rPr>
          <w:rFonts w:eastAsia="Times New Roman"/>
        </w:rPr>
      </w:pPr>
      <w:r>
        <w:rPr>
          <w:rFonts w:eastAsia="Times New Roman"/>
        </w:rPr>
        <w:pict>
          <v:rect id="_x0000_i1045" style="width:0;height:3pt" o:hralign="center" o:hrstd="t" o:hrnoshade="t" o:hr="t" fillcolor="black" stroked="f"/>
        </w:pict>
      </w:r>
    </w:p>
    <w:p w:rsidR="000452C7" w:rsidRDefault="000452C7">
      <w:pPr>
        <w:rPr>
          <w:rFonts w:eastAsia="Times New Roman"/>
        </w:rPr>
      </w:pPr>
      <w:r>
        <w:rPr>
          <w:rFonts w:eastAsia="Times New Roman"/>
        </w:rPr>
        <w:br w:type="page"/>
      </w:r>
    </w:p>
    <w:p w:rsidR="00000000" w:rsidRDefault="003B7527">
      <w:pPr>
        <w:pStyle w:val="NormalWeb"/>
      </w:pPr>
      <w:bookmarkStart w:id="2" w:name="notes"/>
      <w:bookmarkEnd w:id="2"/>
      <w:r>
        <w:rPr>
          <w:b/>
          <w:bCs/>
          <w:sz w:val="20"/>
          <w:szCs w:val="20"/>
        </w:rPr>
        <w:lastRenderedPageBreak/>
        <w:t>NOTE 1- ORGANIZATION AND LINE OF BUSINESS</w:t>
      </w:r>
    </w:p>
    <w:p w:rsidR="00000000" w:rsidRDefault="003B7527">
      <w:pPr>
        <w:pStyle w:val="NormalWeb"/>
      </w:pPr>
      <w:r>
        <w:rPr>
          <w:b/>
          <w:bCs/>
        </w:rPr>
        <w:t>LINE OF BUSINESS</w:t>
      </w:r>
    </w:p>
    <w:p w:rsidR="00000000" w:rsidRDefault="003B7527">
      <w:pPr>
        <w:pStyle w:val="NormalWeb"/>
      </w:pPr>
      <w:r>
        <w:rPr>
          <w:sz w:val="20"/>
          <w:szCs w:val="20"/>
        </w:rPr>
        <w:t>Organization:</w:t>
      </w:r>
    </w:p>
    <w:p w:rsidR="00000000" w:rsidRDefault="003B7527">
      <w:pPr>
        <w:pStyle w:val="NormalWeb"/>
      </w:pPr>
      <w:r>
        <w:rPr>
          <w:sz w:val="20"/>
          <w:szCs w:val="20"/>
        </w:rPr>
        <w:t xml:space="preserve">Advanced Oxygen Technologies, Inc. (formerly </w:t>
      </w:r>
      <w:proofErr w:type="spellStart"/>
      <w:r>
        <w:rPr>
          <w:sz w:val="20"/>
          <w:szCs w:val="20"/>
        </w:rPr>
        <w:t>Aquanautic</w:t>
      </w:r>
      <w:proofErr w:type="spellEnd"/>
      <w:r>
        <w:rPr>
          <w:sz w:val="20"/>
          <w:szCs w:val="20"/>
        </w:rPr>
        <w:t xml:space="preserve"> Corporation) (the "Com</w:t>
      </w:r>
      <w:r>
        <w:rPr>
          <w:sz w:val="20"/>
          <w:szCs w:val="20"/>
        </w:rPr>
        <w:t xml:space="preserve">pany") was originally formed as a specialty materials company in the development stage (as defined by the Financial Accounting Standards Board ("FASB") in Statement of Financial Accounting Standards ("SFAS") no. 7, "Accounting and Reporting by Development </w:t>
      </w:r>
      <w:r>
        <w:rPr>
          <w:sz w:val="20"/>
          <w:szCs w:val="20"/>
        </w:rPr>
        <w:t>Stage Enterprises"). The Company's core technology consisted of a variety of materials, which had a high affinity for oxygen. In 1993 the Company discontinued those operations.</w:t>
      </w:r>
    </w:p>
    <w:p w:rsidR="00000000" w:rsidRDefault="003B7527">
      <w:pPr>
        <w:pStyle w:val="NormalWeb"/>
      </w:pPr>
      <w:r>
        <w:rPr>
          <w:sz w:val="20"/>
          <w:szCs w:val="20"/>
        </w:rPr>
        <w:t>Lines of Business:</w:t>
      </w:r>
    </w:p>
    <w:p w:rsidR="00000000" w:rsidRDefault="003B7527">
      <w:pPr>
        <w:pStyle w:val="NormalWeb"/>
      </w:pPr>
      <w:r>
        <w:rPr>
          <w:sz w:val="20"/>
          <w:szCs w:val="20"/>
        </w:rPr>
        <w:t>The Company's operations began again in 1997. The Company, t</w:t>
      </w:r>
      <w:r>
        <w:rPr>
          <w:sz w:val="20"/>
          <w:szCs w:val="20"/>
        </w:rPr>
        <w:t>hrough its wholly owned subsidiary ANV owns income producing commercial real estate leased until 2026. The real estate consists solely of the land with no buildings or improvements ("Land"). All improvements on the Land are those of the tenant.</w:t>
      </w:r>
    </w:p>
    <w:p w:rsidR="00000000" w:rsidRDefault="003B7527">
      <w:pPr>
        <w:pStyle w:val="NormalWeb"/>
      </w:pPr>
      <w:r>
        <w:rPr>
          <w:b/>
          <w:bCs/>
          <w:sz w:val="20"/>
          <w:szCs w:val="20"/>
        </w:rPr>
        <w:t>NOTE 2 - SU</w:t>
      </w:r>
      <w:r>
        <w:rPr>
          <w:b/>
          <w:bCs/>
          <w:sz w:val="20"/>
          <w:szCs w:val="20"/>
        </w:rPr>
        <w:t>MMARY OF SIGNIFICANT ACCOUNTING POLICIES</w:t>
      </w:r>
      <w:proofErr w:type="gramStart"/>
      <w:r>
        <w:rPr>
          <w:b/>
          <w:bCs/>
          <w:sz w:val="20"/>
          <w:szCs w:val="20"/>
        </w:rPr>
        <w:t>:</w:t>
      </w:r>
      <w:proofErr w:type="gramEnd"/>
      <w:r>
        <w:rPr>
          <w:sz w:val="20"/>
          <w:szCs w:val="20"/>
        </w:rPr>
        <w:br/>
      </w:r>
      <w:r>
        <w:rPr>
          <w:sz w:val="20"/>
          <w:szCs w:val="20"/>
        </w:rPr>
        <w:br/>
      </w:r>
      <w:r>
        <w:rPr>
          <w:i/>
          <w:iCs/>
        </w:rPr>
        <w:t>Revenue Recognition</w:t>
      </w:r>
      <w:r>
        <w:t>:</w:t>
      </w:r>
    </w:p>
    <w:p w:rsidR="00000000" w:rsidRDefault="003B7527">
      <w:pPr>
        <w:pStyle w:val="NormalWeb"/>
      </w:pPr>
      <w:r>
        <w:rPr>
          <w:i/>
          <w:iCs/>
          <w:sz w:val="20"/>
          <w:szCs w:val="20"/>
        </w:rPr>
        <w:t xml:space="preserve">Recognition of rental income: </w:t>
      </w:r>
      <w:r>
        <w:rPr>
          <w:sz w:val="20"/>
          <w:szCs w:val="20"/>
        </w:rPr>
        <w:t>Rental income for commercial property leases is recognized on a straight-line basis over the respective lease terms.</w:t>
      </w:r>
    </w:p>
    <w:p w:rsidR="00000000" w:rsidRDefault="003B7527">
      <w:pPr>
        <w:pStyle w:val="NormalWeb"/>
      </w:pPr>
      <w:r>
        <w:rPr>
          <w:i/>
          <w:iCs/>
          <w:sz w:val="20"/>
          <w:szCs w:val="20"/>
        </w:rPr>
        <w:t>Real Estate Accounting Principles</w:t>
      </w:r>
      <w:r>
        <w:rPr>
          <w:sz w:val="20"/>
          <w:szCs w:val="20"/>
        </w:rPr>
        <w:t>: The Comp</w:t>
      </w:r>
      <w:r>
        <w:rPr>
          <w:sz w:val="20"/>
          <w:szCs w:val="20"/>
        </w:rPr>
        <w:t>any treats the valuation of its real estate in accordance with FASB Statement No. 157, Fair Value Measurements, which provides for the companies accounting valuation of real estate. Statement 157 defines fair value as the price that would be received to se</w:t>
      </w:r>
      <w:r>
        <w:rPr>
          <w:sz w:val="20"/>
          <w:szCs w:val="20"/>
        </w:rPr>
        <w:t>ll an asset or paid to transfer a liability in an orderly transaction between market participants at the measurement date. The Company has valued its real estate using the three valuation approaches defined in FASB Statement No. 157: The market approach, w</w:t>
      </w:r>
      <w:r>
        <w:rPr>
          <w:sz w:val="20"/>
          <w:szCs w:val="20"/>
        </w:rPr>
        <w:t>hich uses observable prices and other relevant information derived from market transactions involving identical or comparable assets or liabilities, The income approach, which uses valuation technique to convert future benefits or costs, usually in the for</w:t>
      </w:r>
      <w:r>
        <w:rPr>
          <w:sz w:val="20"/>
          <w:szCs w:val="20"/>
        </w:rPr>
        <w:t>m of cash flows, into a present-value amount. Examples of an income approach include the discounted cash flow method and the direct capitalization method, and the cost approach, which uses estimates of the cost to replace an asset’s service capacity.</w:t>
      </w:r>
    </w:p>
    <w:p w:rsidR="00000000" w:rsidRDefault="003B7527">
      <w:pPr>
        <w:rPr>
          <w:rFonts w:eastAsia="Times New Roman"/>
        </w:rPr>
      </w:pPr>
      <w:r>
        <w:rPr>
          <w:rFonts w:eastAsia="Times New Roman"/>
          <w:i/>
          <w:iCs/>
          <w:sz w:val="20"/>
          <w:szCs w:val="20"/>
        </w:rPr>
        <w:t>Reven</w:t>
      </w:r>
      <w:r>
        <w:rPr>
          <w:rFonts w:eastAsia="Times New Roman"/>
          <w:i/>
          <w:iCs/>
          <w:sz w:val="20"/>
          <w:szCs w:val="20"/>
        </w:rPr>
        <w:t>ue recognition on the sale of real estate:</w:t>
      </w:r>
      <w:r>
        <w:rPr>
          <w:rFonts w:eastAsia="Times New Roman"/>
        </w:rPr>
        <w:t xml:space="preserve"> </w:t>
      </w:r>
    </w:p>
    <w:p w:rsidR="00000000" w:rsidRDefault="003B7527">
      <w:pPr>
        <w:pStyle w:val="NormalWeb"/>
      </w:pPr>
      <w:r>
        <w:rPr>
          <w:sz w:val="20"/>
          <w:szCs w:val="20"/>
        </w:rPr>
        <w:t>Sales of real estate are recognized when and to the extent permitted by Statement of Financial Accounting Standards No. 66, “Accounting for Sales of Real Estate” (“SFAS No. 66”</w:t>
      </w:r>
      <w:r>
        <w:rPr>
          <w:sz w:val="20"/>
          <w:szCs w:val="20"/>
        </w:rPr>
        <w:t xml:space="preserve">), as amended by SFAS No. 144. Until the requirements of SFAS No. 66 for full profit recognition have been met, transactions are accounted for using </w:t>
      </w:r>
      <w:proofErr w:type="gramStart"/>
      <w:r>
        <w:rPr>
          <w:sz w:val="20"/>
          <w:szCs w:val="20"/>
        </w:rPr>
        <w:t>either the</w:t>
      </w:r>
      <w:proofErr w:type="gramEnd"/>
      <w:r>
        <w:rPr>
          <w:sz w:val="20"/>
          <w:szCs w:val="20"/>
        </w:rPr>
        <w:t xml:space="preserve"> deposit, the installment, the cost recovery, or the financing method, whichever is appropriate.</w:t>
      </w:r>
    </w:p>
    <w:p w:rsidR="00000000" w:rsidRDefault="003B7527">
      <w:pPr>
        <w:spacing w:before="100" w:beforeAutospacing="1" w:after="240"/>
      </w:pPr>
      <w:r>
        <w:rPr>
          <w:b/>
          <w:bCs/>
          <w:i/>
          <w:iCs/>
          <w:sz w:val="20"/>
          <w:szCs w:val="20"/>
        </w:rPr>
        <w:t>Real Estate Investments</w:t>
      </w:r>
      <w:r>
        <w:rPr>
          <w:b/>
          <w:bCs/>
          <w:i/>
          <w:iCs/>
          <w:sz w:val="20"/>
          <w:szCs w:val="20"/>
        </w:rPr>
        <w:br/>
      </w:r>
      <w:r>
        <w:rPr>
          <w:sz w:val="20"/>
          <w:szCs w:val="20"/>
        </w:rPr>
        <w:br/>
      </w:r>
      <w:r>
        <w:rPr>
          <w:i/>
          <w:iCs/>
          <w:sz w:val="20"/>
          <w:szCs w:val="20"/>
        </w:rPr>
        <w:t>Depreciation and Amortization</w:t>
      </w:r>
    </w:p>
    <w:p w:rsidR="00000000" w:rsidRDefault="003B7527">
      <w:pPr>
        <w:spacing w:before="100" w:beforeAutospacing="1" w:after="240"/>
      </w:pPr>
      <w:r>
        <w:rPr>
          <w:sz w:val="20"/>
          <w:szCs w:val="20"/>
        </w:rPr>
        <w:t>Real estate costs related to the acquisition and improvement of properties are capitalized and amortized over the expected useful life of the asset on a straight-line basis. Repair and maintenance c</w:t>
      </w:r>
      <w:r>
        <w:rPr>
          <w:sz w:val="20"/>
          <w:szCs w:val="20"/>
        </w:rPr>
        <w:t>osts are charged to expense as incurred and significant replacements and betterments are capitalized. Repair and maintenance costs include all costs that do not extend the useful life of the real estate asset. The Company considers the period of future ben</w:t>
      </w:r>
      <w:r>
        <w:rPr>
          <w:sz w:val="20"/>
          <w:szCs w:val="20"/>
        </w:rPr>
        <w:t>efit of an asset to determine its appropriate useful life. The Company anticipates the estimated useful lives of its assets by class to be generally as follows: land improvements—three to 40 years, buildings and building improvements—three to 40 years, and</w:t>
      </w:r>
      <w:r>
        <w:rPr>
          <w:sz w:val="20"/>
          <w:szCs w:val="20"/>
        </w:rPr>
        <w:t xml:space="preserve"> furniture and equipment—one to 20 years.</w:t>
      </w:r>
    </w:p>
    <w:p w:rsidR="00000000" w:rsidRDefault="003B7527">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0452C7" w:rsidRDefault="00C27026">
      <w:pPr>
        <w:rPr>
          <w:rFonts w:eastAsia="Times New Roman"/>
          <w:sz w:val="20"/>
          <w:szCs w:val="20"/>
        </w:rPr>
      </w:pPr>
      <w:r>
        <w:rPr>
          <w:rFonts w:eastAsia="Times New Roman"/>
          <w:sz w:val="20"/>
          <w:szCs w:val="20"/>
        </w:rPr>
        <w:pict>
          <v:rect id="_x0000_i1046" style="width:0;height:3pt" o:hralign="center" o:hrstd="t" o:hrnoshade="t" o:hr="t" fillcolor="black" stroked="f"/>
        </w:pict>
      </w:r>
    </w:p>
    <w:p w:rsidR="000452C7" w:rsidRDefault="000452C7">
      <w:pPr>
        <w:rPr>
          <w:rFonts w:eastAsia="Times New Roman"/>
          <w:sz w:val="20"/>
          <w:szCs w:val="20"/>
        </w:rPr>
      </w:pPr>
      <w:r>
        <w:rPr>
          <w:rFonts w:eastAsia="Times New Roman"/>
          <w:sz w:val="20"/>
          <w:szCs w:val="20"/>
        </w:rPr>
        <w:br w:type="page"/>
      </w:r>
    </w:p>
    <w:p w:rsidR="00000000" w:rsidRDefault="003B7527">
      <w:pPr>
        <w:spacing w:before="100" w:beforeAutospacing="1" w:after="240"/>
      </w:pPr>
      <w:r>
        <w:rPr>
          <w:i/>
          <w:iCs/>
          <w:sz w:val="20"/>
          <w:szCs w:val="20"/>
        </w:rPr>
        <w:lastRenderedPageBreak/>
        <w:t>Impairment of Real Estate Investments</w:t>
      </w:r>
    </w:p>
    <w:p w:rsidR="00000000" w:rsidRDefault="003B7527">
      <w:pPr>
        <w:spacing w:before="100" w:beforeAutospacing="1" w:after="100" w:afterAutospacing="1"/>
      </w:pPr>
      <w:r>
        <w:rPr>
          <w:sz w:val="20"/>
          <w:szCs w:val="20"/>
        </w:rPr>
        <w:t>The Company continually monitors events and changes in circumstances that could indicate that the carrying amounts of its real estate investments may not be recoverable or realized. When indicators of potential impairment suggest that the carrying value of</w:t>
      </w:r>
      <w:r>
        <w:rPr>
          <w:sz w:val="20"/>
          <w:szCs w:val="20"/>
        </w:rPr>
        <w:t xml:space="preserve"> real estate investments may not be recoverable, the Company assesses the recoverability by estimating whether the Company will recover the carrying value of its real estate investments through its undiscounted future cash flows and the eventual dispositio</w:t>
      </w:r>
      <w:r>
        <w:rPr>
          <w:sz w:val="20"/>
          <w:szCs w:val="20"/>
        </w:rPr>
        <w:t xml:space="preserve">n of the investment. If, based on this analysis, the Company does not believe that it will be able to recover the carrying value of its real estate </w:t>
      </w:r>
      <w:proofErr w:type="gramStart"/>
      <w:r>
        <w:rPr>
          <w:sz w:val="20"/>
          <w:szCs w:val="20"/>
        </w:rPr>
        <w:t>investments,</w:t>
      </w:r>
      <w:proofErr w:type="gramEnd"/>
      <w:r>
        <w:rPr>
          <w:sz w:val="20"/>
          <w:szCs w:val="20"/>
        </w:rPr>
        <w:t xml:space="preserve"> the Company would record an impairment loss to the extent that the carrying value exceeds the e</w:t>
      </w:r>
      <w:r>
        <w:rPr>
          <w:sz w:val="20"/>
          <w:szCs w:val="20"/>
        </w:rPr>
        <w:t xml:space="preserve">stimated fair value of its real estate investments. </w:t>
      </w:r>
    </w:p>
    <w:p w:rsidR="00000000" w:rsidRDefault="003B7527">
      <w:pPr>
        <w:rPr>
          <w:rFonts w:eastAsia="Times New Roman"/>
        </w:rPr>
      </w:pPr>
      <w:r>
        <w:rPr>
          <w:rFonts w:eastAsia="Times New Roman"/>
          <w:i/>
          <w:iCs/>
          <w:sz w:val="20"/>
          <w:szCs w:val="20"/>
        </w:rPr>
        <w:t>Interest Recognition on Notes Receivable</w:t>
      </w:r>
    </w:p>
    <w:p w:rsidR="00000000" w:rsidRDefault="003B7527">
      <w:pPr>
        <w:pStyle w:val="NormalWeb"/>
      </w:pPr>
      <w:r>
        <w:rPr>
          <w:sz w:val="20"/>
          <w:szCs w:val="20"/>
        </w:rPr>
        <w:t>Interest income is not recognized on notes receivable that have been delinquent for 60 days or more. In addition, accrued but unpaid interest income is only rec</w:t>
      </w:r>
      <w:r>
        <w:rPr>
          <w:sz w:val="20"/>
          <w:szCs w:val="20"/>
        </w:rPr>
        <w:t>ognized to the extent that the net realizable value of the underlying collateral exceeds the carrying value of the receivable.</w:t>
      </w:r>
    </w:p>
    <w:p w:rsidR="00000000" w:rsidRDefault="003B7527">
      <w:pPr>
        <w:pStyle w:val="NormalWeb"/>
      </w:pPr>
      <w:r>
        <w:rPr>
          <w:i/>
          <w:iCs/>
          <w:sz w:val="20"/>
          <w:szCs w:val="20"/>
        </w:rPr>
        <w:t>Foreign currency translation:</w:t>
      </w:r>
    </w:p>
    <w:p w:rsidR="00000000" w:rsidRDefault="003B7527">
      <w:pPr>
        <w:pStyle w:val="NormalWeb"/>
      </w:pPr>
      <w:r>
        <w:rPr>
          <w:sz w:val="20"/>
          <w:szCs w:val="20"/>
        </w:rPr>
        <w:t>Foreign currency transactions are translated applying the current rate method. Assets and liabili</w:t>
      </w:r>
      <w:r>
        <w:rPr>
          <w:sz w:val="20"/>
          <w:szCs w:val="20"/>
        </w:rPr>
        <w:t xml:space="preserve">ties are translated at current rates. Stockholders' equity accounts are translated at the appropriate historical rates and revenue and expenses are translated at weighted average rates for the year. Exchange rate differences that arise between the rate at </w:t>
      </w:r>
      <w:r>
        <w:rPr>
          <w:sz w:val="20"/>
          <w:szCs w:val="20"/>
        </w:rPr>
        <w:t>the transaction date and the one in effect at the payment date, or at the balance sheet date, are recognized in the income statement.</w:t>
      </w:r>
      <w:r>
        <w:rPr>
          <w:sz w:val="20"/>
          <w:szCs w:val="20"/>
        </w:rPr>
        <w:br/>
      </w:r>
      <w:r>
        <w:rPr>
          <w:sz w:val="20"/>
          <w:szCs w:val="20"/>
        </w:rPr>
        <w:br/>
      </w:r>
      <w:r>
        <w:rPr>
          <w:i/>
          <w:iCs/>
          <w:sz w:val="20"/>
          <w:szCs w:val="20"/>
        </w:rPr>
        <w:t>Income Taxes:</w:t>
      </w:r>
    </w:p>
    <w:p w:rsidR="00000000" w:rsidRDefault="003B7527">
      <w:pPr>
        <w:pStyle w:val="NormalWeb"/>
      </w:pPr>
      <w:r>
        <w:rPr>
          <w:sz w:val="20"/>
          <w:szCs w:val="20"/>
        </w:rPr>
        <w:t>The Company accounts for income taxes under the asset and liability method of accounting. Under this metho</w:t>
      </w:r>
      <w:r>
        <w:rPr>
          <w:sz w:val="20"/>
          <w:szCs w:val="20"/>
        </w:rPr>
        <w:t>d, deferred tax assets and liabilities are recognized for the future tax consequences attributable to differences between the financial statement carrying amounts of existing assets and liabilities and their respective tax bases. Deferred tax assets and li</w:t>
      </w:r>
      <w:r>
        <w:rPr>
          <w:sz w:val="20"/>
          <w:szCs w:val="20"/>
        </w:rPr>
        <w:t>abilities are measured using enacted tax rates expected to apply to taxable income in the years in which those temporary differences are expected to be recovered or settled. The effect on deferred tax assets and liabilities of a change in tax rates is reco</w:t>
      </w:r>
      <w:r>
        <w:rPr>
          <w:sz w:val="20"/>
          <w:szCs w:val="20"/>
        </w:rPr>
        <w:t>gnized in income in the period that includes the enactment date. A valuation allowance is required when it is less likely than not that the Company will be able to realize all or a portion of its deferred tax assets. Because it is doubtful that the net ope</w:t>
      </w:r>
      <w:r>
        <w:rPr>
          <w:sz w:val="20"/>
          <w:szCs w:val="20"/>
        </w:rPr>
        <w:t>rating losses of recent years will ever be used, a valuation allowance has been recognized equal to the tax benefit of net operating losses generated.</w:t>
      </w:r>
      <w:r>
        <w:rPr>
          <w:sz w:val="20"/>
          <w:szCs w:val="20"/>
        </w:rPr>
        <w:br/>
      </w:r>
      <w:r>
        <w:rPr>
          <w:sz w:val="20"/>
          <w:szCs w:val="20"/>
        </w:rPr>
        <w:br/>
      </w:r>
      <w:r>
        <w:rPr>
          <w:i/>
          <w:iCs/>
          <w:sz w:val="20"/>
          <w:szCs w:val="20"/>
        </w:rPr>
        <w:t>Net Earnings per Share:</w:t>
      </w:r>
    </w:p>
    <w:p w:rsidR="00000000" w:rsidRDefault="003B7527">
      <w:pPr>
        <w:pStyle w:val="NormalWeb"/>
      </w:pPr>
      <w:r>
        <w:rPr>
          <w:sz w:val="20"/>
          <w:szCs w:val="20"/>
        </w:rPr>
        <w:t xml:space="preserve">The Company adopted SFAS No. 128, "Earnings per Share". </w:t>
      </w:r>
      <w:proofErr w:type="gramStart"/>
      <w:r>
        <w:rPr>
          <w:sz w:val="20"/>
          <w:szCs w:val="20"/>
        </w:rPr>
        <w:t>Basic earnings per shar</w:t>
      </w:r>
      <w:r>
        <w:rPr>
          <w:sz w:val="20"/>
          <w:szCs w:val="20"/>
        </w:rPr>
        <w:t>e is</w:t>
      </w:r>
      <w:proofErr w:type="gramEnd"/>
      <w:r>
        <w:rPr>
          <w:sz w:val="20"/>
          <w:szCs w:val="20"/>
        </w:rPr>
        <w:t xml:space="preserve"> computed by dividing income available to common shareholders by the weighted-average number of common shares available. Diluted earnings per share is computed similar to basic earnings per share except that the denominator is increased to include the </w:t>
      </w:r>
      <w:r>
        <w:rPr>
          <w:sz w:val="20"/>
          <w:szCs w:val="20"/>
        </w:rPr>
        <w:t>number of additional common shares that would have been outstanding if the potential common shares had been issued and if the additional common shares were dilutive.</w:t>
      </w:r>
      <w:r>
        <w:rPr>
          <w:sz w:val="20"/>
          <w:szCs w:val="20"/>
        </w:rPr>
        <w:br/>
      </w:r>
      <w:r>
        <w:rPr>
          <w:sz w:val="20"/>
          <w:szCs w:val="20"/>
        </w:rPr>
        <w:br/>
      </w:r>
      <w:r>
        <w:rPr>
          <w:i/>
          <w:iCs/>
          <w:sz w:val="20"/>
          <w:szCs w:val="20"/>
        </w:rPr>
        <w:t>Cash and Cash Equivalents:</w:t>
      </w:r>
    </w:p>
    <w:p w:rsidR="00000000" w:rsidRDefault="003B7527">
      <w:pPr>
        <w:pStyle w:val="NormalWeb"/>
      </w:pPr>
      <w:r>
        <w:rPr>
          <w:sz w:val="20"/>
          <w:szCs w:val="20"/>
        </w:rPr>
        <w:t>For purposes of the statement of cash flows, the Company cons</w:t>
      </w:r>
      <w:r>
        <w:rPr>
          <w:sz w:val="20"/>
          <w:szCs w:val="20"/>
        </w:rPr>
        <w:t>iders all highly-liquid investments purchased with original maturities of three months or less to be cash equivalents.</w:t>
      </w:r>
      <w:r>
        <w:rPr>
          <w:sz w:val="20"/>
          <w:szCs w:val="20"/>
        </w:rPr>
        <w:br/>
      </w:r>
      <w:r>
        <w:rPr>
          <w:sz w:val="20"/>
          <w:szCs w:val="20"/>
        </w:rPr>
        <w:br/>
        <w:t>The Company maintains its cash in bank deposit accounts which, at September 30, 2014 did not exceed federally insured limits. The Compan</w:t>
      </w:r>
      <w:r>
        <w:rPr>
          <w:sz w:val="20"/>
          <w:szCs w:val="20"/>
        </w:rPr>
        <w:t>y has not experienced any losses in such accounts and believes that it is not exposed to any significant credit risk on such amounts.</w:t>
      </w:r>
      <w:r>
        <w:rPr>
          <w:sz w:val="20"/>
          <w:szCs w:val="20"/>
        </w:rPr>
        <w:br/>
      </w:r>
      <w:r>
        <w:rPr>
          <w:sz w:val="20"/>
          <w:szCs w:val="20"/>
        </w:rPr>
        <w:br/>
      </w:r>
      <w:r>
        <w:rPr>
          <w:i/>
          <w:iCs/>
          <w:sz w:val="20"/>
          <w:szCs w:val="20"/>
        </w:rPr>
        <w:t>Estimates:</w:t>
      </w:r>
    </w:p>
    <w:p w:rsidR="00000000" w:rsidRDefault="003B7527">
      <w:pPr>
        <w:pStyle w:val="NormalWeb"/>
      </w:pPr>
      <w:r>
        <w:rPr>
          <w:sz w:val="20"/>
          <w:szCs w:val="20"/>
        </w:rPr>
        <w:t xml:space="preserve">The preparation of financial statements in conformity with generally accepted accounting principles requires </w:t>
      </w:r>
      <w:r>
        <w:rPr>
          <w:sz w:val="20"/>
          <w:szCs w:val="20"/>
        </w:rPr>
        <w:t>management to make estimates and assumptions that affect the reported amounts of assets and liabilities and disclosures of contingent assets and liabilities at the date of the financial statements, as well as the reported amounts of revenue and expenses du</w:t>
      </w:r>
      <w:r>
        <w:rPr>
          <w:sz w:val="20"/>
          <w:szCs w:val="20"/>
        </w:rPr>
        <w:t>ring the reported period. Actual results could differ from those estimates.</w:t>
      </w:r>
      <w:r>
        <w:rPr>
          <w:sz w:val="20"/>
          <w:szCs w:val="20"/>
        </w:rPr>
        <w:br/>
      </w:r>
      <w:r>
        <w:rPr>
          <w:sz w:val="20"/>
          <w:szCs w:val="20"/>
        </w:rPr>
        <w:br/>
      </w:r>
      <w:r>
        <w:rPr>
          <w:i/>
          <w:iCs/>
          <w:sz w:val="20"/>
          <w:szCs w:val="20"/>
        </w:rPr>
        <w:t>Concentrations of Credit Risk:</w:t>
      </w:r>
    </w:p>
    <w:p w:rsidR="00000000" w:rsidRDefault="003B7527">
      <w:pPr>
        <w:pStyle w:val="NormalWeb"/>
      </w:pPr>
      <w:r>
        <w:rPr>
          <w:sz w:val="20"/>
          <w:szCs w:val="20"/>
        </w:rPr>
        <w:t xml:space="preserve">Financial instruments that potentially subject the Company to major credit risk consist principally of a single subsidiary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and its customer concentration.</w:t>
      </w:r>
    </w:p>
    <w:p w:rsidR="00000000" w:rsidRDefault="003B7527">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0452C7" w:rsidRDefault="00C27026">
      <w:pPr>
        <w:rPr>
          <w:rFonts w:eastAsia="Times New Roman"/>
          <w:sz w:val="20"/>
          <w:szCs w:val="20"/>
        </w:rPr>
      </w:pPr>
      <w:r>
        <w:rPr>
          <w:rFonts w:eastAsia="Times New Roman"/>
          <w:sz w:val="20"/>
          <w:szCs w:val="20"/>
        </w:rPr>
        <w:pict>
          <v:rect id="_x0000_i1047" style="width:0;height:3pt" o:hralign="center" o:hrstd="t" o:hrnoshade="t" o:hr="t" fillcolor="black" stroked="f"/>
        </w:pict>
      </w:r>
    </w:p>
    <w:p w:rsidR="000452C7" w:rsidRDefault="000452C7">
      <w:pPr>
        <w:rPr>
          <w:rFonts w:eastAsia="Times New Roman"/>
          <w:sz w:val="20"/>
          <w:szCs w:val="20"/>
        </w:rPr>
      </w:pPr>
      <w:r>
        <w:rPr>
          <w:rFonts w:eastAsia="Times New Roman"/>
          <w:sz w:val="20"/>
          <w:szCs w:val="20"/>
        </w:rPr>
        <w:br w:type="page"/>
      </w:r>
    </w:p>
    <w:p w:rsidR="00000000" w:rsidRDefault="003B7527">
      <w:pPr>
        <w:pStyle w:val="NormalWeb"/>
        <w:spacing w:after="240" w:afterAutospacing="0"/>
      </w:pPr>
      <w:r>
        <w:rPr>
          <w:i/>
          <w:iCs/>
          <w:sz w:val="20"/>
          <w:szCs w:val="20"/>
        </w:rPr>
        <w:lastRenderedPageBreak/>
        <w:t>Recently Issued Accounting Standards</w:t>
      </w:r>
    </w:p>
    <w:p w:rsidR="00000000" w:rsidRDefault="003B7527">
      <w:pPr>
        <w:pStyle w:val="NormalWeb"/>
      </w:pPr>
      <w:r>
        <w:rPr>
          <w:sz w:val="20"/>
          <w:szCs w:val="20"/>
        </w:rPr>
        <w:t>In February 2006, the FASB issued SFAS No. 155, "Accounting for Certain Hybrid Financial Instruments" an Amendment of FASB Statements No. 133 and 140</w:t>
      </w:r>
      <w:r>
        <w:rPr>
          <w:sz w:val="20"/>
          <w:szCs w:val="20"/>
        </w:rPr>
        <w:t xml:space="preserve"> ("SFAS No. 155"). The purpose of SFAS No. 155 is to simplify the accounting for certain hybrid financial instruments by permitting fair value re-measurement for any hybrid financial instrument that contains an embedded derivative that otherwise would requ</w:t>
      </w:r>
      <w:r>
        <w:rPr>
          <w:sz w:val="20"/>
          <w:szCs w:val="20"/>
        </w:rPr>
        <w:t>ire bifurcation. SFAS No. 155 was effective for all financial instruments acquired or issued after the beginning of an entity's first fiscal year that begins after September 15, 2006. The Company believes the adoption of SFAS No. 155 had no material impact</w:t>
      </w:r>
      <w:r>
        <w:rPr>
          <w:sz w:val="20"/>
          <w:szCs w:val="20"/>
        </w:rPr>
        <w:t xml:space="preserve"> on its cash flows, results of operations, financial position or liquidity.</w:t>
      </w:r>
    </w:p>
    <w:p w:rsidR="00000000" w:rsidRDefault="003B7527">
      <w:pPr>
        <w:pStyle w:val="NormalWeb"/>
      </w:pPr>
      <w:r>
        <w:rPr>
          <w:sz w:val="20"/>
          <w:szCs w:val="20"/>
        </w:rPr>
        <w:t>In March 2006, the FASB issued SFAS No. 156, "Accounting for Servicing of Financial Assets—an Amendment of FASB Statement No. 140" ("SFAS No. 156"). SFAS No. 156 requires recognit</w:t>
      </w:r>
      <w:r>
        <w:rPr>
          <w:sz w:val="20"/>
          <w:szCs w:val="20"/>
        </w:rPr>
        <w:t>ion of a servicing asset or a servicing liability each time an entity undertakes an obligation to service a financial asset by entering into a servicing contract. SFAS No. 156 also requires that all separately recognized servicing assets and servicing liab</w:t>
      </w:r>
      <w:r>
        <w:rPr>
          <w:sz w:val="20"/>
          <w:szCs w:val="20"/>
        </w:rPr>
        <w:t>ilities be initially measured at fair value and subsequently measured at fair value at each reporting date. SFAS No. 156 was effective as of the beginning of any entity's first fiscal year that begins after September 15, 2006. The Company believes that the</w:t>
      </w:r>
      <w:r>
        <w:rPr>
          <w:sz w:val="20"/>
          <w:szCs w:val="20"/>
        </w:rPr>
        <w:t xml:space="preserve"> adoption of SFAS No. 156 had no material impact on its cash flows, results of operations, financial position or liquidity.</w:t>
      </w:r>
    </w:p>
    <w:p w:rsidR="00000000" w:rsidRDefault="003B7527">
      <w:pPr>
        <w:pStyle w:val="NormalWeb"/>
        <w:spacing w:after="240" w:afterAutospacing="0"/>
      </w:pPr>
      <w:r>
        <w:rPr>
          <w:sz w:val="20"/>
          <w:szCs w:val="20"/>
        </w:rPr>
        <w:t>In June 2006, FASB issued FIN No. 48, "Accounting for Uncertainty Taxes". The interpretation applies to all tax positions related t</w:t>
      </w:r>
      <w:r>
        <w:rPr>
          <w:sz w:val="20"/>
          <w:szCs w:val="20"/>
        </w:rPr>
        <w:t xml:space="preserve">o income taxes subject to FASB Statement No. 109, "Accounting for Income Taxes". FIN No. 48 clarifies the accounting for uncertainty in income taxes by prescribing a minimum recognition threshold in determining if a tax position should be reflected in the </w:t>
      </w:r>
      <w:r>
        <w:rPr>
          <w:sz w:val="20"/>
          <w:szCs w:val="20"/>
        </w:rPr>
        <w:t>financial statements. Only tax positions that meet the "more likely than not" recognition threshold may be recognized. The interpretation also provides guidance on classification, interest and penalties, accounting in interim periods, disclosure, and trans</w:t>
      </w:r>
      <w:r>
        <w:rPr>
          <w:sz w:val="20"/>
          <w:szCs w:val="20"/>
        </w:rPr>
        <w:t>ition requirements for uncertain tax positions. FIN No. 48 was effective for the Company’s fiscal year ending June 30, 2007. The Company believes that there were no material tax positions that resulted in a material impact upon implementation of FIN No. 48</w:t>
      </w:r>
      <w:r>
        <w:rPr>
          <w:sz w:val="20"/>
          <w:szCs w:val="20"/>
        </w:rPr>
        <w:t>.</w:t>
      </w:r>
      <w:r>
        <w:rPr>
          <w:sz w:val="20"/>
          <w:szCs w:val="20"/>
        </w:rPr>
        <w:br/>
      </w:r>
      <w:r>
        <w:rPr>
          <w:sz w:val="20"/>
          <w:szCs w:val="20"/>
        </w:rPr>
        <w:br/>
        <w:t xml:space="preserve">In September 2006, the FASB issued SFAS No. 157, "Fair Value Measurements". This standard establishes a single authoritative definition of fair </w:t>
      </w:r>
      <w:proofErr w:type="gramStart"/>
      <w:r>
        <w:rPr>
          <w:sz w:val="20"/>
          <w:szCs w:val="20"/>
        </w:rPr>
        <w:t>value,</w:t>
      </w:r>
      <w:proofErr w:type="gramEnd"/>
      <w:r>
        <w:rPr>
          <w:sz w:val="20"/>
          <w:szCs w:val="20"/>
        </w:rPr>
        <w:t xml:space="preserve"> sets out a framework for measuring fair value and expands disclosures about fair value measurements. S</w:t>
      </w:r>
      <w:r>
        <w:rPr>
          <w:sz w:val="20"/>
          <w:szCs w:val="20"/>
        </w:rPr>
        <w:t xml:space="preserve">FAS No. 157 applies to fair value measurements already required or permitted by existing standards. SFAS No. 157 will be effective for the Company's fiscal year ending June 30, 2009. The Company is currently evaluating the requirements of SFAS No. 157 and </w:t>
      </w:r>
      <w:r>
        <w:rPr>
          <w:sz w:val="20"/>
          <w:szCs w:val="20"/>
        </w:rPr>
        <w:t>has not yet determined the impact on its financial condition and results of operations.</w:t>
      </w:r>
    </w:p>
    <w:p w:rsidR="00000000" w:rsidRDefault="003B7527">
      <w:pPr>
        <w:pStyle w:val="NormalWeb"/>
      </w:pPr>
      <w:r>
        <w:rPr>
          <w:sz w:val="20"/>
          <w:szCs w:val="20"/>
        </w:rPr>
        <w:t>In September 2006, the FASB issued SFAS No. 158, "Employers" Accounting for Defined Benefit Pension and other Postretirement Plans - an amendment of FASB Statement No</w:t>
      </w:r>
      <w:r>
        <w:rPr>
          <w:sz w:val="20"/>
          <w:szCs w:val="20"/>
        </w:rPr>
        <w:t xml:space="preserve">. 87, 88, 106 and 132R. This pronouncement requires an employer to make certain recognitions, measurements, and disclosures regarding defined benefit postretirement plans. The Company does not have any defined benefit postretirement plans and SFAS No. 158 </w:t>
      </w:r>
      <w:r>
        <w:rPr>
          <w:sz w:val="20"/>
          <w:szCs w:val="20"/>
        </w:rPr>
        <w:t>will not have any impact on its financial condition and results of operations.</w:t>
      </w:r>
    </w:p>
    <w:p w:rsidR="00000000" w:rsidRDefault="003B7527">
      <w:pPr>
        <w:pStyle w:val="NormalWeb"/>
      </w:pPr>
      <w:r>
        <w:rPr>
          <w:sz w:val="20"/>
          <w:szCs w:val="20"/>
        </w:rPr>
        <w:t>In September 2006, the Securities and Exchange Commission issued Staff Accounting Bulletin No. 108 "Considering the Effects of Prior Year Misstatements in Current Year Financia</w:t>
      </w:r>
      <w:r>
        <w:rPr>
          <w:sz w:val="20"/>
          <w:szCs w:val="20"/>
        </w:rPr>
        <w:t>l Statements" ("SAB 108"). SAB 108 provides guidance on consideration of the effects of prior year misstatements in quantifying current year misstatements for the purpose of a materiality assessment. SAB 108 is effective for fiscal years ending after Novem</w:t>
      </w:r>
      <w:r>
        <w:rPr>
          <w:sz w:val="20"/>
          <w:szCs w:val="20"/>
        </w:rPr>
        <w:t>ber 15, 2006. The adoption of SAB 108 did not have an impact on the Company's consolidated financial statements.</w:t>
      </w:r>
      <w:r>
        <w:rPr>
          <w:sz w:val="20"/>
          <w:szCs w:val="20"/>
        </w:rPr>
        <w:br/>
      </w:r>
      <w:r>
        <w:rPr>
          <w:sz w:val="20"/>
          <w:szCs w:val="20"/>
        </w:rPr>
        <w:br/>
        <w:t>In February 2007, the FASB issued SFAS No 159, "The Fair Value Option for Financial Assets and Financial Liabilities" ("SFAS 159") which permi</w:t>
      </w:r>
      <w:r>
        <w:rPr>
          <w:sz w:val="20"/>
          <w:szCs w:val="20"/>
        </w:rPr>
        <w:t>ts entities to choose to measure many financial instruments and certain other items at fair value that are not currently required to be measured at fair value. SFAS 159 was effective for us on July 1, 2008. The adoption of SFAS 159 did not have an impact o</w:t>
      </w:r>
      <w:r>
        <w:rPr>
          <w:sz w:val="20"/>
          <w:szCs w:val="20"/>
        </w:rPr>
        <w:t>n the Company's consolidated financial statements.</w:t>
      </w:r>
    </w:p>
    <w:p w:rsidR="00000000" w:rsidRDefault="003B7527">
      <w:pPr>
        <w:pStyle w:val="NormalWeb"/>
      </w:pPr>
      <w:r>
        <w:rPr>
          <w:sz w:val="20"/>
          <w:szCs w:val="20"/>
        </w:rPr>
        <w:t xml:space="preserve">In October 2008, the FASB issued FSP FAS 157-3, </w:t>
      </w:r>
      <w:proofErr w:type="gramStart"/>
      <w:r>
        <w:rPr>
          <w:sz w:val="20"/>
          <w:szCs w:val="20"/>
        </w:rPr>
        <w:t>Determining</w:t>
      </w:r>
      <w:proofErr w:type="gramEnd"/>
      <w:r>
        <w:rPr>
          <w:sz w:val="20"/>
          <w:szCs w:val="20"/>
        </w:rPr>
        <w:t xml:space="preserve"> the Fair Value of a Financial Asset When the Market for That Asset Is Not Active. FSP FAS 157-3 clarifies the application of FASB statement No. </w:t>
      </w:r>
      <w:r>
        <w:rPr>
          <w:sz w:val="20"/>
          <w:szCs w:val="20"/>
        </w:rPr>
        <w:t>157, Fair Value Measurements, in a market that is not active and provides an example to illustrate key considerations in determining the fair value of a financial asset when the market for that financial asset is not active. This FSP could be applicable to</w:t>
      </w:r>
      <w:r>
        <w:rPr>
          <w:sz w:val="20"/>
          <w:szCs w:val="20"/>
        </w:rPr>
        <w:t xml:space="preserve"> us but the Company currently has no financial assets of this type.</w:t>
      </w:r>
    </w:p>
    <w:p w:rsidR="00000000" w:rsidRDefault="003B7527">
      <w:pPr>
        <w:pStyle w:val="NormalWeb"/>
      </w:pPr>
      <w:r>
        <w:rPr>
          <w:sz w:val="20"/>
          <w:szCs w:val="20"/>
        </w:rPr>
        <w:t>In May 2009, the FASB issued SFAS No. 165, "Subsequent Events" ("FAS 165"), which provides guidance to establish general standards of accounting for and disclosures of events that occur a</w:t>
      </w:r>
      <w:r>
        <w:rPr>
          <w:sz w:val="20"/>
          <w:szCs w:val="20"/>
        </w:rPr>
        <w:t xml:space="preserve">fter the balance sheet date but before financial statements are issued or are available to be issued. </w:t>
      </w:r>
      <w:proofErr w:type="gramStart"/>
      <w:r>
        <w:rPr>
          <w:sz w:val="20"/>
          <w:szCs w:val="20"/>
        </w:rPr>
        <w:t>FAS 165 also requires</w:t>
      </w:r>
      <w:proofErr w:type="gramEnd"/>
      <w:r>
        <w:rPr>
          <w:sz w:val="20"/>
          <w:szCs w:val="20"/>
        </w:rPr>
        <w:t xml:space="preserve"> entities to disclose the date through which subsequent events were evaluated as well as the rationale for why that date was selected</w:t>
      </w:r>
      <w:r>
        <w:rPr>
          <w:sz w:val="20"/>
          <w:szCs w:val="20"/>
        </w:rPr>
        <w:t>.</w:t>
      </w:r>
    </w:p>
    <w:p w:rsidR="00000000" w:rsidRDefault="003B7527">
      <w:pPr>
        <w:pStyle w:val="NormalWeb"/>
      </w:pPr>
      <w:r>
        <w:rPr>
          <w:sz w:val="20"/>
          <w:szCs w:val="20"/>
        </w:rPr>
        <w:t>This disclosure should alert all users of financial statements that an entity has not evaluated subsequent events after that date in the set of financial statements being presented. FAS 165 is effective for interim and annual periods ending after June 1</w:t>
      </w:r>
      <w:r>
        <w:rPr>
          <w:sz w:val="20"/>
          <w:szCs w:val="20"/>
        </w:rPr>
        <w:t>5, 2009 and will be effective for the Company beginning with its interim period ended June 30, 2009. Since FAS 165 at most requires additional disclosures, the Company does not expect the adoption to have a material impact on its consolidated financial pos</w:t>
      </w:r>
      <w:r>
        <w:rPr>
          <w:sz w:val="20"/>
          <w:szCs w:val="20"/>
        </w:rPr>
        <w:t>ition, results of operations or cash flows.</w:t>
      </w:r>
    </w:p>
    <w:p w:rsidR="00000000" w:rsidRDefault="003B7527">
      <w:pPr>
        <w:pStyle w:val="NormalWeb"/>
      </w:pPr>
      <w:r>
        <w:rPr>
          <w:sz w:val="20"/>
          <w:szCs w:val="20"/>
        </w:rPr>
        <w:t xml:space="preserve">In June 2009, the FASB approved the "FASB Accounting Standards Codification" (the "Codification") as the single source of authoritative nongovernmental U.S. GAAP to be launched on July 1, 2009. The Codification </w:t>
      </w:r>
      <w:r>
        <w:rPr>
          <w:sz w:val="20"/>
          <w:szCs w:val="20"/>
        </w:rPr>
        <w:t xml:space="preserve">does not change current U.S. GAAP, but is intended to simplify user access to all authoritative U.S. GAAP by providing all the authoritative literature related to a particular topic in one place. All existing </w:t>
      </w:r>
      <w:r>
        <w:rPr>
          <w:sz w:val="20"/>
          <w:szCs w:val="20"/>
        </w:rPr>
        <w:lastRenderedPageBreak/>
        <w:t>accounting standard documents will be supersede</w:t>
      </w:r>
      <w:r>
        <w:rPr>
          <w:sz w:val="20"/>
          <w:szCs w:val="20"/>
        </w:rPr>
        <w:t>d and all other accounting literature not included in the Codification will be considered non</w:t>
      </w:r>
      <w:r w:rsidR="000452C7">
        <w:rPr>
          <w:sz w:val="20"/>
          <w:szCs w:val="20"/>
        </w:rPr>
        <w:t xml:space="preserve"> </w:t>
      </w:r>
      <w:r>
        <w:rPr>
          <w:sz w:val="20"/>
          <w:szCs w:val="20"/>
        </w:rPr>
        <w:t>authoritative. The Codification is effective for interim and annual periods ending after September 15, 2009. The Codification is effective for the Company in the i</w:t>
      </w:r>
      <w:r>
        <w:rPr>
          <w:sz w:val="20"/>
          <w:szCs w:val="20"/>
        </w:rPr>
        <w:t>nterim period ending September 30, 2014 and it does not expect the adoption to have a material impact on its consolidated financial position, results of operations or cash flows.</w:t>
      </w:r>
    </w:p>
    <w:p w:rsidR="00000000" w:rsidRDefault="003B7527">
      <w:pPr>
        <w:pStyle w:val="NormalWeb"/>
      </w:pPr>
      <w:r>
        <w:rPr>
          <w:sz w:val="20"/>
          <w:szCs w:val="20"/>
        </w:rPr>
        <w:t>In May 2014, the Financial Accounting Standards Board issued ASU No. 2014-09,</w:t>
      </w:r>
      <w:r>
        <w:rPr>
          <w:sz w:val="20"/>
          <w:szCs w:val="20"/>
        </w:rPr>
        <w:t xml:space="preserve"> “Revenue from Contracts with Customers.” Under the new standard, revenue is recognized at the time a good or service is transferred to a customer for the amount of consideration received for that specific good or service. It is effective for annual report</w:t>
      </w:r>
      <w:r>
        <w:rPr>
          <w:sz w:val="20"/>
          <w:szCs w:val="20"/>
        </w:rPr>
        <w:t xml:space="preserve">ing periods beginning after December 15, 2016, including interim reporting periods, and early adoption is not permitted. Entities may use a full retrospective approach or report the cumulative effect as of the date of adoption. We are currently evaluating </w:t>
      </w:r>
      <w:r>
        <w:rPr>
          <w:sz w:val="20"/>
          <w:szCs w:val="20"/>
        </w:rPr>
        <w:t xml:space="preserve">the impact, if </w:t>
      </w:r>
      <w:proofErr w:type="gramStart"/>
      <w:r>
        <w:rPr>
          <w:sz w:val="20"/>
          <w:szCs w:val="20"/>
        </w:rPr>
        <w:t>any,</w:t>
      </w:r>
      <w:proofErr w:type="gramEnd"/>
      <w:r>
        <w:rPr>
          <w:sz w:val="20"/>
          <w:szCs w:val="20"/>
        </w:rPr>
        <w:t xml:space="preserve"> the adoption of this standard will have on our Consolidated Financial Statements. </w:t>
      </w:r>
    </w:p>
    <w:p w:rsidR="00000000" w:rsidRDefault="003B7527">
      <w:pPr>
        <w:pStyle w:val="NormalWeb"/>
      </w:pPr>
      <w:r>
        <w:rPr>
          <w:b/>
          <w:bCs/>
          <w:sz w:val="20"/>
          <w:szCs w:val="20"/>
        </w:rPr>
        <w:t>NOTE 3 - MAJOR CUSTOMER:</w:t>
      </w:r>
    </w:p>
    <w:p w:rsidR="00000000" w:rsidRDefault="003B7527">
      <w:pPr>
        <w:pStyle w:val="NormalWeb"/>
      </w:pPr>
      <w:r>
        <w:rPr>
          <w:sz w:val="20"/>
          <w:szCs w:val="20"/>
        </w:rPr>
        <w:t xml:space="preserve">The Company's subsidiary,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has sales to two major customers who were non related parts. For the period</w:t>
      </w:r>
      <w:r>
        <w:rPr>
          <w:sz w:val="20"/>
          <w:szCs w:val="20"/>
        </w:rPr>
        <w:t xml:space="preserve"> ending September 30, 2014, June 30, 2014, and June 30, 2013 the major customer concentrations were as follows: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0"/>
        <w:gridCol w:w="1470"/>
        <w:gridCol w:w="1470"/>
        <w:gridCol w:w="1470"/>
      </w:tblGrid>
      <w:tr w:rsidR="00000000">
        <w:trPr>
          <w:tblCellSpacing w:w="0" w:type="dxa"/>
        </w:trPr>
        <w:tc>
          <w:tcPr>
            <w:tcW w:w="2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center"/>
              <w:rPr>
                <w:rFonts w:eastAsia="Times New Roman"/>
              </w:rPr>
            </w:pPr>
            <w:r>
              <w:rPr>
                <w:rFonts w:eastAsia="Times New Roman"/>
                <w:b/>
                <w:bCs/>
                <w:sz w:val="20"/>
                <w:szCs w:val="20"/>
              </w:rPr>
              <w:t xml:space="preserve">Percent of Sales </w:t>
            </w:r>
            <w:r>
              <w:rPr>
                <w:rFonts w:eastAsia="Times New Roman"/>
                <w:b/>
                <w:bCs/>
                <w:sz w:val="20"/>
                <w:szCs w:val="20"/>
              </w:rPr>
              <w:br/>
              <w:t>for the Period ending</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center"/>
              <w:rPr>
                <w:rFonts w:eastAsia="Times New Roman"/>
              </w:rPr>
            </w:pPr>
            <w:r>
              <w:rPr>
                <w:rFonts w:eastAsia="Times New Roman"/>
                <w:b/>
                <w:bCs/>
                <w:sz w:val="20"/>
                <w:szCs w:val="20"/>
              </w:rPr>
              <w:t>September 30,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center"/>
              <w:rPr>
                <w:rFonts w:eastAsia="Times New Roman"/>
              </w:rPr>
            </w:pPr>
            <w:r>
              <w:rPr>
                <w:rFonts w:eastAsia="Times New Roman"/>
                <w:b/>
                <w:bCs/>
                <w:sz w:val="20"/>
                <w:szCs w:val="20"/>
              </w:rPr>
              <w:t>June 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center"/>
              <w:rPr>
                <w:rFonts w:eastAsia="Times New Roman"/>
              </w:rPr>
            </w:pPr>
            <w:r>
              <w:rPr>
                <w:rFonts w:eastAsia="Times New Roman"/>
                <w:b/>
                <w:bCs/>
                <w:sz w:val="20"/>
                <w:szCs w:val="20"/>
              </w:rPr>
              <w:t>Customer</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b/>
                <w:bCs/>
                <w:sz w:val="20"/>
                <w:szCs w:val="20"/>
                <w:u w:val="single"/>
              </w:rPr>
              <w:t>2014</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b/>
                <w:bCs/>
                <w:sz w:val="20"/>
                <w:szCs w:val="20"/>
                <w:u w:val="single"/>
              </w:rPr>
              <w:t>2014</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b/>
                <w:bCs/>
                <w:sz w:val="20"/>
                <w:szCs w:val="20"/>
                <w:u w:val="single"/>
              </w:rPr>
              <w:t>2013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center"/>
              <w:rPr>
                <w:rFonts w:eastAsia="Times New Roman"/>
              </w:rPr>
            </w:pPr>
            <w:r>
              <w:rPr>
                <w:rFonts w:eastAsia="Times New Roman"/>
                <w:sz w:val="20"/>
                <w:szCs w:val="20"/>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100%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center"/>
              <w:rPr>
                <w:rFonts w:eastAsia="Times New Roman"/>
              </w:rPr>
            </w:pPr>
            <w:r>
              <w:rPr>
                <w:rFonts w:eastAsia="Times New Roman"/>
                <w:sz w:val="20"/>
                <w:szCs w:val="20"/>
              </w:rPr>
              <w:t>B</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C27026">
            <w:pPr>
              <w:jc w:val="right"/>
              <w:rPr>
                <w:rFonts w:eastAsia="Times New Roman"/>
                <w:sz w:val="20"/>
                <w:szCs w:val="20"/>
              </w:rPr>
            </w:pPr>
            <w:r>
              <w:rPr>
                <w:rFonts w:eastAsia="Times New Roman"/>
                <w:sz w:val="20"/>
                <w:szCs w:val="20"/>
              </w:rPr>
              <w:pict>
                <v:rect id="_x0000_i1048" style="width:0;height:1.5pt" o:hralign="center" o:hrstd="t" o:hr="t" fillcolor="#aca899"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C27026">
            <w:pPr>
              <w:rPr>
                <w:rFonts w:eastAsia="Times New Roman"/>
              </w:rPr>
            </w:pPr>
            <w:r>
              <w:rPr>
                <w:rFonts w:eastAsia="Times New Roman"/>
              </w:rPr>
              <w:pict>
                <v:rect id="_x0000_i1049" style="width:0;height:1.5pt" o:hralign="center" o:hrstd="t" o:hr="t" fillcolor="#aca899"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C27026">
            <w:pPr>
              <w:jc w:val="right"/>
              <w:rPr>
                <w:rFonts w:eastAsia="Times New Roman"/>
                <w:sz w:val="20"/>
                <w:szCs w:val="20"/>
              </w:rPr>
            </w:pPr>
            <w:r>
              <w:rPr>
                <w:rFonts w:eastAsia="Times New Roman"/>
                <w:sz w:val="20"/>
                <w:szCs w:val="20"/>
              </w:rPr>
              <w:pict>
                <v:rect id="_x0000_i1050" style="width:0;height:1.5pt" o:hralign="center" o:hrstd="t" o:hr="t" fillcolor="#aca899"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C27026">
            <w:pPr>
              <w:jc w:val="right"/>
              <w:rPr>
                <w:rFonts w:eastAsia="Times New Roman"/>
                <w:sz w:val="20"/>
                <w:szCs w:val="20"/>
              </w:rPr>
            </w:pPr>
            <w:r>
              <w:rPr>
                <w:rFonts w:eastAsia="Times New Roman"/>
                <w:sz w:val="20"/>
                <w:szCs w:val="20"/>
              </w:rPr>
              <w:pict>
                <v:rect id="_x0000_i1051" style="width:0;height:1.5pt" o:hralign="center" o:hrstd="t" o:hr="t" fillcolor="#aca899" stroked="f"/>
              </w:pic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b/>
                <w:bCs/>
                <w:sz w:val="20"/>
                <w:szCs w:val="20"/>
              </w:rPr>
              <w:t>Total Sales from Major Customers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b/>
                <w:bCs/>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b/>
                <w:bCs/>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b/>
                <w:bCs/>
                <w:sz w:val="20"/>
                <w:szCs w:val="20"/>
              </w:rPr>
              <w:t>100%</w:t>
            </w:r>
          </w:p>
        </w:tc>
      </w:tr>
    </w:tbl>
    <w:p w:rsidR="00000000" w:rsidRDefault="003B7527">
      <w:pPr>
        <w:spacing w:before="100" w:beforeAutospacing="1" w:after="100" w:afterAutospacing="1"/>
      </w:pPr>
      <w:r>
        <w:rPr>
          <w:b/>
          <w:bCs/>
          <w:sz w:val="20"/>
          <w:szCs w:val="20"/>
        </w:rPr>
        <w:t xml:space="preserve">NOTE 4 - LAND AND </w:t>
      </w:r>
      <w:proofErr w:type="gramStart"/>
      <w:r>
        <w:rPr>
          <w:b/>
          <w:bCs/>
          <w:sz w:val="20"/>
          <w:szCs w:val="20"/>
        </w:rPr>
        <w:t>BUILDINGS :</w:t>
      </w:r>
      <w:proofErr w:type="gramEnd"/>
    </w:p>
    <w:p w:rsidR="00000000" w:rsidRDefault="003B7527">
      <w:pPr>
        <w:rPr>
          <w:rFonts w:eastAsia="Times New Roman"/>
        </w:rPr>
      </w:pPr>
      <w:r>
        <w:rPr>
          <w:rFonts w:eastAsia="Times New Roman"/>
          <w:sz w:val="20"/>
          <w:szCs w:val="20"/>
        </w:rPr>
        <w:t>The Land owned by the Company's wholly owned subsidiary constitutes the largest asset of the Company. During the period ending September 30, 2014 the Company recorded no change in the value of the Land. The value of the Land of the Company was as follows:</w:t>
      </w:r>
      <w:r>
        <w:rPr>
          <w:rFonts w:eastAsia="Times New Roman"/>
        </w:rPr>
        <w:t xml:space="preserve">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0"/>
        <w:gridCol w:w="1470"/>
        <w:gridCol w:w="1470"/>
        <w:gridCol w:w="1470"/>
      </w:tblGrid>
      <w:tr w:rsidR="00000000">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center"/>
              <w:rPr>
                <w:rFonts w:eastAsia="Times New Roman"/>
              </w:rPr>
            </w:pPr>
            <w:r>
              <w:rPr>
                <w:rFonts w:eastAsia="Times New Roman"/>
                <w:b/>
                <w:bCs/>
                <w:sz w:val="20"/>
                <w:szCs w:val="20"/>
              </w:rPr>
              <w:t>Value of Land,</w:t>
            </w:r>
          </w:p>
        </w:tc>
      </w:tr>
      <w:tr w:rsidR="00000000">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center"/>
              <w:rPr>
                <w:rFonts w:eastAsia="Times New Roman"/>
              </w:rPr>
            </w:pPr>
            <w:r>
              <w:rPr>
                <w:rFonts w:eastAsia="Times New Roman"/>
                <w:b/>
                <w:bCs/>
                <w:sz w:val="20"/>
                <w:szCs w:val="20"/>
              </w:rPr>
              <w:t>June 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center"/>
              <w:rPr>
                <w:rFonts w:eastAsia="Times New Roman"/>
              </w:rPr>
            </w:pPr>
            <w:r>
              <w:rPr>
                <w:rFonts w:eastAsia="Times New Roman"/>
                <w:b/>
                <w:bCs/>
                <w:sz w:val="20"/>
                <w:szCs w:val="20"/>
              </w:rPr>
              <w:t>September 30, 2014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center"/>
              <w:rPr>
                <w:rFonts w:eastAsia="Times New Roman"/>
              </w:rPr>
            </w:pPr>
            <w:r>
              <w:rPr>
                <w:rFonts w:eastAsia="Times New Roman"/>
                <w:b/>
                <w:bCs/>
                <w:sz w:val="20"/>
                <w:szCs w:val="20"/>
                <w:u w:val="single"/>
              </w:rPr>
              <w:t>2014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center"/>
              <w:rPr>
                <w:rFonts w:eastAsia="Times New Roman"/>
              </w:rPr>
            </w:pPr>
            <w:r>
              <w:rPr>
                <w:rFonts w:eastAsia="Times New Roman"/>
                <w:b/>
                <w:bCs/>
                <w:sz w:val="20"/>
                <w:szCs w:val="20"/>
                <w:u w:val="single"/>
              </w:rPr>
              <w:t>2013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center"/>
              <w:rPr>
                <w:rFonts w:eastAsia="Times New Roman"/>
              </w:rPr>
            </w:pPr>
            <w:r>
              <w:rPr>
                <w:rFonts w:eastAsia="Times New Roman"/>
                <w:sz w:val="20"/>
                <w:szCs w:val="20"/>
              </w:rPr>
              <w:t>US Dollars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$605,960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$605,960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$578,704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C27026">
            <w:pPr>
              <w:jc w:val="right"/>
              <w:rPr>
                <w:rFonts w:eastAsia="Times New Roman"/>
                <w:sz w:val="20"/>
                <w:szCs w:val="20"/>
              </w:rPr>
            </w:pPr>
            <w:r>
              <w:rPr>
                <w:rFonts w:eastAsia="Times New Roman"/>
                <w:sz w:val="20"/>
                <w:szCs w:val="20"/>
              </w:rPr>
              <w:pict>
                <v:rect id="_x0000_i1052" style="width:0;height:1.5pt" o:hralign="center" o:hrstd="t" o:hr="t" fillcolor="#aca899"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C27026">
            <w:pPr>
              <w:rPr>
                <w:rFonts w:eastAsia="Times New Roman"/>
              </w:rPr>
            </w:pPr>
            <w:r>
              <w:rPr>
                <w:rFonts w:eastAsia="Times New Roman"/>
              </w:rPr>
              <w:pict>
                <v:rect id="_x0000_i1053" style="width:0;height:1.5pt" o:hralign="center" o:hrstd="t" o:hr="t" fillcolor="#aca899"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C27026">
            <w:pPr>
              <w:jc w:val="right"/>
              <w:rPr>
                <w:rFonts w:eastAsia="Times New Roman"/>
                <w:sz w:val="20"/>
                <w:szCs w:val="20"/>
              </w:rPr>
            </w:pPr>
            <w:r>
              <w:rPr>
                <w:rFonts w:eastAsia="Times New Roman"/>
                <w:sz w:val="20"/>
                <w:szCs w:val="20"/>
              </w:rPr>
              <w:pict>
                <v:rect id="_x0000_i1054" style="width:0;height:1.5pt" o:hralign="center" o:hrstd="t" o:hr="t" fillcolor="#aca899"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C27026">
            <w:pPr>
              <w:jc w:val="right"/>
              <w:rPr>
                <w:rFonts w:eastAsia="Times New Roman"/>
                <w:sz w:val="20"/>
                <w:szCs w:val="20"/>
              </w:rPr>
            </w:pPr>
            <w:r>
              <w:rPr>
                <w:rFonts w:eastAsia="Times New Roman"/>
                <w:sz w:val="20"/>
                <w:szCs w:val="20"/>
              </w:rPr>
              <w:pict>
                <v:rect id="_x0000_i1055" style="width:0;height:1.5pt" o:hralign="center" o:hrstd="t" o:hr="t" fillcolor="#aca899" stroked="f"/>
              </w:pict>
            </w:r>
          </w:p>
        </w:tc>
      </w:tr>
    </w:tbl>
    <w:p w:rsidR="00000000" w:rsidRDefault="003B7527">
      <w:pPr>
        <w:pStyle w:val="NormalWeb"/>
      </w:pPr>
      <w:r>
        <w:rPr>
          <w:b/>
          <w:bCs/>
          <w:sz w:val="20"/>
          <w:szCs w:val="20"/>
        </w:rPr>
        <w:t xml:space="preserve">NOTE 5 - RELATED PARTY TRANSACTIONS ANTON NIELSEN VOJENS, </w:t>
      </w:r>
      <w:proofErr w:type="spellStart"/>
      <w:r>
        <w:rPr>
          <w:b/>
          <w:bCs/>
          <w:sz w:val="20"/>
          <w:szCs w:val="20"/>
        </w:rPr>
        <w:t>ApS</w:t>
      </w:r>
      <w:proofErr w:type="spellEnd"/>
      <w:r>
        <w:rPr>
          <w:b/>
          <w:bCs/>
          <w:sz w:val="20"/>
          <w:szCs w:val="20"/>
        </w:rPr>
        <w:br/>
      </w:r>
      <w:r>
        <w:rPr>
          <w:sz w:val="20"/>
          <w:szCs w:val="20"/>
        </w:rPr>
        <w:br/>
      </w:r>
      <w:r>
        <w:rPr>
          <w:sz w:val="20"/>
          <w:szCs w:val="20"/>
        </w:rPr>
        <w:t xml:space="preserve">The Company purchased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from a previous shareholder of the Company, </w:t>
      </w:r>
      <w:proofErr w:type="spellStart"/>
      <w:r>
        <w:rPr>
          <w:sz w:val="20"/>
          <w:szCs w:val="20"/>
        </w:rPr>
        <w:t>Borkwood</w:t>
      </w:r>
      <w:proofErr w:type="spellEnd"/>
      <w:r>
        <w:rPr>
          <w:sz w:val="20"/>
          <w:szCs w:val="20"/>
        </w:rPr>
        <w:t xml:space="preserve"> Development LTD ("</w:t>
      </w:r>
      <w:proofErr w:type="spellStart"/>
      <w:r>
        <w:rPr>
          <w:sz w:val="20"/>
          <w:szCs w:val="20"/>
        </w:rPr>
        <w:t>Borkwood</w:t>
      </w:r>
      <w:proofErr w:type="spellEnd"/>
      <w:r>
        <w:rPr>
          <w:sz w:val="20"/>
          <w:szCs w:val="20"/>
        </w:rPr>
        <w:t xml:space="preserve">"). At the time of the acquisition, even though </w:t>
      </w:r>
      <w:proofErr w:type="spellStart"/>
      <w:r>
        <w:rPr>
          <w:sz w:val="20"/>
          <w:szCs w:val="20"/>
        </w:rPr>
        <w:t>Borkwood</w:t>
      </w:r>
      <w:proofErr w:type="spellEnd"/>
      <w:r>
        <w:rPr>
          <w:sz w:val="20"/>
          <w:szCs w:val="20"/>
        </w:rPr>
        <w:t xml:space="preserve"> was not a shareholder, AOXY, a director of </w:t>
      </w:r>
      <w:proofErr w:type="spellStart"/>
      <w:r>
        <w:rPr>
          <w:sz w:val="20"/>
          <w:szCs w:val="20"/>
        </w:rPr>
        <w:t>Borkwood</w:t>
      </w:r>
      <w:proofErr w:type="spellEnd"/>
      <w:r>
        <w:rPr>
          <w:sz w:val="20"/>
          <w:szCs w:val="20"/>
        </w:rPr>
        <w:t xml:space="preserve"> </w:t>
      </w:r>
      <w:proofErr w:type="spellStart"/>
      <w:r>
        <w:rPr>
          <w:sz w:val="20"/>
          <w:szCs w:val="20"/>
        </w:rPr>
        <w:t>Aage</w:t>
      </w:r>
      <w:proofErr w:type="spellEnd"/>
      <w:r>
        <w:rPr>
          <w:sz w:val="20"/>
          <w:szCs w:val="20"/>
        </w:rPr>
        <w:t xml:space="preserve"> Madsen was an of</w:t>
      </w:r>
      <w:r>
        <w:rPr>
          <w:sz w:val="20"/>
          <w:szCs w:val="20"/>
        </w:rPr>
        <w:t xml:space="preserve">ficer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w:t>
      </w:r>
      <w:proofErr w:type="spellStart"/>
      <w:r>
        <w:rPr>
          <w:sz w:val="20"/>
          <w:szCs w:val="20"/>
        </w:rPr>
        <w:t>Aage</w:t>
      </w:r>
      <w:proofErr w:type="spellEnd"/>
      <w:r>
        <w:rPr>
          <w:sz w:val="20"/>
          <w:szCs w:val="20"/>
        </w:rPr>
        <w:t xml:space="preserve"> Madsen was a director of Anton Nielsen </w:t>
      </w:r>
      <w:proofErr w:type="spellStart"/>
      <w:r>
        <w:rPr>
          <w:sz w:val="20"/>
          <w:szCs w:val="20"/>
        </w:rPr>
        <w:t>Vojens</w:t>
      </w:r>
      <w:proofErr w:type="spellEnd"/>
      <w:r>
        <w:rPr>
          <w:sz w:val="20"/>
          <w:szCs w:val="20"/>
        </w:rPr>
        <w:t xml:space="preserve"> until May 25, 2007 and from there forward, there were no related parties between AOXY and </w:t>
      </w:r>
      <w:proofErr w:type="spellStart"/>
      <w:r>
        <w:rPr>
          <w:sz w:val="20"/>
          <w:szCs w:val="20"/>
        </w:rPr>
        <w:t>Borkwood</w:t>
      </w:r>
      <w:proofErr w:type="spellEnd"/>
      <w:r>
        <w:rPr>
          <w:sz w:val="20"/>
          <w:szCs w:val="20"/>
        </w:rPr>
        <w:t xml:space="preserve"> Development LTD. The Company had an outstanding balance of long term de</w:t>
      </w:r>
      <w:r>
        <w:rPr>
          <w:sz w:val="20"/>
          <w:szCs w:val="20"/>
        </w:rPr>
        <w:t xml:space="preserve">bt to </w:t>
      </w:r>
      <w:proofErr w:type="spellStart"/>
      <w:r>
        <w:rPr>
          <w:sz w:val="20"/>
          <w:szCs w:val="20"/>
        </w:rPr>
        <w:t>Borkwood</w:t>
      </w:r>
      <w:proofErr w:type="spellEnd"/>
      <w:r>
        <w:rPr>
          <w:sz w:val="20"/>
          <w:szCs w:val="20"/>
        </w:rPr>
        <w:t xml:space="preserve"> Development LTD at September 30, 2014 was $</w:t>
      </w:r>
      <w:proofErr w:type="gramStart"/>
      <w:r>
        <w:rPr>
          <w:sz w:val="20"/>
          <w:szCs w:val="20"/>
        </w:rPr>
        <w:t>127,029 .</w:t>
      </w:r>
      <w:proofErr w:type="gramEnd"/>
    </w:p>
    <w:p w:rsidR="00000000" w:rsidRDefault="003B7527">
      <w:pPr>
        <w:pStyle w:val="NormalWeb"/>
      </w:pPr>
      <w:r>
        <w:rPr>
          <w:b/>
          <w:bCs/>
          <w:sz w:val="20"/>
          <w:szCs w:val="20"/>
        </w:rPr>
        <w:t>NOTE 6 - COMMITMENTS AND CONTINGENCIES:</w:t>
      </w:r>
    </w:p>
    <w:p w:rsidR="00000000" w:rsidRDefault="003B7527">
      <w:pPr>
        <w:pStyle w:val="NormalWeb"/>
      </w:pPr>
      <w:r>
        <w:rPr>
          <w:i/>
          <w:iCs/>
          <w:sz w:val="20"/>
          <w:szCs w:val="20"/>
        </w:rPr>
        <w:t>Commitments</w:t>
      </w:r>
      <w:r>
        <w:rPr>
          <w:sz w:val="20"/>
          <w:szCs w:val="20"/>
        </w:rPr>
        <w:t>:</w:t>
      </w:r>
    </w:p>
    <w:p w:rsidR="00000000" w:rsidRDefault="003B7527">
      <w:pPr>
        <w:pStyle w:val="NormalWeb"/>
      </w:pPr>
      <w:r>
        <w:rPr>
          <w:sz w:val="20"/>
          <w:szCs w:val="20"/>
        </w:rPr>
        <w:t>The Company has issued a promissory note ("Note"</w:t>
      </w:r>
      <w:r>
        <w:rPr>
          <w:sz w:val="20"/>
          <w:szCs w:val="20"/>
        </w:rPr>
        <w:t xml:space="preserve">) for $650,000, payable to the </w:t>
      </w:r>
      <w:proofErr w:type="spellStart"/>
      <w:r>
        <w:rPr>
          <w:sz w:val="20"/>
          <w:szCs w:val="20"/>
        </w:rPr>
        <w:t>Borkwood</w:t>
      </w:r>
      <w:proofErr w:type="spellEnd"/>
      <w:r>
        <w:rPr>
          <w:sz w:val="20"/>
          <w:szCs w:val="20"/>
        </w:rPr>
        <w:t xml:space="preserve"> Development Ltd, a previous shareholder of the Company ("Seller"), payable and amortized monthly and carrying </w:t>
      </w:r>
      <w:proofErr w:type="gramStart"/>
      <w:r>
        <w:rPr>
          <w:sz w:val="20"/>
          <w:szCs w:val="20"/>
        </w:rPr>
        <w:t>a</w:t>
      </w:r>
      <w:proofErr w:type="gramEnd"/>
      <w:r>
        <w:rPr>
          <w:sz w:val="20"/>
          <w:szCs w:val="20"/>
        </w:rPr>
        <w:t xml:space="preserve"> interest at 5% per year. The Company has the right to prepay the note at any time with a notice of 14 da</w:t>
      </w:r>
      <w:r>
        <w:rPr>
          <w:sz w:val="20"/>
          <w:szCs w:val="20"/>
        </w:rPr>
        <w:t xml:space="preserve">ys. To secure the payment of principal and interest the Sellers will receive a perfect lien and security interest in the Shares in the company ANV until the note with accrued interest is paid in full., and, 2) In the case that the Note has not been repaid </w:t>
      </w:r>
      <w:r>
        <w:rPr>
          <w:sz w:val="20"/>
          <w:szCs w:val="20"/>
        </w:rPr>
        <w:t xml:space="preserve">within 12 months from the day of closing the Sellers have the right to convert the debt to common stock of Advanced Oxygen Technologies, Inc. in an amount of non diluted shares calculated on the conversion Date, equal to the lesser of : a) Six hundred and </w:t>
      </w:r>
      <w:r>
        <w:rPr>
          <w:sz w:val="20"/>
          <w:szCs w:val="20"/>
        </w:rPr>
        <w:t xml:space="preserve">Fifty thousand (650,000) or the Purchase Price minus the principal payments made by the buyer, </w:t>
      </w:r>
      <w:proofErr w:type="spellStart"/>
      <w:r>
        <w:rPr>
          <w:sz w:val="20"/>
          <w:szCs w:val="20"/>
        </w:rPr>
        <w:t>which ever</w:t>
      </w:r>
      <w:proofErr w:type="spellEnd"/>
      <w:r>
        <w:rPr>
          <w:sz w:val="20"/>
          <w:szCs w:val="20"/>
        </w:rPr>
        <w:t xml:space="preserve"> is greater, divided by the previous ten day closing price of AOXY as quoted on the national exchange, or b) Fifteen million shares, </w:t>
      </w:r>
      <w:proofErr w:type="spellStart"/>
      <w:r>
        <w:rPr>
          <w:sz w:val="20"/>
          <w:szCs w:val="20"/>
        </w:rPr>
        <w:t>which ever</w:t>
      </w:r>
      <w:proofErr w:type="spellEnd"/>
      <w:r>
        <w:rPr>
          <w:sz w:val="20"/>
          <w:szCs w:val="20"/>
        </w:rPr>
        <w:t xml:space="preserve"> is less</w:t>
      </w:r>
      <w:r>
        <w:rPr>
          <w:sz w:val="20"/>
          <w:szCs w:val="20"/>
        </w:rPr>
        <w:t>er. The Note has been extended until July 1, 2015 and interest waived through the period ending June 30, 2014.</w:t>
      </w:r>
    </w:p>
    <w:p w:rsidR="00000000" w:rsidRDefault="003B7527">
      <w:pPr>
        <w:pStyle w:val="NormalWeb"/>
        <w:divId w:val="1790465168"/>
      </w:pPr>
      <w:r>
        <w:rPr>
          <w:sz w:val="20"/>
          <w:szCs w:val="20"/>
        </w:rPr>
        <w:t xml:space="preserve">The Company's wholly owned subsidiary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has a note payable with a bank. The original amount of the note was </w:t>
      </w:r>
      <w:proofErr w:type="spellStart"/>
      <w:r>
        <w:rPr>
          <w:sz w:val="20"/>
          <w:szCs w:val="20"/>
        </w:rPr>
        <w:t>kr</w:t>
      </w:r>
      <w:proofErr w:type="spellEnd"/>
      <w:r>
        <w:rPr>
          <w:sz w:val="20"/>
          <w:szCs w:val="20"/>
        </w:rPr>
        <w:t xml:space="preserve"> 750,000 D</w:t>
      </w:r>
      <w:r>
        <w:rPr>
          <w:sz w:val="20"/>
          <w:szCs w:val="20"/>
        </w:rPr>
        <w:t xml:space="preserve">anish </w:t>
      </w:r>
      <w:proofErr w:type="spellStart"/>
      <w:r>
        <w:rPr>
          <w:sz w:val="20"/>
          <w:szCs w:val="20"/>
        </w:rPr>
        <w:t>Krone</w:t>
      </w:r>
      <w:proofErr w:type="spellEnd"/>
      <w:r>
        <w:rPr>
          <w:sz w:val="20"/>
          <w:szCs w:val="20"/>
        </w:rPr>
        <w:t xml:space="preserve"> (</w:t>
      </w:r>
      <w:proofErr w:type="spellStart"/>
      <w:r>
        <w:rPr>
          <w:sz w:val="20"/>
          <w:szCs w:val="20"/>
        </w:rPr>
        <w:t>kr</w:t>
      </w:r>
      <w:proofErr w:type="spellEnd"/>
      <w:r>
        <w:rPr>
          <w:sz w:val="20"/>
          <w:szCs w:val="20"/>
        </w:rPr>
        <w:t xml:space="preserve">) ("Note A"). The note is secured by the revenues of the lease with Statoil, with a 7.00% interest rate and 5 years left </w:t>
      </w:r>
      <w:r>
        <w:rPr>
          <w:sz w:val="20"/>
          <w:szCs w:val="20"/>
        </w:rPr>
        <w:lastRenderedPageBreak/>
        <w:t>on the term. The balance on the note as of September 30, 2014 and June 30, 2014 was $51,224 and $53,733 respectively and</w:t>
      </w:r>
      <w:r>
        <w:rPr>
          <w:sz w:val="20"/>
          <w:szCs w:val="20"/>
        </w:rPr>
        <w:t xml:space="preserve"> the yearly payments are fixed at </w:t>
      </w:r>
      <w:proofErr w:type="spellStart"/>
      <w:r>
        <w:rPr>
          <w:sz w:val="20"/>
          <w:szCs w:val="20"/>
        </w:rPr>
        <w:t>kr</w:t>
      </w:r>
      <w:proofErr w:type="spellEnd"/>
      <w:r>
        <w:rPr>
          <w:sz w:val="20"/>
          <w:szCs w:val="20"/>
        </w:rPr>
        <w:t xml:space="preserve"> 75,000. The </w:t>
      </w:r>
      <w:proofErr w:type="gramStart"/>
      <w:r>
        <w:rPr>
          <w:sz w:val="20"/>
          <w:szCs w:val="20"/>
        </w:rPr>
        <w:t>value of the note reflect</w:t>
      </w:r>
      <w:proofErr w:type="gramEnd"/>
      <w:r>
        <w:rPr>
          <w:sz w:val="20"/>
          <w:szCs w:val="20"/>
        </w:rPr>
        <w:t xml:space="preserve"> the currency adjustments. The table below summarizes the </w:t>
      </w:r>
      <w:proofErr w:type="gramStart"/>
      <w:r>
        <w:rPr>
          <w:sz w:val="20"/>
          <w:szCs w:val="20"/>
        </w:rPr>
        <w:t>companies</w:t>
      </w:r>
      <w:proofErr w:type="gramEnd"/>
      <w:r>
        <w:rPr>
          <w:sz w:val="20"/>
          <w:szCs w:val="20"/>
        </w:rPr>
        <w:t xml:space="preserve"> commitments going forward.</w:t>
      </w:r>
    </w:p>
    <w:p w:rsidR="00000000" w:rsidRDefault="003B7527">
      <w:pPr>
        <w:pStyle w:val="NormalWeb"/>
        <w:divId w:val="1790465168"/>
      </w:pPr>
    </w:p>
    <w:p w:rsidR="00000000" w:rsidRDefault="003B7527">
      <w:pPr>
        <w:pStyle w:val="NormalWeb"/>
        <w:divId w:val="1790465168"/>
      </w:pPr>
      <w:r>
        <w:rPr>
          <w:sz w:val="20"/>
          <w:szCs w:val="20"/>
        </w:rPr>
        <w:t xml:space="preserve">The Company's wholly owned subsidiary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has a note payable wi</w:t>
      </w:r>
      <w:r>
        <w:rPr>
          <w:sz w:val="20"/>
          <w:szCs w:val="20"/>
        </w:rPr>
        <w:t xml:space="preserve">th a bank ("Note B"). The original amount of Note B was </w:t>
      </w:r>
      <w:proofErr w:type="spellStart"/>
      <w:r>
        <w:rPr>
          <w:sz w:val="20"/>
          <w:szCs w:val="20"/>
        </w:rPr>
        <w:t>kr</w:t>
      </w:r>
      <w:proofErr w:type="spellEnd"/>
      <w:r>
        <w:rPr>
          <w:sz w:val="20"/>
          <w:szCs w:val="20"/>
        </w:rPr>
        <w:t xml:space="preserve"> 1,132,000 Danish </w:t>
      </w:r>
      <w:proofErr w:type="spellStart"/>
      <w:r>
        <w:rPr>
          <w:sz w:val="20"/>
          <w:szCs w:val="20"/>
        </w:rPr>
        <w:t>Krone</w:t>
      </w:r>
      <w:proofErr w:type="spellEnd"/>
      <w:r>
        <w:rPr>
          <w:sz w:val="20"/>
          <w:szCs w:val="20"/>
        </w:rPr>
        <w:t xml:space="preserve"> (</w:t>
      </w:r>
      <w:proofErr w:type="spellStart"/>
      <w:r>
        <w:rPr>
          <w:sz w:val="20"/>
          <w:szCs w:val="20"/>
        </w:rPr>
        <w:t>kr</w:t>
      </w:r>
      <w:proofErr w:type="spellEnd"/>
      <w:r>
        <w:rPr>
          <w:sz w:val="20"/>
          <w:szCs w:val="20"/>
        </w:rPr>
        <w:t>). Note B is secured by the subsidiary's real estate, with a 2.00% interest rate and 10 years left on the term. The balance on the note as of September 30, 2014 and June 3</w:t>
      </w:r>
      <w:r>
        <w:rPr>
          <w:sz w:val="20"/>
          <w:szCs w:val="20"/>
        </w:rPr>
        <w:t>0, 2014 was $191,599 and $196,151 respectively.</w:t>
      </w:r>
    </w:p>
    <w:p w:rsidR="00000000" w:rsidRDefault="003B7527">
      <w:pPr>
        <w:spacing w:before="100" w:beforeAutospacing="1" w:after="100" w:afterAutospacing="1"/>
      </w:pPr>
      <w:r>
        <w:rPr>
          <w:sz w:val="20"/>
          <w:szCs w:val="20"/>
        </w:rPr>
        <w:t xml:space="preserve">The </w:t>
      </w:r>
      <w:proofErr w:type="gramStart"/>
      <w:r>
        <w:rPr>
          <w:sz w:val="20"/>
          <w:szCs w:val="20"/>
        </w:rPr>
        <w:t>value of the note reflect</w:t>
      </w:r>
      <w:proofErr w:type="gramEnd"/>
      <w:r>
        <w:rPr>
          <w:sz w:val="20"/>
          <w:szCs w:val="20"/>
        </w:rPr>
        <w:t xml:space="preserve"> the currency adjustments. The table below summarizes the </w:t>
      </w:r>
      <w:proofErr w:type="gramStart"/>
      <w:r>
        <w:rPr>
          <w:sz w:val="20"/>
          <w:szCs w:val="20"/>
        </w:rPr>
        <w:t>companies</w:t>
      </w:r>
      <w:proofErr w:type="gramEnd"/>
      <w:r>
        <w:rPr>
          <w:sz w:val="20"/>
          <w:szCs w:val="20"/>
        </w:rPr>
        <w:t xml:space="preserve"> commitments going forward.</w:t>
      </w:r>
    </w:p>
    <w:tbl>
      <w:tblPr>
        <w:tblW w:w="4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2"/>
        <w:gridCol w:w="953"/>
        <w:gridCol w:w="2407"/>
        <w:gridCol w:w="953"/>
        <w:gridCol w:w="2407"/>
        <w:gridCol w:w="1288"/>
        <w:gridCol w:w="780"/>
      </w:tblGrid>
      <w:tr w:rsidR="0000000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center"/>
            </w:pPr>
            <w:r>
              <w:rPr>
                <w:b/>
                <w:bCs/>
                <w:sz w:val="20"/>
                <w:szCs w:val="20"/>
              </w:rPr>
              <w:t xml:space="preserve">Advanced Oxygen Technologies, Inc. Commitments and </w:t>
            </w:r>
          </w:p>
          <w:p w:rsidR="00000000" w:rsidRDefault="003B7527">
            <w:pPr>
              <w:pStyle w:val="NormalWeb"/>
              <w:jc w:val="center"/>
            </w:pPr>
            <w:r>
              <w:rPr>
                <w:b/>
                <w:bCs/>
                <w:sz w:val="20"/>
                <w:szCs w:val="20"/>
              </w:rPr>
              <w:t>Contingencies for the year En</w:t>
            </w:r>
            <w:r>
              <w:rPr>
                <w:b/>
                <w:bCs/>
                <w:sz w:val="20"/>
                <w:szCs w:val="20"/>
              </w:rPr>
              <w:t>ding June 30, 2014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center"/>
            </w:pPr>
            <w:r>
              <w:rPr>
                <w:b/>
                <w:bCs/>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center"/>
            </w:pPr>
            <w:r>
              <w:rPr>
                <w:b/>
                <w:bCs/>
                <w:sz w:val="20"/>
                <w:szCs w:val="20"/>
              </w:rPr>
              <w:t>Bank Note "A"</w:t>
            </w:r>
            <w:r>
              <w:rPr>
                <w:b/>
                <w:bCs/>
                <w:sz w:val="20"/>
                <w:szCs w:val="20"/>
              </w:rPr>
              <w:br/>
              <w:t>Amount in DKK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center"/>
            </w:pPr>
            <w:r>
              <w:rPr>
                <w:b/>
                <w:bCs/>
                <w:sz w:val="20"/>
                <w:szCs w:val="20"/>
              </w:rPr>
              <w:t>Bank Note "A" Amount</w:t>
            </w:r>
            <w:r>
              <w:rPr>
                <w:b/>
                <w:bCs/>
                <w:sz w:val="20"/>
                <w:szCs w:val="20"/>
              </w:rPr>
              <w:br/>
              <w:t>converted to $US Dollars at currency exchange rate at June 30, 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center"/>
            </w:pPr>
            <w:r>
              <w:rPr>
                <w:b/>
                <w:bCs/>
                <w:sz w:val="20"/>
                <w:szCs w:val="20"/>
              </w:rPr>
              <w:t>Bank Note "B"</w:t>
            </w:r>
            <w:r>
              <w:rPr>
                <w:b/>
                <w:bCs/>
                <w:sz w:val="20"/>
                <w:szCs w:val="20"/>
              </w:rPr>
              <w:br/>
              <w:t>Amount in DKK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center"/>
            </w:pPr>
            <w:r>
              <w:rPr>
                <w:b/>
                <w:bCs/>
                <w:sz w:val="20"/>
                <w:szCs w:val="20"/>
              </w:rPr>
              <w:t>Bank Note "B" Amount</w:t>
            </w:r>
            <w:r>
              <w:rPr>
                <w:b/>
                <w:bCs/>
                <w:sz w:val="20"/>
                <w:szCs w:val="20"/>
              </w:rPr>
              <w:br/>
            </w:r>
            <w:r>
              <w:rPr>
                <w:b/>
                <w:bCs/>
                <w:sz w:val="20"/>
                <w:szCs w:val="20"/>
              </w:rPr>
              <w:t>converted to $US Dollars at currency exchange rate at June 30, 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center"/>
            </w:pPr>
            <w:proofErr w:type="spellStart"/>
            <w:r>
              <w:rPr>
                <w:b/>
                <w:bCs/>
                <w:sz w:val="20"/>
                <w:szCs w:val="20"/>
              </w:rPr>
              <w:t>Borkwood</w:t>
            </w:r>
            <w:proofErr w:type="spellEnd"/>
            <w:r>
              <w:rPr>
                <w:b/>
                <w:bCs/>
                <w:sz w:val="20"/>
                <w:szCs w:val="20"/>
              </w:rPr>
              <w:t xml:space="preserve"> Note Amount</w:t>
            </w:r>
            <w:r>
              <w:rPr>
                <w:b/>
                <w:bCs/>
                <w:sz w:val="20"/>
                <w:szCs w:val="20"/>
              </w:rPr>
              <w:br/>
              <w:t>in $US Dollars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b/>
                <w:bCs/>
                <w:sz w:val="20"/>
                <w:szCs w:val="20"/>
              </w:rPr>
              <w:t>Total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pPr>
            <w:r>
              <w:rPr>
                <w:sz w:val="20"/>
                <w:szCs w:val="20"/>
              </w:rPr>
              <w:t>2015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DKK 75,000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$13,772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$168,307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pPr>
            <w:r>
              <w:rPr>
                <w:sz w:val="20"/>
                <w:szCs w:val="20"/>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DKK 75,000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$13,772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$41,278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pPr>
            <w:r>
              <w:rPr>
                <w:sz w:val="20"/>
                <w:szCs w:val="20"/>
              </w:rPr>
              <w:t>2017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DKK 75,000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$13,772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$41,278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pPr>
            <w:r>
              <w:rPr>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$27,506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pPr>
            <w:r>
              <w:rPr>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$27,506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pPr>
            <w:r>
              <w:rPr>
                <w:sz w:val="20"/>
                <w:szCs w:val="20"/>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$27,506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pPr>
            <w:r>
              <w:rPr>
                <w:sz w:val="20"/>
                <w:szCs w:val="20"/>
              </w:rPr>
              <w:t>2022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$27,506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pPr>
            <w:r>
              <w:rPr>
                <w:sz w:val="20"/>
                <w:szCs w:val="20"/>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$27,506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pPr>
            <w:r>
              <w:rPr>
                <w:sz w:val="20"/>
                <w:szCs w:val="20"/>
              </w:rPr>
              <w:t>2024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$27,506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pPr>
            <w:r>
              <w:rPr>
                <w:sz w:val="20"/>
                <w:szCs w:val="20"/>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pStyle w:val="NormalWeb"/>
              <w:jc w:val="right"/>
            </w:pPr>
            <w:r>
              <w:rPr>
                <w:sz w:val="20"/>
                <w:szCs w:val="20"/>
              </w:rPr>
              <w:t>$27,506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pStyle w:val="NormalWeb"/>
              <w:jc w:val="right"/>
            </w:pPr>
            <w:r>
              <w:rPr>
                <w:b/>
                <w:bCs/>
                <w:sz w:val="20"/>
                <w:szCs w:val="20"/>
              </w:rPr>
              <w:t>$470,911</w:t>
            </w:r>
          </w:p>
        </w:tc>
      </w:tr>
    </w:tbl>
    <w:p w:rsidR="00000000" w:rsidRDefault="003B7527">
      <w:pPr>
        <w:spacing w:before="100" w:beforeAutospacing="1" w:after="100" w:afterAutospacing="1"/>
      </w:pPr>
      <w:r>
        <w:rPr>
          <w:sz w:val="20"/>
          <w:szCs w:val="20"/>
        </w:rPr>
        <w:t>* The amounts stated in this table reflect the Company's commitments in the currencies that those commitments were made and the total column is an estimate of what the US dollar amount would be if the currency rates did not change going forward.</w:t>
      </w:r>
    </w:p>
    <w:p w:rsidR="00000000" w:rsidRDefault="003B7527">
      <w:pPr>
        <w:pStyle w:val="NormalWeb"/>
      </w:pPr>
      <w:r>
        <w:rPr>
          <w:b/>
          <w:bCs/>
          <w:sz w:val="20"/>
          <w:szCs w:val="20"/>
        </w:rPr>
        <w:t>NOTE 7 - D</w:t>
      </w:r>
      <w:r>
        <w:rPr>
          <w:b/>
          <w:bCs/>
          <w:sz w:val="20"/>
          <w:szCs w:val="20"/>
        </w:rPr>
        <w:t>UE TO AFFILIATE</w:t>
      </w:r>
    </w:p>
    <w:p w:rsidR="00000000" w:rsidRDefault="003B7527">
      <w:pPr>
        <w:pStyle w:val="NormalWeb"/>
      </w:pPr>
      <w:r>
        <w:rPr>
          <w:i/>
          <w:iCs/>
          <w:sz w:val="20"/>
          <w:szCs w:val="20"/>
        </w:rPr>
        <w:t>Due to affiliate consisted of:</w:t>
      </w:r>
      <w:r>
        <w:rPr>
          <w:sz w:val="20"/>
          <w:szCs w:val="20"/>
        </w:rPr>
        <w:t xml:space="preserve"> Advances payable to </w:t>
      </w:r>
      <w:proofErr w:type="spellStart"/>
      <w:r>
        <w:rPr>
          <w:sz w:val="20"/>
          <w:szCs w:val="20"/>
        </w:rPr>
        <w:t>Crossfields</w:t>
      </w:r>
      <w:proofErr w:type="spellEnd"/>
      <w:r>
        <w:rPr>
          <w:sz w:val="20"/>
          <w:szCs w:val="20"/>
        </w:rPr>
        <w:t>, Inc., a related party, which are not collateralized, non-interest bearing, and payable upon demand, however, the Company did not expect to make payment within one year. During</w:t>
      </w:r>
      <w:r>
        <w:rPr>
          <w:sz w:val="20"/>
          <w:szCs w:val="20"/>
        </w:rPr>
        <w:t xml:space="preserve"> the 3 month period ended September 30, 2014 and 2013 the Company had borrowed $1,100 and $7,759 and had balances of $57,359 and $54,159 respectively, from affiliates and officers to meet expenses. The balances were not collateralized, were non-interest be</w:t>
      </w:r>
      <w:r>
        <w:rPr>
          <w:sz w:val="20"/>
          <w:szCs w:val="20"/>
        </w:rPr>
        <w:t xml:space="preserve">aring and were payable on demand. </w:t>
      </w:r>
    </w:p>
    <w:p w:rsidR="00000000" w:rsidRDefault="003B7527">
      <w:pPr>
        <w:pStyle w:val="NormalWeb"/>
      </w:pPr>
      <w:r>
        <w:rPr>
          <w:b/>
          <w:bCs/>
          <w:sz w:val="20"/>
          <w:szCs w:val="20"/>
        </w:rPr>
        <w:t>NOTE 8 - INCOME TAXES</w:t>
      </w:r>
      <w:r>
        <w:rPr>
          <w:sz w:val="20"/>
          <w:szCs w:val="20"/>
        </w:rPr>
        <w:br/>
      </w:r>
      <w:r>
        <w:rPr>
          <w:sz w:val="20"/>
          <w:szCs w:val="20"/>
        </w:rPr>
        <w:br/>
        <w:t xml:space="preserve">As of September 30, 2014, the Company had federal and state net operating loss </w:t>
      </w:r>
      <w:proofErr w:type="spellStart"/>
      <w:r>
        <w:rPr>
          <w:sz w:val="20"/>
          <w:szCs w:val="20"/>
        </w:rPr>
        <w:t>carryforwards</w:t>
      </w:r>
      <w:proofErr w:type="spellEnd"/>
      <w:r>
        <w:rPr>
          <w:sz w:val="20"/>
          <w:szCs w:val="20"/>
        </w:rPr>
        <w:t xml:space="preserve"> of approximately $12,400,000 of which approximately $1,160,000 may be utilized to offset future taxable i</w:t>
      </w:r>
      <w:r>
        <w:rPr>
          <w:sz w:val="20"/>
          <w:szCs w:val="20"/>
        </w:rPr>
        <w:t xml:space="preserve">ncome. Section 382 of the Internal Revenue Code imposes substantial restrictions on the utilization of net operating loss and tax credit </w:t>
      </w:r>
      <w:proofErr w:type="spellStart"/>
      <w:r>
        <w:rPr>
          <w:sz w:val="20"/>
          <w:szCs w:val="20"/>
        </w:rPr>
        <w:t>carryforwards</w:t>
      </w:r>
      <w:proofErr w:type="spellEnd"/>
      <w:r>
        <w:rPr>
          <w:sz w:val="20"/>
          <w:szCs w:val="20"/>
        </w:rPr>
        <w:t xml:space="preserve"> when a change in ownership occurs. No deferred tax debits have been recorded because it is considered unl</w:t>
      </w:r>
      <w:r>
        <w:rPr>
          <w:sz w:val="20"/>
          <w:szCs w:val="20"/>
        </w:rPr>
        <w:t xml:space="preserve">ikely that they will be realized. The loss </w:t>
      </w:r>
      <w:proofErr w:type="spellStart"/>
      <w:r>
        <w:rPr>
          <w:sz w:val="20"/>
          <w:szCs w:val="20"/>
        </w:rPr>
        <w:t>carryforwards</w:t>
      </w:r>
      <w:proofErr w:type="spellEnd"/>
      <w:r>
        <w:rPr>
          <w:sz w:val="20"/>
          <w:szCs w:val="20"/>
        </w:rPr>
        <w:t xml:space="preserve"> will expire during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2"/>
        <w:gridCol w:w="2318"/>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b/>
                <w:bCs/>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b/>
                <w:bCs/>
                <w:sz w:val="20"/>
                <w:szCs w:val="20"/>
              </w:rPr>
              <w:t>Amount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lastRenderedPageBreak/>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236,000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rPr>
              <w:t>548,000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351,000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rPr>
                <w:rFonts w:eastAsia="Times New Roman"/>
              </w:rPr>
            </w:pPr>
            <w:r>
              <w:rPr>
                <w:rFonts w:eastAsia="Times New Roman"/>
                <w:sz w:val="20"/>
                <w:szCs w:val="20"/>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3B7527">
            <w:pPr>
              <w:jc w:val="right"/>
              <w:rPr>
                <w:rFonts w:eastAsia="Times New Roman"/>
              </w:rPr>
            </w:pPr>
            <w:r>
              <w:rPr>
                <w:rFonts w:eastAsia="Times New Roman"/>
                <w:sz w:val="20"/>
                <w:szCs w:val="20"/>
                <w:u w:val="single"/>
              </w:rPr>
              <w:t>29,000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rPr>
                <w:rFonts w:eastAsia="Times New Roman"/>
              </w:rPr>
            </w:pPr>
            <w:r>
              <w:rPr>
                <w:rFonts w:eastAsia="Times New Roman"/>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3B7527">
            <w:pPr>
              <w:jc w:val="right"/>
              <w:rPr>
                <w:rFonts w:eastAsia="Times New Roman"/>
              </w:rPr>
            </w:pPr>
            <w:r>
              <w:rPr>
                <w:rFonts w:eastAsia="Times New Roman"/>
                <w:sz w:val="20"/>
                <w:szCs w:val="20"/>
              </w:rPr>
              <w:t>$ 1,164,000</w:t>
            </w:r>
          </w:p>
        </w:tc>
      </w:tr>
    </w:tbl>
    <w:p w:rsidR="00000000" w:rsidRDefault="003B7527">
      <w:pPr>
        <w:pStyle w:val="NormalWeb"/>
      </w:pPr>
      <w:r>
        <w:rPr>
          <w:sz w:val="20"/>
          <w:szCs w:val="20"/>
        </w:rPr>
        <w:t>The overall effective tax rate differs from the federal statutory tax rate of 34% due to operating losses and other deferred assets not providing benefit for income tax purposes.</w:t>
      </w:r>
    </w:p>
    <w:p w:rsidR="00000000" w:rsidRDefault="003B7527">
      <w:pPr>
        <w:pStyle w:val="NormalWeb"/>
      </w:pPr>
      <w:r>
        <w:rPr>
          <w:b/>
          <w:bCs/>
          <w:sz w:val="20"/>
          <w:szCs w:val="20"/>
        </w:rPr>
        <w:t>NOTE 9 - SHAREHOLDERS' EQUITY:</w:t>
      </w:r>
    </w:p>
    <w:p w:rsidR="00000000" w:rsidRDefault="003B7527">
      <w:pPr>
        <w:pStyle w:val="NormalWeb"/>
      </w:pPr>
      <w:r>
        <w:rPr>
          <w:sz w:val="20"/>
          <w:szCs w:val="20"/>
        </w:rPr>
        <w:t>Preferred Stock:</w:t>
      </w:r>
    </w:p>
    <w:p w:rsidR="00000000" w:rsidRDefault="003B7527">
      <w:pPr>
        <w:pStyle w:val="NormalWeb"/>
      </w:pP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w:t>
      </w:r>
      <w:r>
        <w:rPr>
          <w:sz w:val="20"/>
          <w:szCs w:val="20"/>
        </w:rPr>
        <w:t>es included in each such series.</w:t>
      </w:r>
    </w:p>
    <w:p w:rsidR="00000000" w:rsidRDefault="003B7527">
      <w:pPr>
        <w:pStyle w:val="NormalWeb"/>
      </w:pPr>
      <w:r>
        <w:rPr>
          <w:sz w:val="20"/>
          <w:szCs w:val="20"/>
        </w:rPr>
        <w:t>Series 2 Convertible Preferred Stock:</w:t>
      </w:r>
    </w:p>
    <w:p w:rsidR="00000000" w:rsidRDefault="003B7527">
      <w:pPr>
        <w:pStyle w:val="NormalWeb"/>
      </w:pPr>
      <w:r>
        <w:rPr>
          <w:sz w:val="20"/>
          <w:szCs w:val="20"/>
        </w:rPr>
        <w:t>Each Series 2 preferred share is convertible into two shares of common stock at the option of the holder. Each Series 2 preferred share also includes one warrant to purchase two commo</w:t>
      </w:r>
      <w:r>
        <w:rPr>
          <w:sz w:val="20"/>
          <w:szCs w:val="20"/>
        </w:rPr>
        <w:t xml:space="preserve">n shares for $5.00. The warrants are exercisable over a three-year period. In the event of the liquidation of the Company, holders of Series 2 preferred stock would be entitled to receive $5.00 per share, plus any unpaid dividends declared on the Series 2 </w:t>
      </w:r>
      <w:r>
        <w:rPr>
          <w:sz w:val="20"/>
          <w:szCs w:val="20"/>
        </w:rPr>
        <w:t>preferred stock from the funds remaining after the Company's creditors, including directors, have been paid. There have been no dividends declared.</w:t>
      </w:r>
    </w:p>
    <w:p w:rsidR="00000000" w:rsidRDefault="003B7527">
      <w:pPr>
        <w:pStyle w:val="NormalWeb"/>
      </w:pPr>
      <w:r>
        <w:rPr>
          <w:sz w:val="20"/>
          <w:szCs w:val="20"/>
        </w:rPr>
        <w:t xml:space="preserve">During November 1997, 172,000 shares of Series 2 preferred stock were converted into 344,000 shares of the </w:t>
      </w:r>
      <w:r>
        <w:rPr>
          <w:sz w:val="20"/>
          <w:szCs w:val="20"/>
        </w:rPr>
        <w:t>Company's common stock.</w:t>
      </w:r>
    </w:p>
    <w:p w:rsidR="00000000" w:rsidRDefault="003B7527">
      <w:pPr>
        <w:pStyle w:val="NormalWeb"/>
      </w:pPr>
      <w:r>
        <w:rPr>
          <w:sz w:val="20"/>
          <w:szCs w:val="20"/>
        </w:rPr>
        <w:t>Series 4 Convertible Preferred Stock:</w:t>
      </w:r>
    </w:p>
    <w:p w:rsidR="00000000" w:rsidRDefault="003B7527">
      <w:pPr>
        <w:pStyle w:val="NormalWeb"/>
      </w:pPr>
      <w:r>
        <w:rPr>
          <w:sz w:val="20"/>
          <w:szCs w:val="20"/>
        </w:rPr>
        <w:t>The shares are collectively convertible to common stock of the Company on March 5, 2004, in an amount equal to the greater of a.)290,000 shares divided by the ten day closing price, prior to t</w:t>
      </w:r>
      <w:r>
        <w:rPr>
          <w:sz w:val="20"/>
          <w:szCs w:val="20"/>
        </w:rPr>
        <w:t xml:space="preserve">he date of acquisition of IPS, of the Company's common stock as quoted on the national exchange and not to exceed twenty million shares, or b.) </w:t>
      </w:r>
      <w:proofErr w:type="gramStart"/>
      <w:r>
        <w:rPr>
          <w:sz w:val="20"/>
          <w:szCs w:val="20"/>
        </w:rPr>
        <w:t>six</w:t>
      </w:r>
      <w:proofErr w:type="gramEnd"/>
      <w:r>
        <w:rPr>
          <w:sz w:val="20"/>
          <w:szCs w:val="20"/>
        </w:rPr>
        <w:t xml:space="preserve"> million shares.</w:t>
      </w:r>
    </w:p>
    <w:p w:rsidR="00000000" w:rsidRDefault="003B7527">
      <w:pPr>
        <w:pStyle w:val="NormalWeb"/>
      </w:pPr>
      <w:proofErr w:type="gramStart"/>
      <w:r>
        <w:rPr>
          <w:b/>
          <w:bCs/>
          <w:sz w:val="20"/>
          <w:szCs w:val="20"/>
        </w:rPr>
        <w:t>ITEM 2: MANAGEMENT'S DISCUSSION AND ANALYSIS OF FINANCIAL CONDITION AND RESULTS OF OPERATIO</w:t>
      </w:r>
      <w:r>
        <w:rPr>
          <w:b/>
          <w:bCs/>
          <w:sz w:val="20"/>
          <w:szCs w:val="20"/>
        </w:rPr>
        <w:t>NS.</w:t>
      </w:r>
      <w:proofErr w:type="gramEnd"/>
    </w:p>
    <w:p w:rsidR="00000000" w:rsidRDefault="003B7527">
      <w:pPr>
        <w:pStyle w:val="NormalWeb"/>
      </w:pPr>
      <w:r>
        <w:rPr>
          <w:sz w:val="20"/>
          <w:szCs w:val="20"/>
        </w:rPr>
        <w:t>The following should be read in conjunction with our Consolidated Financial Statements and the notes thereto included in the Financial Statements.</w:t>
      </w:r>
    </w:p>
    <w:p w:rsidR="00000000" w:rsidRDefault="003B7527">
      <w:pPr>
        <w:pStyle w:val="NormalWeb"/>
      </w:pPr>
      <w:r>
        <w:rPr>
          <w:sz w:val="20"/>
          <w:szCs w:val="20"/>
        </w:rPr>
        <w:t xml:space="preserve">FORWARD LOOKING STATEMENTS: </w:t>
      </w:r>
    </w:p>
    <w:p w:rsidR="00000000" w:rsidRDefault="003B7527">
      <w:pPr>
        <w:pStyle w:val="NormalWeb"/>
      </w:pPr>
      <w:r>
        <w:rPr>
          <w:sz w:val="20"/>
          <w:szCs w:val="20"/>
        </w:rPr>
        <w:t>Certain statements contained in this report, including statements concernin</w:t>
      </w:r>
      <w:r>
        <w:rPr>
          <w:sz w:val="20"/>
          <w:szCs w:val="20"/>
        </w:rPr>
        <w:t>g the Company's future and financing requirements, the Company's ability to obtain market acceptance of its products and the competitive market for sales of small production business' and other statements contained herein regarding matters that are not his</w:t>
      </w:r>
      <w:r>
        <w:rPr>
          <w:sz w:val="20"/>
          <w:szCs w:val="20"/>
        </w:rPr>
        <w:t xml:space="preserve">torical facts, are forward looking statements; actual results may differ materially from those set forth in the forward looking statements, which statements involve risks and uncertainties, including without limitation to those risks and uncertainties set </w:t>
      </w:r>
      <w:r>
        <w:rPr>
          <w:sz w:val="20"/>
          <w:szCs w:val="20"/>
        </w:rPr>
        <w:t>forth in any of the Company's Registration Statements under the heading "Risk Factors" or any other such heading. In addition, historical performance of the Company should not be considered as an indicator for future performance, and as such, the future pe</w:t>
      </w:r>
      <w:r>
        <w:rPr>
          <w:sz w:val="20"/>
          <w:szCs w:val="20"/>
        </w:rPr>
        <w:t xml:space="preserve">rformance of the Company may differ significantly from historical performance. </w:t>
      </w:r>
    </w:p>
    <w:p w:rsidR="00000000" w:rsidRDefault="003B7527">
      <w:pPr>
        <w:pStyle w:val="NormalWeb"/>
      </w:pPr>
      <w:r>
        <w:rPr>
          <w:sz w:val="20"/>
          <w:szCs w:val="20"/>
        </w:rPr>
        <w:t>CRITICAL ACCOUNTING POLICIES AND ESTIMATES</w:t>
      </w:r>
    </w:p>
    <w:p w:rsidR="00000000" w:rsidRDefault="003B7527">
      <w:pPr>
        <w:pStyle w:val="NormalWeb"/>
        <w:rPr>
          <w:sz w:val="20"/>
          <w:szCs w:val="20"/>
        </w:rPr>
      </w:pPr>
      <w:hyperlink w:anchor="toc" w:history="1">
        <w:r>
          <w:rPr>
            <w:rStyle w:val="Hyperlink"/>
            <w:b/>
            <w:bCs/>
            <w:sz w:val="20"/>
            <w:szCs w:val="20"/>
          </w:rPr>
          <w:t>Return to Table of Contents</w:t>
        </w:r>
      </w:hyperlink>
      <w:r>
        <w:rPr>
          <w:sz w:val="20"/>
          <w:szCs w:val="20"/>
        </w:rPr>
        <w:t xml:space="preserve"> </w:t>
      </w:r>
    </w:p>
    <w:p w:rsidR="00000000" w:rsidRDefault="00C27026">
      <w:pPr>
        <w:rPr>
          <w:rFonts w:eastAsia="Times New Roman"/>
          <w:sz w:val="20"/>
          <w:szCs w:val="20"/>
        </w:rPr>
      </w:pPr>
      <w:r>
        <w:rPr>
          <w:rFonts w:eastAsia="Times New Roman"/>
          <w:sz w:val="20"/>
          <w:szCs w:val="20"/>
        </w:rPr>
        <w:pict>
          <v:rect id="_x0000_i1056" style="width:0;height:3pt" o:hralign="center" o:hrstd="t" o:hrnoshade="t" o:hr="t" fillcolor="black" stroked="f"/>
        </w:pict>
      </w:r>
    </w:p>
    <w:p w:rsidR="00000000" w:rsidRDefault="003B7527">
      <w:pPr>
        <w:rPr>
          <w:rFonts w:eastAsia="Times New Roman"/>
        </w:rPr>
      </w:pPr>
      <w:r>
        <w:rPr>
          <w:rFonts w:eastAsia="Times New Roman"/>
          <w:sz w:val="20"/>
          <w:szCs w:val="20"/>
        </w:rPr>
        <w:br/>
        <w:t>The preparation of consolidated financial statements in conformity with accounting principles generally accepted in the U.S. (“GAAP”) requires our management to make estimates and assumptions that affect the reported amount</w:t>
      </w:r>
      <w:r>
        <w:rPr>
          <w:rFonts w:eastAsia="Times New Roman"/>
          <w:sz w:val="20"/>
          <w:szCs w:val="20"/>
        </w:rPr>
        <w:t>s of assets and liabilities and the disclosure of contingent assets and liabilities at the date of the consolidated financial statements and the reported amounts of revenue and expenses during the reporting period. Following are accounting policies that we</w:t>
      </w:r>
      <w:r>
        <w:rPr>
          <w:rFonts w:eastAsia="Times New Roman"/>
          <w:sz w:val="20"/>
          <w:szCs w:val="20"/>
        </w:rPr>
        <w:t xml:space="preserve"> believe are most important to the portrayal of our financial condition and results of operations and that require our most difficult judgments as a result of the need to make estimates and assumptions about the effects of matters that are inherently uncer</w:t>
      </w:r>
      <w:r>
        <w:rPr>
          <w:rFonts w:eastAsia="Times New Roman"/>
          <w:sz w:val="20"/>
          <w:szCs w:val="20"/>
        </w:rPr>
        <w:t>tain.</w:t>
      </w:r>
    </w:p>
    <w:p w:rsidR="00000000" w:rsidRDefault="003B7527">
      <w:pPr>
        <w:pStyle w:val="NormalWeb"/>
      </w:pPr>
      <w:proofErr w:type="gramStart"/>
      <w:r>
        <w:rPr>
          <w:i/>
          <w:iCs/>
          <w:sz w:val="20"/>
          <w:szCs w:val="20"/>
        </w:rPr>
        <w:lastRenderedPageBreak/>
        <w:t>Recognition of rental income.</w:t>
      </w:r>
      <w:proofErr w:type="gramEnd"/>
      <w:r>
        <w:rPr>
          <w:i/>
          <w:iCs/>
          <w:sz w:val="20"/>
          <w:szCs w:val="20"/>
        </w:rPr>
        <w:t xml:space="preserve"> </w:t>
      </w:r>
      <w:r>
        <w:rPr>
          <w:sz w:val="20"/>
          <w:szCs w:val="20"/>
        </w:rPr>
        <w:t>Rental income for commercial property leases is recognized on a straight-line basis over the respective lease terms.</w:t>
      </w:r>
    </w:p>
    <w:p w:rsidR="00000000" w:rsidRDefault="003B7527">
      <w:pPr>
        <w:pStyle w:val="NormalWeb"/>
      </w:pPr>
      <w:r>
        <w:rPr>
          <w:sz w:val="20"/>
          <w:szCs w:val="20"/>
        </w:rPr>
        <w:t xml:space="preserve">Real Estate Accounting Principles: The Company treats the valuation of its real estate in accordance </w:t>
      </w:r>
      <w:r>
        <w:rPr>
          <w:sz w:val="20"/>
          <w:szCs w:val="20"/>
        </w:rPr>
        <w:t xml:space="preserve">with FASB Statement No. 157, Fair Value Measurements, which provides for the companies accounting valuation of real estate. Statement 157 defines fair value as the price that would be received to sell an asset or paid to transfer a liability in an orderly </w:t>
      </w:r>
      <w:r>
        <w:rPr>
          <w:sz w:val="20"/>
          <w:szCs w:val="20"/>
        </w:rPr>
        <w:t>transaction between market participants at the measurement date. The Company has valued its real estate using the three valuation approaches defined in FASB Statement No. 157: The market approach, which uses observable prices and other relevant information</w:t>
      </w:r>
      <w:r>
        <w:rPr>
          <w:sz w:val="20"/>
          <w:szCs w:val="20"/>
        </w:rPr>
        <w:t xml:space="preserve"> derived from market transactions involving identical or comparable assets or liabilities, The income approach, which uses valuation technique to convert future benefits or costs, usually in the form of cash flows, into a present-value amount. Examples of </w:t>
      </w:r>
      <w:r>
        <w:rPr>
          <w:sz w:val="20"/>
          <w:szCs w:val="20"/>
        </w:rPr>
        <w:t>an income approach include the discounted cash flow method and the direct capitalization method, and the cost approach, which uses estimates of the cost to replace an asset’s service capacity.</w:t>
      </w:r>
    </w:p>
    <w:p w:rsidR="00000000" w:rsidRDefault="003B7527">
      <w:pPr>
        <w:pStyle w:val="NormalWeb"/>
      </w:pPr>
      <w:proofErr w:type="gramStart"/>
      <w:r>
        <w:rPr>
          <w:i/>
          <w:iCs/>
          <w:sz w:val="20"/>
          <w:szCs w:val="20"/>
        </w:rPr>
        <w:t>Revenue recognition on the sale of real estate.</w:t>
      </w:r>
      <w:proofErr w:type="gramEnd"/>
      <w:r>
        <w:rPr>
          <w:i/>
          <w:iCs/>
          <w:sz w:val="20"/>
          <w:szCs w:val="20"/>
        </w:rPr>
        <w:t xml:space="preserve"> </w:t>
      </w:r>
    </w:p>
    <w:p w:rsidR="00000000" w:rsidRDefault="003B7527">
      <w:pPr>
        <w:pStyle w:val="NormalWeb"/>
      </w:pPr>
      <w:r>
        <w:rPr>
          <w:sz w:val="20"/>
          <w:szCs w:val="20"/>
        </w:rPr>
        <w:t>Sales of real</w:t>
      </w:r>
      <w:r>
        <w:rPr>
          <w:sz w:val="20"/>
          <w:szCs w:val="20"/>
        </w:rPr>
        <w:t xml:space="preserve"> estate are recognized when and to the extent permitted by Statement of Financial Accounting Standards No. 66, “Accounting for Sales of Real Estate” (“SFAS No. 66”), as amended by SFAS No. 144. Until the requirements of SFAS No. 66 for full profit recognit</w:t>
      </w:r>
      <w:r>
        <w:rPr>
          <w:sz w:val="20"/>
          <w:szCs w:val="20"/>
        </w:rPr>
        <w:t xml:space="preserve">ion have been met, transactions are accounted for using </w:t>
      </w:r>
      <w:proofErr w:type="gramStart"/>
      <w:r>
        <w:rPr>
          <w:sz w:val="20"/>
          <w:szCs w:val="20"/>
        </w:rPr>
        <w:t>either the</w:t>
      </w:r>
      <w:proofErr w:type="gramEnd"/>
      <w:r>
        <w:rPr>
          <w:sz w:val="20"/>
          <w:szCs w:val="20"/>
        </w:rPr>
        <w:t xml:space="preserve"> deposit, the installment, the cost recovery, or the financing method, whichever is appropriate.</w:t>
      </w:r>
    </w:p>
    <w:p w:rsidR="00000000" w:rsidRDefault="003B7527">
      <w:pPr>
        <w:pStyle w:val="NormalWeb"/>
      </w:pPr>
      <w:r>
        <w:rPr>
          <w:sz w:val="20"/>
          <w:szCs w:val="20"/>
        </w:rPr>
        <w:t>Interest Recognition on Notes Receivable</w:t>
      </w:r>
    </w:p>
    <w:p w:rsidR="00000000" w:rsidRDefault="003B7527">
      <w:pPr>
        <w:pStyle w:val="NormalWeb"/>
      </w:pPr>
      <w:r>
        <w:rPr>
          <w:sz w:val="20"/>
          <w:szCs w:val="20"/>
        </w:rPr>
        <w:t>Interest income is not recognized on notes receiva</w:t>
      </w:r>
      <w:r>
        <w:rPr>
          <w:sz w:val="20"/>
          <w:szCs w:val="20"/>
        </w:rPr>
        <w:t>ble that have been delinquent for 60 days or more. In addition, accrued but unpaid interest income is only recognized to the extent that the net realizable value of the underlying collateral exceeds the carrying value of the receivable.</w:t>
      </w:r>
    </w:p>
    <w:p w:rsidR="00000000" w:rsidRDefault="003B7527">
      <w:pPr>
        <w:pStyle w:val="NormalWeb"/>
      </w:pPr>
      <w:r>
        <w:rPr>
          <w:i/>
          <w:iCs/>
          <w:sz w:val="20"/>
          <w:szCs w:val="20"/>
        </w:rPr>
        <w:t>Foreign currency t</w:t>
      </w:r>
      <w:r>
        <w:rPr>
          <w:i/>
          <w:iCs/>
          <w:sz w:val="20"/>
          <w:szCs w:val="20"/>
        </w:rPr>
        <w:t>ranslation:</w:t>
      </w:r>
    </w:p>
    <w:p w:rsidR="00000000" w:rsidRDefault="003B7527">
      <w:pPr>
        <w:pStyle w:val="NormalWeb"/>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w:t>
      </w:r>
      <w:r>
        <w:rPr>
          <w:sz w:val="20"/>
          <w:szCs w:val="20"/>
        </w:rPr>
        <w:t>e translated at weighted average rates for the year. Exchange rate differences that arise between the rate at the transaction date and the one in effect at the payment date, or at the balance sheet date, are recognized in the income statement.</w:t>
      </w:r>
    </w:p>
    <w:p w:rsidR="00000000" w:rsidRDefault="003B7527">
      <w:pPr>
        <w:pStyle w:val="NormalWeb"/>
      </w:pPr>
      <w:r>
        <w:rPr>
          <w:i/>
          <w:iCs/>
          <w:sz w:val="20"/>
          <w:szCs w:val="20"/>
        </w:rPr>
        <w:t>Income Taxe</w:t>
      </w:r>
      <w:r>
        <w:rPr>
          <w:i/>
          <w:iCs/>
          <w:sz w:val="20"/>
          <w:szCs w:val="20"/>
        </w:rPr>
        <w:t>s:</w:t>
      </w:r>
    </w:p>
    <w:p w:rsidR="00000000" w:rsidRDefault="003B7527">
      <w:pPr>
        <w:pStyle w:val="NormalWeb"/>
      </w:pPr>
      <w:r>
        <w:rPr>
          <w:sz w:val="20"/>
          <w:szCs w:val="20"/>
        </w:rPr>
        <w:t xml:space="preserve">The Company accounts for income taxes under the asset and liability method of accounting. Under this method, deferred tax assets and liabilities are recognized for the future tax consequences attributable to differences between the financial statement </w:t>
      </w:r>
      <w:r>
        <w:rPr>
          <w:sz w:val="20"/>
          <w:szCs w:val="20"/>
        </w:rPr>
        <w:t xml:space="preserve">carrying amounts of existing assets and liabilities and their respective tax bases. Deferred tax assets and liabilities are measured using enacted tax rates expected to apply to taxable income in the years in which those temporary differences are expected </w:t>
      </w:r>
      <w:r>
        <w:rPr>
          <w:sz w:val="20"/>
          <w:szCs w:val="20"/>
        </w:rPr>
        <w:t xml:space="preserve">to be recovered or settled. The effect on deferred tax assets and liabilities of a change in tax rates is recognized in income in the period that includes the enactment date. A valuation allowance is </w:t>
      </w:r>
    </w:p>
    <w:p w:rsidR="00000000" w:rsidRDefault="003B7527">
      <w:pPr>
        <w:pStyle w:val="NormalWeb"/>
      </w:pPr>
      <w:proofErr w:type="gramStart"/>
      <w:r>
        <w:rPr>
          <w:sz w:val="20"/>
          <w:szCs w:val="20"/>
        </w:rPr>
        <w:t>required</w:t>
      </w:r>
      <w:proofErr w:type="gramEnd"/>
      <w:r>
        <w:rPr>
          <w:sz w:val="20"/>
          <w:szCs w:val="20"/>
        </w:rPr>
        <w:t xml:space="preserve"> when it is less likely than not that the Compa</w:t>
      </w:r>
      <w:r>
        <w:rPr>
          <w:sz w:val="20"/>
          <w:szCs w:val="20"/>
        </w:rPr>
        <w:t>ny will be able to realize all or a portion of its deferred tax assets. Because it is doubtful that the net operating losses of recent years will ever be used, a valuation allowance has been recognized equal to the tax benefit of net operating losses gener</w:t>
      </w:r>
      <w:r>
        <w:rPr>
          <w:sz w:val="20"/>
          <w:szCs w:val="20"/>
        </w:rPr>
        <w:t>ated.</w:t>
      </w:r>
    </w:p>
    <w:p w:rsidR="00000000" w:rsidRDefault="003B7527">
      <w:pPr>
        <w:pStyle w:val="NormalWeb"/>
      </w:pPr>
      <w:r>
        <w:rPr>
          <w:i/>
          <w:iCs/>
          <w:sz w:val="20"/>
          <w:szCs w:val="20"/>
        </w:rPr>
        <w:t>Net Earnings per Share:</w:t>
      </w:r>
    </w:p>
    <w:p w:rsidR="00000000" w:rsidRDefault="003B7527">
      <w:pPr>
        <w:pStyle w:val="NormalWeb"/>
      </w:pPr>
      <w:r>
        <w:rPr>
          <w:sz w:val="20"/>
          <w:szCs w:val="20"/>
        </w:rPr>
        <w:t>The Company adopted SFAS No. 128, "Earnings per Share"</w:t>
      </w:r>
      <w:r>
        <w:rPr>
          <w:sz w:val="20"/>
          <w:szCs w:val="20"/>
        </w:rPr>
        <w:t xml:space="preserve">. </w:t>
      </w:r>
      <w:proofErr w:type="gramStart"/>
      <w:r>
        <w:rPr>
          <w:sz w:val="20"/>
          <w:szCs w:val="20"/>
        </w:rPr>
        <w:t>Basic earnings per share is</w:t>
      </w:r>
      <w:proofErr w:type="gramEnd"/>
      <w:r>
        <w:rPr>
          <w:sz w:val="20"/>
          <w:szCs w:val="20"/>
        </w:rPr>
        <w:t xml:space="preserve"> computed by dividing income available to common shareholders by the weighted-average number of common shares available. Diluted earnings per share is computed similar to basic earnings per share except that the denominator is </w:t>
      </w:r>
      <w:r>
        <w:rPr>
          <w:sz w:val="20"/>
          <w:szCs w:val="20"/>
        </w:rPr>
        <w:t>increased to include the number of additional common shares that would have been outstanding if the potential common shares had been issued and if the additional common shares were dilutive.</w:t>
      </w:r>
    </w:p>
    <w:p w:rsidR="00000000" w:rsidRDefault="003B7527">
      <w:pPr>
        <w:pStyle w:val="NormalWeb"/>
      </w:pPr>
      <w:r>
        <w:rPr>
          <w:i/>
          <w:iCs/>
          <w:sz w:val="20"/>
          <w:szCs w:val="20"/>
        </w:rPr>
        <w:t>Cash and Cash Equivalents:</w:t>
      </w:r>
    </w:p>
    <w:p w:rsidR="00000000" w:rsidRDefault="003B7527">
      <w:pPr>
        <w:pStyle w:val="NormalWeb"/>
      </w:pPr>
      <w:r>
        <w:rPr>
          <w:sz w:val="20"/>
          <w:szCs w:val="20"/>
        </w:rPr>
        <w:t>For purposes of the statement of cas</w:t>
      </w:r>
      <w:r>
        <w:rPr>
          <w:sz w:val="20"/>
          <w:szCs w:val="20"/>
        </w:rPr>
        <w:t>h flows, the Company considers all highly-liquid investments purchased with original maturities of three months or less to be cash equivalents.</w:t>
      </w:r>
    </w:p>
    <w:p w:rsidR="00000000" w:rsidRDefault="003B7527">
      <w:pPr>
        <w:pStyle w:val="NormalWeb"/>
      </w:pPr>
      <w:hyperlink w:anchor="toc" w:history="1">
        <w:r>
          <w:rPr>
            <w:rStyle w:val="Hyperlink"/>
            <w:b/>
            <w:bCs/>
            <w:sz w:val="20"/>
            <w:szCs w:val="20"/>
          </w:rPr>
          <w:t>Return to Table of Contents</w:t>
        </w:r>
      </w:hyperlink>
    </w:p>
    <w:p w:rsidR="000452C7" w:rsidRDefault="00C27026">
      <w:pPr>
        <w:rPr>
          <w:rFonts w:eastAsia="Times New Roman"/>
        </w:rPr>
      </w:pPr>
      <w:r>
        <w:rPr>
          <w:rFonts w:eastAsia="Times New Roman"/>
        </w:rPr>
        <w:pict>
          <v:rect id="_x0000_i1057" style="width:0;height:3pt" o:hralign="center" o:hrstd="t" o:hrnoshade="t" o:hr="t" fillcolor="black" stroked="f"/>
        </w:pict>
      </w:r>
    </w:p>
    <w:p w:rsidR="000452C7" w:rsidRDefault="000452C7">
      <w:pPr>
        <w:rPr>
          <w:rFonts w:eastAsia="Times New Roman"/>
        </w:rPr>
      </w:pPr>
      <w:r>
        <w:rPr>
          <w:rFonts w:eastAsia="Times New Roman"/>
        </w:rPr>
        <w:br w:type="page"/>
      </w:r>
    </w:p>
    <w:p w:rsidR="00000000" w:rsidRDefault="003B7527">
      <w:pPr>
        <w:pStyle w:val="NormalWeb"/>
      </w:pPr>
      <w:r>
        <w:rPr>
          <w:sz w:val="20"/>
          <w:szCs w:val="20"/>
        </w:rPr>
        <w:lastRenderedPageBreak/>
        <w:t xml:space="preserve">The Company maintains its cash in bank deposit accounts which, at September 30, </w:t>
      </w:r>
      <w:r>
        <w:rPr>
          <w:sz w:val="20"/>
          <w:szCs w:val="20"/>
        </w:rPr>
        <w:t>2014 did not exceed federally insured limits. The Company has not experienced any losses in such accounts and believes that it is not exposed to any significant credit risk on such amounts.</w:t>
      </w:r>
    </w:p>
    <w:p w:rsidR="00000000" w:rsidRDefault="003B7527">
      <w:pPr>
        <w:pStyle w:val="NormalWeb"/>
      </w:pPr>
      <w:r>
        <w:rPr>
          <w:i/>
          <w:iCs/>
          <w:sz w:val="20"/>
          <w:szCs w:val="20"/>
        </w:rPr>
        <w:t>Estimates:</w:t>
      </w:r>
    </w:p>
    <w:p w:rsidR="00000000" w:rsidRDefault="003B7527">
      <w:pPr>
        <w:pStyle w:val="NormalWeb"/>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w:t>
      </w:r>
      <w:r>
        <w:rPr>
          <w:sz w:val="20"/>
          <w:szCs w:val="20"/>
        </w:rPr>
        <w:t>abilities at the date of the financial statements, as well as the reported amounts of revenue and expenses during the reported period. Actual results could differ from those estimates.</w:t>
      </w:r>
    </w:p>
    <w:p w:rsidR="00000000" w:rsidRDefault="003B7527">
      <w:pPr>
        <w:pStyle w:val="NormalWeb"/>
      </w:pPr>
      <w:r>
        <w:rPr>
          <w:i/>
          <w:iCs/>
          <w:sz w:val="20"/>
          <w:szCs w:val="20"/>
        </w:rPr>
        <w:t>Concentrations of Credit Risk</w:t>
      </w:r>
      <w:r>
        <w:rPr>
          <w:sz w:val="20"/>
          <w:szCs w:val="20"/>
        </w:rPr>
        <w:t>:</w:t>
      </w:r>
    </w:p>
    <w:p w:rsidR="00000000" w:rsidRDefault="003B7527">
      <w:pPr>
        <w:pStyle w:val="NormalWeb"/>
      </w:pPr>
      <w:r>
        <w:rPr>
          <w:sz w:val="20"/>
          <w:szCs w:val="20"/>
        </w:rPr>
        <w:t>Financial instruments that potentially</w:t>
      </w:r>
      <w:r>
        <w:rPr>
          <w:sz w:val="20"/>
          <w:szCs w:val="20"/>
        </w:rPr>
        <w:t xml:space="preserve"> subject the Company to major credit risk consist principally of a single subsidiary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and its customer concentration.</w:t>
      </w:r>
    </w:p>
    <w:p w:rsidR="00000000" w:rsidRDefault="003B7527">
      <w:pPr>
        <w:pStyle w:val="NormalWeb"/>
      </w:pPr>
      <w:r>
        <w:rPr>
          <w:i/>
          <w:iCs/>
          <w:sz w:val="20"/>
          <w:szCs w:val="20"/>
        </w:rPr>
        <w:t>Recently Issued Accounting Standards</w:t>
      </w:r>
    </w:p>
    <w:p w:rsidR="00000000" w:rsidRDefault="003B7527">
      <w:pPr>
        <w:pStyle w:val="NormalWeb"/>
      </w:pPr>
      <w:r>
        <w:rPr>
          <w:sz w:val="20"/>
          <w:szCs w:val="20"/>
        </w:rPr>
        <w:t xml:space="preserve">In February 2006, the FASB issued SFAS No. 155, "Accounting for Certain </w:t>
      </w:r>
      <w:r>
        <w:rPr>
          <w:sz w:val="20"/>
          <w:szCs w:val="20"/>
        </w:rPr>
        <w:t>Hybrid Financial Instruments" an Amendment of FASB Statements No. 133 and 140 ("SFAS No. 155"). The purpose of SFAS No. 155 is to simplify the accounting for certain hybrid financial instruments by permitting fair value re-measurement for any hybrid financ</w:t>
      </w:r>
      <w:r>
        <w:rPr>
          <w:sz w:val="20"/>
          <w:szCs w:val="20"/>
        </w:rPr>
        <w:t>ial instrument that contains an embedded derivative that otherwise would require bifurcation. SFAS No. 155 was effective for all financial instruments acquired or issued after the beginning of an entity's first fiscal year that begins after September 15, 2</w:t>
      </w:r>
      <w:r>
        <w:rPr>
          <w:sz w:val="20"/>
          <w:szCs w:val="20"/>
        </w:rPr>
        <w:t>006. The Company believes the adoption of SFAS No. 155 had no material impact on its cash flows, results of operations, financial position or liquidity.</w:t>
      </w:r>
    </w:p>
    <w:p w:rsidR="00000000" w:rsidRDefault="003B7527">
      <w:pPr>
        <w:pStyle w:val="NormalWeb"/>
      </w:pPr>
      <w:r>
        <w:rPr>
          <w:sz w:val="20"/>
          <w:szCs w:val="20"/>
        </w:rPr>
        <w:t>In March 2006, the FASB issued SFAS No. 156, "Accounting for Servicing of Financial Assets—an Amendmen</w:t>
      </w:r>
      <w:r>
        <w:rPr>
          <w:sz w:val="20"/>
          <w:szCs w:val="20"/>
        </w:rPr>
        <w:t>t of FASB Statement No. 140" ("SFAS No. 156"). SFAS No. 156 requires recognition of a servicing asset or a servicing liability each time an entity undertakes an obligation to service a financial asset by entering into a servicing contract. SFAS No. 156 als</w:t>
      </w:r>
      <w:r>
        <w:rPr>
          <w:sz w:val="20"/>
          <w:szCs w:val="20"/>
        </w:rPr>
        <w:t>o requires that all separately recognized servicing assets and servicing liabilities be initially measured at fair value and subsequently measured at fair value at each reporting date. SFAS No. 156 was effective as of the beginning of any entity's first fi</w:t>
      </w:r>
      <w:r>
        <w:rPr>
          <w:sz w:val="20"/>
          <w:szCs w:val="20"/>
        </w:rPr>
        <w:t>scal year that begins after September 15, 2006. The Company believes that the adoption of SFAS No. 156 had no material impact on its cash flows, results of operations, financial position or liquidity.</w:t>
      </w:r>
    </w:p>
    <w:p w:rsidR="00000000" w:rsidRDefault="003B7527">
      <w:pPr>
        <w:pStyle w:val="NormalWeb"/>
        <w:spacing w:after="240" w:afterAutospacing="0"/>
      </w:pPr>
      <w:r>
        <w:rPr>
          <w:sz w:val="20"/>
          <w:szCs w:val="20"/>
        </w:rPr>
        <w:t xml:space="preserve">In June 2006, FASB issued FIN No. 48, "Accounting for </w:t>
      </w:r>
      <w:r>
        <w:rPr>
          <w:sz w:val="20"/>
          <w:szCs w:val="20"/>
        </w:rPr>
        <w:t>Uncertainty Taxes". The interpretation applies to all tax positions related to income taxes subject to FASB Statement No. 109, "Accounting for Income Taxes". FIN No. 48 clarifies the accounting for uncertainty in income taxes by prescribing a minimum recog</w:t>
      </w:r>
      <w:r>
        <w:rPr>
          <w:sz w:val="20"/>
          <w:szCs w:val="20"/>
        </w:rPr>
        <w:t>nition threshold in determining if a tax position should be reflected in the financial statements. Only tax positions that meet the "more likely than not" recognition threshold may be recognized. The interpretation also provides guidance on classification,</w:t>
      </w:r>
      <w:r>
        <w:rPr>
          <w:sz w:val="20"/>
          <w:szCs w:val="20"/>
        </w:rPr>
        <w:t xml:space="preserve"> interest and penalties, accounting in interim periods, disclosure, and transition requirements for uncertain tax positions. FIN No. 48 was effective for the Company’s fiscal year ending June 30, 2007. The Company believes that there were no material tax p</w:t>
      </w:r>
      <w:r>
        <w:rPr>
          <w:sz w:val="20"/>
          <w:szCs w:val="20"/>
        </w:rPr>
        <w:t>ositions that resulted in a material impact upon implementation of FIN No. 48.</w:t>
      </w:r>
      <w:r>
        <w:rPr>
          <w:sz w:val="20"/>
          <w:szCs w:val="20"/>
        </w:rPr>
        <w:br/>
      </w:r>
      <w:r>
        <w:rPr>
          <w:sz w:val="20"/>
          <w:szCs w:val="20"/>
        </w:rPr>
        <w:br/>
        <w:t xml:space="preserve">In September 2006, the FASB issued SFAS No. 157, "Fair Value Measurements". This standard establishes a single authoritative definition of fair </w:t>
      </w:r>
      <w:proofErr w:type="gramStart"/>
      <w:r>
        <w:rPr>
          <w:sz w:val="20"/>
          <w:szCs w:val="20"/>
        </w:rPr>
        <w:t>value,</w:t>
      </w:r>
      <w:proofErr w:type="gramEnd"/>
      <w:r>
        <w:rPr>
          <w:sz w:val="20"/>
          <w:szCs w:val="20"/>
        </w:rPr>
        <w:t xml:space="preserve"> sets out a framework for </w:t>
      </w:r>
      <w:r>
        <w:rPr>
          <w:sz w:val="20"/>
          <w:szCs w:val="20"/>
        </w:rPr>
        <w:t>measuring fair value and expands disclosures about fair value measurements. SFAS No. 157 applies to fair value measurements already required or permitted by existing standards. SFAS No. 157 will be effective for the Company's fiscal year ending June 30, 20</w:t>
      </w:r>
      <w:r>
        <w:rPr>
          <w:sz w:val="20"/>
          <w:szCs w:val="20"/>
        </w:rPr>
        <w:t>09. The Company is currently evaluating the requirements of SFAS No. 157 and has not yet determined the impact on its financial condition and results of operations.</w:t>
      </w:r>
    </w:p>
    <w:p w:rsidR="00000000" w:rsidRDefault="003B7527">
      <w:pPr>
        <w:pStyle w:val="NormalWeb"/>
      </w:pPr>
      <w:r>
        <w:rPr>
          <w:sz w:val="20"/>
          <w:szCs w:val="20"/>
        </w:rPr>
        <w:t>In September 2006, the FASB issued SFAS No. 158, "Employers" Accounting for Defined Benef</w:t>
      </w:r>
      <w:r>
        <w:rPr>
          <w:sz w:val="20"/>
          <w:szCs w:val="20"/>
        </w:rPr>
        <w:t>it Pension and other Postretirement Plans - an amendment of FASB Statement No. 87, 88, 106 and 132R. This pronouncement requires an employer to make certain recognitions, measurements, and disclosures regarding defined benefit postretirement plans. The Com</w:t>
      </w:r>
      <w:r>
        <w:rPr>
          <w:sz w:val="20"/>
          <w:szCs w:val="20"/>
        </w:rPr>
        <w:t>pany does not have any defined benefit postretirement plans and SFAS No. 158 will not have any impact on its financial condition and results of operations.</w:t>
      </w:r>
    </w:p>
    <w:p w:rsidR="00000000" w:rsidRDefault="003B7527">
      <w:pPr>
        <w:pStyle w:val="NormalWeb"/>
      </w:pPr>
      <w:r>
        <w:rPr>
          <w:sz w:val="20"/>
          <w:szCs w:val="20"/>
        </w:rPr>
        <w:t xml:space="preserve">In September 2006, the Securities and Exchange Commission issued Staff Accounting Bulletin No. 108 </w:t>
      </w:r>
      <w:r>
        <w:rPr>
          <w:sz w:val="20"/>
          <w:szCs w:val="20"/>
        </w:rPr>
        <w:t>"Considering the Effects of Prior Year Misstatements in Current Year Financial Statements" ("SAB 108"). SAB 108 provides guidance on consideration of the effects of prior year misstatements in quantifying current year misstatements for the purpose of a mat</w:t>
      </w:r>
      <w:r>
        <w:rPr>
          <w:sz w:val="20"/>
          <w:szCs w:val="20"/>
        </w:rPr>
        <w:t>eriality assessment. SAB 108 is effective for fiscal years ending after November 15, 2006. The adoption of SAB 108 did not have an impact on the Company's consolidated financial statements.</w:t>
      </w:r>
    </w:p>
    <w:p w:rsidR="00000000" w:rsidRDefault="003B7527">
      <w:pPr>
        <w:pStyle w:val="NormalWeb"/>
      </w:pPr>
      <w:hyperlink w:anchor="toc" w:history="1">
        <w:r>
          <w:rPr>
            <w:rStyle w:val="Hyperlink"/>
            <w:b/>
            <w:bCs/>
            <w:sz w:val="20"/>
            <w:szCs w:val="20"/>
          </w:rPr>
          <w:t>Return to Table of Contents</w:t>
        </w:r>
      </w:hyperlink>
    </w:p>
    <w:p w:rsidR="000452C7" w:rsidRDefault="00C27026">
      <w:pPr>
        <w:rPr>
          <w:rFonts w:eastAsia="Times New Roman"/>
        </w:rPr>
      </w:pPr>
      <w:r>
        <w:rPr>
          <w:rFonts w:eastAsia="Times New Roman"/>
        </w:rPr>
        <w:pict>
          <v:rect id="_x0000_i1058" style="width:0;height:3pt" o:hralign="center" o:hrstd="t" o:hrnoshade="t" o:hr="t" fillcolor="black" stroked="f"/>
        </w:pict>
      </w:r>
    </w:p>
    <w:p w:rsidR="000452C7" w:rsidRDefault="000452C7">
      <w:pPr>
        <w:rPr>
          <w:rFonts w:eastAsia="Times New Roman"/>
        </w:rPr>
      </w:pPr>
      <w:r>
        <w:rPr>
          <w:rFonts w:eastAsia="Times New Roman"/>
        </w:rPr>
        <w:br w:type="page"/>
      </w:r>
    </w:p>
    <w:p w:rsidR="00000000" w:rsidRDefault="003B7527">
      <w:pPr>
        <w:pStyle w:val="NormalWeb"/>
      </w:pPr>
      <w:r>
        <w:rPr>
          <w:sz w:val="20"/>
          <w:szCs w:val="20"/>
        </w:rPr>
        <w:lastRenderedPageBreak/>
        <w:t>In February 2007, the FASB issued SFAS No 159, "</w:t>
      </w:r>
      <w:r>
        <w:rPr>
          <w:sz w:val="20"/>
          <w:szCs w:val="20"/>
        </w:rPr>
        <w:t>The Fair Value Option for Financial Assets and Financial Liabilities" ("SFAS 159") which permits entities to choose to measure many financial instruments and certain other items at fair value that are not currently required to be measured at fair value. SF</w:t>
      </w:r>
      <w:r>
        <w:rPr>
          <w:sz w:val="20"/>
          <w:szCs w:val="20"/>
        </w:rPr>
        <w:t>AS 159 was effective for us on July 1, 2008. The adoption of SFAS 159 did not have an impact on the Company's consolidated financial statements.</w:t>
      </w:r>
    </w:p>
    <w:p w:rsidR="00000000" w:rsidRDefault="003B7527">
      <w:pPr>
        <w:pStyle w:val="NormalWeb"/>
      </w:pPr>
      <w:r>
        <w:rPr>
          <w:sz w:val="20"/>
          <w:szCs w:val="20"/>
        </w:rPr>
        <w:t xml:space="preserve">In October 2008, the FASB issued FSP FAS 157-3, </w:t>
      </w:r>
      <w:proofErr w:type="gramStart"/>
      <w:r>
        <w:rPr>
          <w:sz w:val="20"/>
          <w:szCs w:val="20"/>
        </w:rPr>
        <w:t>Determining</w:t>
      </w:r>
      <w:proofErr w:type="gramEnd"/>
      <w:r>
        <w:rPr>
          <w:sz w:val="20"/>
          <w:szCs w:val="20"/>
        </w:rPr>
        <w:t xml:space="preserve"> the Fair Value of a Financial Asset When the Marke</w:t>
      </w:r>
      <w:r>
        <w:rPr>
          <w:sz w:val="20"/>
          <w:szCs w:val="20"/>
        </w:rPr>
        <w:t>t for That Asset Is Not Active. FSP FAS 157-3 clarifies the application of FASB statement No. 157, Fair Value Measurements, in a market that is not active and provides an example to illustrate key considerations in determining the fair value of a financial</w:t>
      </w:r>
      <w:r>
        <w:rPr>
          <w:sz w:val="20"/>
          <w:szCs w:val="20"/>
        </w:rPr>
        <w:t xml:space="preserve"> asset when the market for that financial asset is not active. This FSP could be applicable to us but the Company currently has no financial assets of this type.</w:t>
      </w:r>
    </w:p>
    <w:p w:rsidR="00000000" w:rsidRDefault="003B7527">
      <w:pPr>
        <w:pStyle w:val="NormalWeb"/>
      </w:pPr>
      <w:r>
        <w:rPr>
          <w:sz w:val="20"/>
          <w:szCs w:val="20"/>
        </w:rPr>
        <w:t>In May 2009, the FASB issued SFAS No. 165, "Subsequent Events" ("FAS 165"), which provides gu</w:t>
      </w:r>
      <w:r>
        <w:rPr>
          <w:sz w:val="20"/>
          <w:szCs w:val="20"/>
        </w:rPr>
        <w:t xml:space="preserve">idance to establish general standards of accounting for and disclosures of events that occur after the balance sheet date but before financial statements are issued or are available to be issued. </w:t>
      </w:r>
      <w:proofErr w:type="gramStart"/>
      <w:r>
        <w:rPr>
          <w:sz w:val="20"/>
          <w:szCs w:val="20"/>
        </w:rPr>
        <w:t>FAS 165 also requires</w:t>
      </w:r>
      <w:proofErr w:type="gramEnd"/>
      <w:r>
        <w:rPr>
          <w:sz w:val="20"/>
          <w:szCs w:val="20"/>
        </w:rPr>
        <w:t xml:space="preserve"> entities to disclose the date through </w:t>
      </w:r>
      <w:r>
        <w:rPr>
          <w:sz w:val="20"/>
          <w:szCs w:val="20"/>
        </w:rPr>
        <w:t>which subsequent events were evaluated as well as the rationale for why that date was selected.</w:t>
      </w:r>
    </w:p>
    <w:p w:rsidR="00000000" w:rsidRDefault="003B7527">
      <w:pPr>
        <w:pStyle w:val="NormalWeb"/>
      </w:pPr>
      <w:r>
        <w:rPr>
          <w:sz w:val="20"/>
          <w:szCs w:val="20"/>
        </w:rPr>
        <w:t>This disclosure should alert all users of financial statements that an entity has not evaluated subsequent events after that date in the set of financial state</w:t>
      </w:r>
      <w:r>
        <w:rPr>
          <w:sz w:val="20"/>
          <w:szCs w:val="20"/>
        </w:rPr>
        <w:t>ments being presented. FAS 165 is effective for interim and annual periods ending after June 15, 2009 and will be effective for the Company beginning with its interim period ended June 30, 2009. Since FAS 165 at most requires additional disclosures, the Co</w:t>
      </w:r>
      <w:r>
        <w:rPr>
          <w:sz w:val="20"/>
          <w:szCs w:val="20"/>
        </w:rPr>
        <w:t>mpany does not expect the adoption to have a material impact on its consolidated financial position, results of operations or cash flows.</w:t>
      </w:r>
    </w:p>
    <w:p w:rsidR="00000000" w:rsidRDefault="003B7527">
      <w:pPr>
        <w:pStyle w:val="NormalWeb"/>
      </w:pPr>
      <w:r>
        <w:rPr>
          <w:sz w:val="20"/>
          <w:szCs w:val="20"/>
        </w:rPr>
        <w:t>In June 2009, the FASB approved the "FASB Accounting Standards Codification" (the "Codification") as the single sourc</w:t>
      </w:r>
      <w:r>
        <w:rPr>
          <w:sz w:val="20"/>
          <w:szCs w:val="20"/>
        </w:rPr>
        <w:t>e of authoritative nongovernmental U.S. GAAP to be launched on July 1, 2009. The Codification does not change current U.S. GAAP, but is intended to simplify user access to all authoritative U.S. GAAP by providing all the authoritative literature related to</w:t>
      </w:r>
      <w:r>
        <w:rPr>
          <w:sz w:val="20"/>
          <w:szCs w:val="20"/>
        </w:rPr>
        <w:t xml:space="preserve"> a particular topic in one place. All existing accounting standard documents will be superseded and all other accounting literature not included in the Codification will be considered </w:t>
      </w:r>
      <w:proofErr w:type="spellStart"/>
      <w:r>
        <w:rPr>
          <w:sz w:val="20"/>
          <w:szCs w:val="20"/>
        </w:rPr>
        <w:t>nonauthoritative</w:t>
      </w:r>
      <w:proofErr w:type="spellEnd"/>
      <w:r>
        <w:rPr>
          <w:sz w:val="20"/>
          <w:szCs w:val="20"/>
        </w:rPr>
        <w:t>. The Codification is effective for interim and annual p</w:t>
      </w:r>
      <w:r>
        <w:rPr>
          <w:sz w:val="20"/>
          <w:szCs w:val="20"/>
        </w:rPr>
        <w:t>eriods ending after September 15, 2009. The Codification is effective for the Company in the interim period ending September 30, 2014 and it does not expect the adoption to have a material impact on its consolidated financial position, results of operation</w:t>
      </w:r>
      <w:r>
        <w:rPr>
          <w:sz w:val="20"/>
          <w:szCs w:val="20"/>
        </w:rPr>
        <w:t>s or cash flows.</w:t>
      </w:r>
    </w:p>
    <w:p w:rsidR="00000000" w:rsidRDefault="003B7527">
      <w:pPr>
        <w:pStyle w:val="NormalWeb"/>
      </w:pPr>
      <w:r>
        <w:rPr>
          <w:b/>
          <w:bCs/>
          <w:sz w:val="20"/>
          <w:szCs w:val="20"/>
        </w:rPr>
        <w:t>RESULTS OF OPERATIONS FOR THE THREE MONTH PERIOD ENDING SEPTEMBER 30, 2014 COMPARED TO 2013</w:t>
      </w:r>
    </w:p>
    <w:p w:rsidR="00000000" w:rsidRDefault="003B7527">
      <w:pPr>
        <w:pStyle w:val="NormalWeb"/>
      </w:pPr>
      <w:r>
        <w:rPr>
          <w:i/>
          <w:iCs/>
          <w:sz w:val="20"/>
          <w:szCs w:val="20"/>
        </w:rPr>
        <w:t>Revenues:</w:t>
      </w:r>
      <w:r>
        <w:rPr>
          <w:sz w:val="20"/>
          <w:szCs w:val="20"/>
        </w:rPr>
        <w:t xml:space="preserve"> Revenues from operations for the three month period ending September 30, 2014 and September 30, 2013 were $9,914 and $6,982 </w:t>
      </w:r>
      <w:proofErr w:type="gramStart"/>
      <w:r>
        <w:rPr>
          <w:sz w:val="20"/>
          <w:szCs w:val="20"/>
        </w:rPr>
        <w:t>respectively</w:t>
      </w:r>
      <w:r>
        <w:rPr>
          <w:sz w:val="20"/>
          <w:szCs w:val="20"/>
        </w:rPr>
        <w:t xml:space="preserve"> .</w:t>
      </w:r>
      <w:proofErr w:type="gramEnd"/>
      <w:r>
        <w:rPr>
          <w:sz w:val="20"/>
          <w:szCs w:val="20"/>
        </w:rPr>
        <w:t xml:space="preserve"> They were attributable to operations of the Company's wholly owned subsidiary Anton Nielsen </w:t>
      </w:r>
      <w:proofErr w:type="spellStart"/>
      <w:r>
        <w:rPr>
          <w:sz w:val="20"/>
          <w:szCs w:val="20"/>
        </w:rPr>
        <w:t>Vojens</w:t>
      </w:r>
      <w:proofErr w:type="spellEnd"/>
      <w:r>
        <w:rPr>
          <w:sz w:val="20"/>
          <w:szCs w:val="20"/>
        </w:rPr>
        <w:t>. The fluctuation was due to additional commission revenue earned during the period.</w:t>
      </w:r>
    </w:p>
    <w:p w:rsidR="00000000" w:rsidRDefault="003B7527">
      <w:pPr>
        <w:pStyle w:val="NormalWeb"/>
      </w:pPr>
      <w:r>
        <w:rPr>
          <w:i/>
          <w:iCs/>
          <w:sz w:val="20"/>
          <w:szCs w:val="20"/>
        </w:rPr>
        <w:t xml:space="preserve">Selling, general and administrative expenses: </w:t>
      </w:r>
      <w:r>
        <w:rPr>
          <w:sz w:val="20"/>
          <w:szCs w:val="20"/>
        </w:rPr>
        <w:t>SG&amp;A expenses for the t</w:t>
      </w:r>
      <w:r>
        <w:rPr>
          <w:sz w:val="20"/>
          <w:szCs w:val="20"/>
        </w:rPr>
        <w:t>hree month period ending September 30, 2014 and September 30, 2013 were $3,661 and $4,513 respectively. The expenses are attributable to ANV's operations.</w:t>
      </w:r>
    </w:p>
    <w:p w:rsidR="00000000" w:rsidRDefault="003B7527">
      <w:pPr>
        <w:pStyle w:val="NormalWeb"/>
      </w:pPr>
      <w:r>
        <w:rPr>
          <w:i/>
          <w:iCs/>
          <w:sz w:val="20"/>
          <w:szCs w:val="20"/>
        </w:rPr>
        <w:t xml:space="preserve">Interest expense: </w:t>
      </w:r>
      <w:r>
        <w:rPr>
          <w:sz w:val="20"/>
          <w:szCs w:val="20"/>
        </w:rPr>
        <w:t>Interest expense for the three month period ending September 30, 2014 and Septembe</w:t>
      </w:r>
      <w:r>
        <w:rPr>
          <w:sz w:val="20"/>
          <w:szCs w:val="20"/>
        </w:rPr>
        <w:t xml:space="preserve">r 30, 2013 was $2,986 and $973 respectively. Interest expenses for 2014 are </w:t>
      </w:r>
      <w:proofErr w:type="spellStart"/>
      <w:r>
        <w:rPr>
          <w:sz w:val="20"/>
          <w:szCs w:val="20"/>
        </w:rPr>
        <w:t>higer</w:t>
      </w:r>
      <w:proofErr w:type="spellEnd"/>
      <w:r>
        <w:rPr>
          <w:sz w:val="20"/>
          <w:szCs w:val="20"/>
        </w:rPr>
        <w:t xml:space="preserve"> due to the additional debt of the Company's subsidiary, ANV.</w:t>
      </w:r>
    </w:p>
    <w:p w:rsidR="00000000" w:rsidRDefault="003B7527">
      <w:pPr>
        <w:pStyle w:val="NormalWeb"/>
      </w:pPr>
      <w:r>
        <w:rPr>
          <w:i/>
          <w:iCs/>
          <w:sz w:val="20"/>
          <w:szCs w:val="20"/>
        </w:rPr>
        <w:t xml:space="preserve">Net income (loss) attributed to common stockholders: </w:t>
      </w:r>
      <w:r>
        <w:rPr>
          <w:sz w:val="20"/>
          <w:szCs w:val="20"/>
        </w:rPr>
        <w:t>Net income(loss) for the three month period ending Septembe</w:t>
      </w:r>
      <w:r>
        <w:rPr>
          <w:sz w:val="20"/>
          <w:szCs w:val="20"/>
        </w:rPr>
        <w:t>r 30, 2014 and September 30, 2013 attributed to common stockholders was $3,267 or $0.000 and ($3,676) or ($0.0001) per share respectively.</w:t>
      </w:r>
    </w:p>
    <w:p w:rsidR="00000000" w:rsidRDefault="003B7527">
      <w:pPr>
        <w:pStyle w:val="NormalWeb"/>
      </w:pPr>
      <w:r>
        <w:rPr>
          <w:i/>
          <w:iCs/>
          <w:sz w:val="20"/>
          <w:szCs w:val="20"/>
        </w:rPr>
        <w:t xml:space="preserve">Liquidity and capital resources: </w:t>
      </w:r>
      <w:r>
        <w:rPr>
          <w:sz w:val="20"/>
          <w:szCs w:val="20"/>
        </w:rPr>
        <w:t>As September 30, 2013 the Company had $94,900 in cash and cash equivalents and a wo</w:t>
      </w:r>
      <w:r>
        <w:rPr>
          <w:sz w:val="20"/>
          <w:szCs w:val="20"/>
        </w:rPr>
        <w:t>rking capital of $211,237 as compared to September 30, 2013 the Company had $0 in cash and cash equivalents and a working capital of $269,216. The decrease in the working capital is primarily related operations of ANV real estate operations, tax settlement</w:t>
      </w:r>
      <w:r>
        <w:rPr>
          <w:sz w:val="20"/>
          <w:szCs w:val="20"/>
        </w:rPr>
        <w:t xml:space="preserve">, and foreign currency </w:t>
      </w:r>
      <w:proofErr w:type="spellStart"/>
      <w:r>
        <w:rPr>
          <w:sz w:val="20"/>
          <w:szCs w:val="20"/>
        </w:rPr>
        <w:t>adjustmnets</w:t>
      </w:r>
      <w:proofErr w:type="spellEnd"/>
      <w:r>
        <w:rPr>
          <w:sz w:val="20"/>
          <w:szCs w:val="20"/>
        </w:rPr>
        <w:t xml:space="preserve"> of the US Dollar.</w:t>
      </w:r>
    </w:p>
    <w:p w:rsidR="00000000" w:rsidRDefault="003B7527">
      <w:pPr>
        <w:pStyle w:val="NormalWeb"/>
      </w:pPr>
      <w:r>
        <w:rPr>
          <w:sz w:val="20"/>
          <w:szCs w:val="20"/>
        </w:rPr>
        <w:t>Net cash provided (used) by operating activities for three month period ending September 30, 2014 was $37 compared to September 30, 2013 was ($13,515). The net cash used by operating activities was prim</w:t>
      </w:r>
      <w:r>
        <w:rPr>
          <w:sz w:val="20"/>
          <w:szCs w:val="20"/>
        </w:rPr>
        <w:t>arily due to the operations of ANV.</w:t>
      </w:r>
    </w:p>
    <w:p w:rsidR="00000000" w:rsidRDefault="003B7527">
      <w:pPr>
        <w:pStyle w:val="NormalWeb"/>
      </w:pPr>
      <w:r>
        <w:rPr>
          <w:b/>
          <w:bCs/>
          <w:sz w:val="20"/>
          <w:szCs w:val="20"/>
        </w:rPr>
        <w:t>OFF BALANCE SHEET ARRANGEMENTS</w:t>
      </w:r>
    </w:p>
    <w:p w:rsidR="00000000" w:rsidRDefault="003B7527">
      <w:pPr>
        <w:pStyle w:val="NormalWeb"/>
      </w:pPr>
      <w:r>
        <w:rPr>
          <w:sz w:val="20"/>
          <w:szCs w:val="20"/>
        </w:rPr>
        <w:t>We do not currently have any off balance sheet arrangements.</w:t>
      </w:r>
    </w:p>
    <w:p w:rsidR="00000000" w:rsidRDefault="003B7527">
      <w:pPr>
        <w:pStyle w:val="NormalWeb"/>
      </w:pPr>
      <w:r>
        <w:rPr>
          <w:b/>
          <w:bCs/>
          <w:sz w:val="20"/>
          <w:szCs w:val="20"/>
        </w:rPr>
        <w:t>ACQUISITION EFFORTS:</w:t>
      </w:r>
    </w:p>
    <w:p w:rsidR="00000000" w:rsidRDefault="003B7527">
      <w:pPr>
        <w:pStyle w:val="NormalWeb"/>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w:t>
      </w:r>
      <w:r>
        <w:rPr>
          <w:sz w:val="20"/>
          <w:szCs w:val="20"/>
        </w:rPr>
        <w:t>n in discussion with Companies looking to be acquired. AOXY has not negotiated any terms nor proposed any acquisitions of any of these companies that have been accepted. In addition, the Company is in discussion with potential lending institutions to assis</w:t>
      </w:r>
      <w:r>
        <w:rPr>
          <w:sz w:val="20"/>
          <w:szCs w:val="20"/>
        </w:rPr>
        <w:t xml:space="preserve">t in financing any proposed acquisition. </w:t>
      </w:r>
      <w:r>
        <w:rPr>
          <w:sz w:val="20"/>
          <w:szCs w:val="20"/>
        </w:rPr>
        <w:lastRenderedPageBreak/>
        <w:t>The Company expects difficulty in financing the growth of the increased business or acquisition and has been concentrating on raising capital and/or obtaining a line of credit.</w:t>
      </w:r>
    </w:p>
    <w:p w:rsidR="00000000" w:rsidRDefault="003B7527">
      <w:pPr>
        <w:pStyle w:val="NormalWeb"/>
      </w:pPr>
      <w:r>
        <w:rPr>
          <w:b/>
          <w:bCs/>
          <w:sz w:val="20"/>
          <w:szCs w:val="20"/>
        </w:rPr>
        <w:t>HISTORICAL OPERATIONS:</w:t>
      </w:r>
    </w:p>
    <w:p w:rsidR="00000000" w:rsidRDefault="003B7527">
      <w:pPr>
        <w:pStyle w:val="NormalWeb"/>
      </w:pPr>
      <w:hyperlink w:anchor="toc" w:history="1">
        <w:r>
          <w:rPr>
            <w:rStyle w:val="Hyperlink"/>
            <w:b/>
            <w:bCs/>
            <w:sz w:val="20"/>
            <w:szCs w:val="20"/>
          </w:rPr>
          <w:t>Return to Table of Contents</w:t>
        </w:r>
      </w:hyperlink>
    </w:p>
    <w:p w:rsidR="00000000" w:rsidRDefault="00C27026">
      <w:pPr>
        <w:rPr>
          <w:rFonts w:eastAsia="Times New Roman"/>
        </w:rPr>
      </w:pPr>
      <w:r>
        <w:rPr>
          <w:rFonts w:eastAsia="Times New Roman"/>
        </w:rPr>
        <w:pict>
          <v:rect id="_x0000_i1059" style="width:0;height:3pt" o:hralign="center" o:hrstd="t" o:hrnoshade="t" o:hr="t" fillcolor="black" stroked="f"/>
        </w:pict>
      </w:r>
    </w:p>
    <w:p w:rsidR="00000000" w:rsidRDefault="003B7527">
      <w:pPr>
        <w:pStyle w:val="NormalWeb"/>
      </w:pPr>
      <w:r>
        <w:rPr>
          <w:sz w:val="20"/>
          <w:szCs w:val="20"/>
        </w:rPr>
        <w:br/>
        <w:t>On March 9, 1998, pursuant to an Agreement for Purchase and Sale of Specified Business Assets ("Purchase Agreem</w:t>
      </w:r>
      <w:r>
        <w:rPr>
          <w:sz w:val="20"/>
          <w:szCs w:val="20"/>
        </w:rPr>
        <w:t>ent"), a Promissory Note ("Note")</w:t>
      </w:r>
      <w:proofErr w:type="gramStart"/>
      <w:r>
        <w:rPr>
          <w:sz w:val="20"/>
          <w:szCs w:val="20"/>
        </w:rPr>
        <w:t>,and</w:t>
      </w:r>
      <w:proofErr w:type="gramEnd"/>
      <w:r>
        <w:rPr>
          <w:sz w:val="20"/>
          <w:szCs w:val="20"/>
        </w:rPr>
        <w:t xml:space="preserve"> a Security Agreement ("Security Agreement") all dated March 9, 1998, Advanced Oxygen Technologies, Inc. (the "Company") purchased certain tangible and intangible assets (the "Assets") including goodwill and rights unde</w:t>
      </w:r>
      <w:r>
        <w:rPr>
          <w:sz w:val="20"/>
          <w:szCs w:val="20"/>
        </w:rPr>
        <w:t>r certain contracts, from Integrated Marketing Agency, Inc., a California Corporation ("IMA").</w:t>
      </w:r>
    </w:p>
    <w:p w:rsidR="00000000" w:rsidRDefault="003B7527">
      <w:pPr>
        <w:pStyle w:val="NormalWeb"/>
      </w:pPr>
      <w:r>
        <w:rPr>
          <w:sz w:val="20"/>
          <w:szCs w:val="20"/>
        </w:rPr>
        <w:t xml:space="preserve">Pursuant to an employment agreement dated March 09, 1998 between the Company and John </w:t>
      </w:r>
      <w:proofErr w:type="spellStart"/>
      <w:r>
        <w:rPr>
          <w:sz w:val="20"/>
          <w:szCs w:val="20"/>
        </w:rPr>
        <w:t>Teuber</w:t>
      </w:r>
      <w:proofErr w:type="spellEnd"/>
      <w:r>
        <w:rPr>
          <w:sz w:val="20"/>
          <w:szCs w:val="20"/>
        </w:rPr>
        <w:t xml:space="preserve"> ("Employment Agreement"), on September 04, 1998 the Company terminat</w:t>
      </w:r>
      <w:r>
        <w:rPr>
          <w:sz w:val="20"/>
          <w:szCs w:val="20"/>
        </w:rPr>
        <w:t xml:space="preserve">ed John </w:t>
      </w:r>
      <w:proofErr w:type="spellStart"/>
      <w:r>
        <w:rPr>
          <w:sz w:val="20"/>
          <w:szCs w:val="20"/>
        </w:rPr>
        <w:t>Teuber</w:t>
      </w:r>
      <w:proofErr w:type="spellEnd"/>
      <w:r>
        <w:rPr>
          <w:sz w:val="20"/>
          <w:szCs w:val="20"/>
        </w:rPr>
        <w:t xml:space="preserve"> for cause without relinquishing any of its rights or remedies. </w:t>
      </w:r>
    </w:p>
    <w:p w:rsidR="00000000" w:rsidRDefault="003B7527">
      <w:pPr>
        <w:pStyle w:val="NormalWeb"/>
      </w:pPr>
      <w:r>
        <w:rPr>
          <w:sz w:val="20"/>
          <w:szCs w:val="20"/>
        </w:rPr>
        <w:t>Pursuant to the Note, the Purchase Agreement, and the Security Agreement between the Company and ("IMA"), the Company on September 04, 1998 exercised its right of "Set Off" of t</w:t>
      </w:r>
      <w:r>
        <w:rPr>
          <w:sz w:val="20"/>
          <w:szCs w:val="20"/>
        </w:rPr>
        <w:t>he Note, as defined therein due to IMA's breach of numerous representations, warranties and covenants contained in the Note and certain ancillary documents. The Company further reserved any and all rights and remedies available to it under the Note, Purcha</w:t>
      </w:r>
      <w:r>
        <w:rPr>
          <w:sz w:val="20"/>
          <w:szCs w:val="20"/>
        </w:rPr>
        <w:t xml:space="preserve">se Agreement and Security Agreement. </w:t>
      </w:r>
    </w:p>
    <w:p w:rsidR="00000000" w:rsidRDefault="003B7527">
      <w:pPr>
        <w:pStyle w:val="NormalWeb"/>
      </w:pPr>
      <w:r>
        <w:rPr>
          <w:sz w:val="20"/>
          <w:szCs w:val="20"/>
        </w:rPr>
        <w:t>The Company entered into a two year employment agreement ("NAG Agreement" as contained in Exhibit I of the registrants SEC Form 10-K for the period ending June 30, 1998) with Nancy Gaylord on March 13, 1998. On Septemb</w:t>
      </w:r>
      <w:r>
        <w:rPr>
          <w:sz w:val="20"/>
          <w:szCs w:val="20"/>
        </w:rPr>
        <w:t>er 18, 1998, Nancy Gaylord terminated her employment with the Company. The NAG Agreement had no provision for this termination. The Company entered into a lease agreement as contained in Exhibit I of the registrants SEC Form 10-QSB for the period ending De</w:t>
      </w:r>
      <w:r>
        <w:rPr>
          <w:sz w:val="20"/>
          <w:szCs w:val="20"/>
        </w:rPr>
        <w:t>cember 31, 1998 with America-United Enterprises Inc. on October 01, 1998 and took possession of 4,700 sf. of premises on November 06</w:t>
      </w:r>
      <w:proofErr w:type="gramStart"/>
      <w:r>
        <w:rPr>
          <w:sz w:val="20"/>
          <w:szCs w:val="20"/>
        </w:rPr>
        <w:t>,1998</w:t>
      </w:r>
      <w:proofErr w:type="gramEnd"/>
      <w:r>
        <w:rPr>
          <w:sz w:val="20"/>
          <w:szCs w:val="20"/>
        </w:rPr>
        <w:t xml:space="preserve"> in Santa Clarita for its CA location. Currently, this is the only California location of the Company. </w:t>
      </w:r>
    </w:p>
    <w:p w:rsidR="00000000" w:rsidRDefault="003B7527">
      <w:pPr>
        <w:pStyle w:val="NormalWeb"/>
      </w:pPr>
      <w:r>
        <w:rPr>
          <w:sz w:val="20"/>
          <w:szCs w:val="20"/>
        </w:rPr>
        <w:t xml:space="preserve">On December 9, </w:t>
      </w:r>
      <w:r>
        <w:rPr>
          <w:sz w:val="20"/>
          <w:szCs w:val="20"/>
        </w:rPr>
        <w:t>1998 the company delivered to IMA, "Notification to Indemnifying Party and Demand for Indemnification for $2,251,266." Pursuant to the Note, the Purchase Agreement, the Security Agreement, and the Employment Agreement (collectively the "Agreements"), the C</w:t>
      </w:r>
      <w:r>
        <w:rPr>
          <w:sz w:val="20"/>
          <w:szCs w:val="20"/>
        </w:rPr>
        <w:t xml:space="preserve">ompany demanded that IMA pay $2,251,266 or defend the Company against the Liabilities (as defined therein) due to, among other things, IMA's breach, representations, warranties, and violation of the Agreements. </w:t>
      </w:r>
    </w:p>
    <w:p w:rsidR="00000000" w:rsidRDefault="003B7527">
      <w:pPr>
        <w:pStyle w:val="NormalWeb"/>
      </w:pPr>
      <w:r>
        <w:rPr>
          <w:sz w:val="20"/>
          <w:szCs w:val="20"/>
        </w:rPr>
        <w:t>On January 29, 1999, pursuant to the Purchas</w:t>
      </w:r>
      <w:r>
        <w:rPr>
          <w:sz w:val="20"/>
          <w:szCs w:val="20"/>
        </w:rPr>
        <w:t>e Agreement of 1/28/99, Advanced Oxygen Technologies, Inc. ("AOXY") purchased 1,670,000 shares of convertible preferred stock of Advanced Oxygen Technologies, Inc. ("STOCK") and a $550,000 promissory note issued by Advanced Oxygen Technologies, Inc. ("Note</w:t>
      </w:r>
      <w:r>
        <w:rPr>
          <w:sz w:val="20"/>
          <w:szCs w:val="20"/>
        </w:rPr>
        <w:t>") from Integrated Marketing Agency, Inc. ("IMA"). The terms of the Purchase Agreement were: AOXY paid $15,000 to IMA, assumed a Citicorp Computer Equipment Lease, #010-0031648-001 from IMA, delivered to IMA certain tangible business property (as listed in</w:t>
      </w:r>
      <w:r>
        <w:rPr>
          <w:sz w:val="20"/>
          <w:szCs w:val="20"/>
        </w:rPr>
        <w:t xml:space="preserve"> Exhibit A of the Purchase Agreement), executed a one year $5,000 promissory note with IMA, and delivered to IMA a Request For Dismissal of case #PS003684 (restraining order) filed in Los Angeles county superior court. IMA sold, transferred, and delivered </w:t>
      </w:r>
      <w:r>
        <w:rPr>
          <w:sz w:val="20"/>
          <w:szCs w:val="20"/>
        </w:rPr>
        <w:t>to AOXY the Stock and the Note. IMA sold, transferred, assigned and delivered the Note and the Stock to AOXY, executed documents with Citicorp Leasing, Inc. to effectuate an express assumption by AOXY of the obligation under lease #010-0031648-001 in the a</w:t>
      </w:r>
      <w:r>
        <w:rPr>
          <w:sz w:val="20"/>
          <w:szCs w:val="20"/>
        </w:rPr>
        <w:t xml:space="preserve">mount of $44,811.26, executed a UCC2 filing releasing UCC-1 filing #9807560696 filed by IMA on March 13, 1998, and delivered such documents as required. In addition, both IMA and AOXY provided mutual liability releases for the other. </w:t>
      </w:r>
    </w:p>
    <w:p w:rsidR="00000000" w:rsidRDefault="003B7527">
      <w:pPr>
        <w:pStyle w:val="NormalWeb"/>
      </w:pPr>
      <w:r>
        <w:rPr>
          <w:sz w:val="20"/>
          <w:szCs w:val="20"/>
        </w:rPr>
        <w:t>On April 18, 2000, no</w:t>
      </w:r>
      <w:r>
        <w:rPr>
          <w:sz w:val="20"/>
          <w:szCs w:val="20"/>
        </w:rPr>
        <w:t>tice was given that the Board of Directors and persons owning 64.7%, or 19,180,500 shares of common stock of Advanced Oxygen Technologies, Inc. have elected to adopt the following proposals: 1. To amend and restate the Company's Restated Articles of Incorp</w:t>
      </w:r>
      <w:r>
        <w:rPr>
          <w:sz w:val="20"/>
          <w:szCs w:val="20"/>
        </w:rPr>
        <w:t>oration to increase the Company's authorized Common Shares from 30,000,000 to 90,000,000 shares, 2. The Board of Directors has approved an amendment to the Company s Certificate of Incorporation to change the name of the Company to AOXY, Inc. The Company s</w:t>
      </w:r>
      <w:r>
        <w:rPr>
          <w:sz w:val="20"/>
          <w:szCs w:val="20"/>
        </w:rPr>
        <w:t xml:space="preserve"> current name was adopted in 1985 when the Company was focused on applications of its technology which it has since disposed of or otherwise abandoned. The Board of Directors believes it would be more appropriate for the Company to utilize a </w:t>
      </w:r>
    </w:p>
    <w:p w:rsidR="00000000" w:rsidRDefault="003B7527">
      <w:pPr>
        <w:pStyle w:val="NormalWeb"/>
      </w:pPr>
      <w:proofErr w:type="gramStart"/>
      <w:r>
        <w:rPr>
          <w:sz w:val="20"/>
          <w:szCs w:val="20"/>
        </w:rPr>
        <w:t>corporate</w:t>
      </w:r>
      <w:proofErr w:type="gramEnd"/>
      <w:r>
        <w:rPr>
          <w:sz w:val="20"/>
          <w:szCs w:val="20"/>
        </w:rPr>
        <w:t xml:space="preserve"> nam</w:t>
      </w:r>
      <w:r>
        <w:rPr>
          <w:sz w:val="20"/>
          <w:szCs w:val="20"/>
        </w:rPr>
        <w:t>e which more accurately describes the current focus of the Company or is not misleading as to the Company s operations. The above amendments to the Certificate of Incorporation will be filed with the Secretary of State of the State of Delaware, and the Nam</w:t>
      </w:r>
      <w:r>
        <w:rPr>
          <w:sz w:val="20"/>
          <w:szCs w:val="20"/>
        </w:rPr>
        <w:t>e Change will become effective as of 5:00 p.m. Eastern Time, on the date of such filing.</w:t>
      </w:r>
    </w:p>
    <w:p w:rsidR="00000000" w:rsidRDefault="003B7527">
      <w:pPr>
        <w:pStyle w:val="NormalWeb"/>
      </w:pPr>
      <w:r>
        <w:rPr>
          <w:sz w:val="20"/>
          <w:szCs w:val="20"/>
        </w:rPr>
        <w:t>On December 31, 2000, AOXY entered into an agreement with Eastern Star, ltd, and Baldwin Construction Co (the "Purchasers") whereby</w:t>
      </w:r>
      <w:proofErr w:type="gramStart"/>
      <w:r>
        <w:rPr>
          <w:sz w:val="20"/>
          <w:szCs w:val="20"/>
        </w:rPr>
        <w:t>  the</w:t>
      </w:r>
      <w:proofErr w:type="gramEnd"/>
      <w:r>
        <w:rPr>
          <w:sz w:val="20"/>
          <w:szCs w:val="20"/>
        </w:rPr>
        <w:t xml:space="preserve"> Purchasers will buy three mill</w:t>
      </w:r>
      <w:r>
        <w:rPr>
          <w:sz w:val="20"/>
          <w:szCs w:val="20"/>
        </w:rPr>
        <w:t>ion shares of capital stock of AOXY for one hundred and twenty five thousand dollars pursuant to a purchase agreement ("Purchase Agreement"). The Company has concluded the issuance and delivery of the shares pursuant to the Purchase Agreement. In addition,</w:t>
      </w:r>
      <w:r>
        <w:rPr>
          <w:sz w:val="20"/>
          <w:szCs w:val="20"/>
        </w:rPr>
        <w:t xml:space="preserve"> the Company received a request from Ann </w:t>
      </w:r>
      <w:proofErr w:type="spellStart"/>
      <w:r>
        <w:rPr>
          <w:sz w:val="20"/>
          <w:szCs w:val="20"/>
        </w:rPr>
        <w:t>Sejeroe</w:t>
      </w:r>
      <w:proofErr w:type="spellEnd"/>
      <w:r>
        <w:rPr>
          <w:sz w:val="20"/>
          <w:szCs w:val="20"/>
        </w:rPr>
        <w:t xml:space="preserve"> for a conversion of her 1 Preferred Share number P 0002 issued April 16, 1998, </w:t>
      </w:r>
      <w:r>
        <w:rPr>
          <w:sz w:val="20"/>
          <w:szCs w:val="20"/>
        </w:rPr>
        <w:lastRenderedPageBreak/>
        <w:t>and in accordance with the restrictions, terms and conditions, as evidenced on the reverse side of the share certificate, the Co</w:t>
      </w:r>
      <w:r>
        <w:rPr>
          <w:sz w:val="20"/>
          <w:szCs w:val="20"/>
        </w:rPr>
        <w:t>mpany issued 333,333 shares bearing a restrictive legend.</w:t>
      </w:r>
    </w:p>
    <w:p w:rsidR="00000000" w:rsidRDefault="003B7527">
      <w:pPr>
        <w:pStyle w:val="NormalWeb"/>
      </w:pPr>
      <w:hyperlink w:anchor="toc" w:history="1">
        <w:r>
          <w:rPr>
            <w:rStyle w:val="Hyperlink"/>
            <w:b/>
            <w:bCs/>
            <w:sz w:val="20"/>
            <w:szCs w:val="20"/>
          </w:rPr>
          <w:t>Return to Table of Contents</w:t>
        </w:r>
      </w:hyperlink>
    </w:p>
    <w:p w:rsidR="00000000" w:rsidRDefault="00C27026">
      <w:pPr>
        <w:rPr>
          <w:rFonts w:eastAsia="Times New Roman"/>
        </w:rPr>
      </w:pPr>
      <w:r>
        <w:rPr>
          <w:rFonts w:eastAsia="Times New Roman"/>
        </w:rPr>
        <w:pict>
          <v:rect id="_x0000_i1060" style="width:0;height:3pt" o:hralign="center" o:hrstd="t" o:hrnoshade="t" o:hr="t" fillcolor="black" stroked="f"/>
        </w:pict>
      </w:r>
    </w:p>
    <w:p w:rsidR="00000000" w:rsidRDefault="003B7527">
      <w:pPr>
        <w:pStyle w:val="NormalWeb"/>
      </w:pPr>
      <w:r>
        <w:rPr>
          <w:sz w:val="20"/>
          <w:szCs w:val="20"/>
        </w:rPr>
        <w:t xml:space="preserve">The Company had a location in Santa Clarita, CA for operations. In 2000 the Company had abandoned this facility </w:t>
      </w:r>
      <w:r>
        <w:rPr>
          <w:sz w:val="20"/>
          <w:szCs w:val="20"/>
        </w:rPr>
        <w:t>and equipment and maintained no staff other than the sole officer of the Company. Currently, the sole officer of the Company allows the Company to maintain its books, records and operations at its office.</w:t>
      </w:r>
    </w:p>
    <w:p w:rsidR="00000000" w:rsidRDefault="003B7527">
      <w:pPr>
        <w:pStyle w:val="NormalWeb"/>
      </w:pPr>
      <w:r>
        <w:rPr>
          <w:sz w:val="20"/>
          <w:szCs w:val="20"/>
        </w:rPr>
        <w:t>On February 14, 2002 the Company gave notice of the</w:t>
      </w:r>
      <w:r>
        <w:rPr>
          <w:sz w:val="20"/>
          <w:szCs w:val="20"/>
        </w:rPr>
        <w:t xml:space="preserve"> change of the Company's location, and location of books and records from Advanced Oxygen Technologies, Inc. 26883 </w:t>
      </w:r>
      <w:proofErr w:type="spellStart"/>
      <w:r>
        <w:rPr>
          <w:sz w:val="20"/>
          <w:szCs w:val="20"/>
        </w:rPr>
        <w:t>Ruether</w:t>
      </w:r>
      <w:proofErr w:type="spellEnd"/>
      <w:r>
        <w:rPr>
          <w:sz w:val="20"/>
          <w:szCs w:val="20"/>
        </w:rPr>
        <w:t xml:space="preserve"> Avenue, Santa Clarita, CA, 91351 ("CA Location") to Advanced Oxygen Technologies, Inc. c/o Crossfield, Inc. 133 W 13th Street, Suite </w:t>
      </w:r>
      <w:r>
        <w:rPr>
          <w:sz w:val="20"/>
          <w:szCs w:val="20"/>
        </w:rPr>
        <w:t>#5, New York, NY 10011, Telephone (212)-727-7085, Fax (208)-439-5488. This location is collocated with a related business of the president, Robert E. Wolfe.</w:t>
      </w:r>
    </w:p>
    <w:p w:rsidR="00000000" w:rsidRDefault="003B7527">
      <w:pPr>
        <w:pStyle w:val="NormalWeb"/>
        <w:spacing w:after="240" w:afterAutospacing="0"/>
      </w:pPr>
      <w:r>
        <w:rPr>
          <w:sz w:val="20"/>
          <w:szCs w:val="20"/>
        </w:rPr>
        <w:t>The Company maintained a database ("Database") of business contacts that have participated in confe</w:t>
      </w:r>
      <w:r>
        <w:rPr>
          <w:sz w:val="20"/>
          <w:szCs w:val="20"/>
        </w:rPr>
        <w:t xml:space="preserve">rence events. The Database was obtained through acquisition and the Company's activities of marketing events and producing CD-ROMS for clients. AOXY had a database management contract with Dun and Bradstreet, ("DB") and Walter Karl, Inc., a division of </w:t>
      </w:r>
      <w:proofErr w:type="spellStart"/>
      <w:r>
        <w:rPr>
          <w:sz w:val="20"/>
          <w:szCs w:val="20"/>
        </w:rPr>
        <w:t>Inf</w:t>
      </w:r>
      <w:r>
        <w:rPr>
          <w:sz w:val="20"/>
          <w:szCs w:val="20"/>
        </w:rPr>
        <w:t>oUSA</w:t>
      </w:r>
      <w:proofErr w:type="spellEnd"/>
      <w:r>
        <w:rPr>
          <w:sz w:val="20"/>
          <w:szCs w:val="20"/>
        </w:rPr>
        <w:t xml:space="preserve">, Inc. ("WK") whereby, Walter Karl, Inc. will broker the Company's Database. Walter Karl's function was to market and rent the data contained in the Database. This was available in one of two formats: on a one time basis, or a 'database' basis whereby </w:t>
      </w:r>
      <w:r>
        <w:rPr>
          <w:sz w:val="20"/>
          <w:szCs w:val="20"/>
        </w:rPr>
        <w:t>the customer will commit to a minimum number of contact names. The majority of the customers using the Database through WK were direct business to business marketers. WK received a fee for each sale. During the year ending June 30, 2002 Walter Karl was the</w:t>
      </w:r>
      <w:r>
        <w:rPr>
          <w:sz w:val="20"/>
          <w:szCs w:val="20"/>
        </w:rPr>
        <w:t xml:space="preserve"> Company s only source of revenue. During this period, Walter Karl was the Company s only customer. At the same time AOXY had an agreement with Dun and Bradstreet whereby DB would update, correct, append, and offer deletions to the Database. DB would evalu</w:t>
      </w:r>
      <w:r>
        <w:rPr>
          <w:sz w:val="20"/>
          <w:szCs w:val="20"/>
        </w:rPr>
        <w:t>ate the Database each time, and had the option to purchase contacts on a case by case as they saw fit, in which case AOXY would receive a fee. Correspondingly, should AOXY, rent, sell or otherwise profit from registered DB information, AOXY would pay a fee</w:t>
      </w:r>
      <w:r>
        <w:rPr>
          <w:sz w:val="20"/>
          <w:szCs w:val="20"/>
        </w:rPr>
        <w:t xml:space="preserve"> to DB.</w:t>
      </w:r>
    </w:p>
    <w:p w:rsidR="00000000" w:rsidRDefault="003B7527">
      <w:pPr>
        <w:pStyle w:val="NormalWeb"/>
      </w:pPr>
      <w:r>
        <w:rPr>
          <w:sz w:val="20"/>
          <w:szCs w:val="20"/>
        </w:rPr>
        <w:t xml:space="preserve">At a special meeting of the Board of Directors, AOXY removed Joseph N. Noll as a director due to his inability to perform his duties as a director. AOXY appointed Kurt </w:t>
      </w:r>
      <w:proofErr w:type="spellStart"/>
      <w:r>
        <w:rPr>
          <w:sz w:val="20"/>
          <w:szCs w:val="20"/>
        </w:rPr>
        <w:t>Sondergaard</w:t>
      </w:r>
      <w:proofErr w:type="spellEnd"/>
      <w:r>
        <w:rPr>
          <w:sz w:val="20"/>
          <w:szCs w:val="20"/>
        </w:rPr>
        <w:t xml:space="preserve"> and Lawrence </w:t>
      </w:r>
      <w:proofErr w:type="spellStart"/>
      <w:r>
        <w:rPr>
          <w:sz w:val="20"/>
          <w:szCs w:val="20"/>
        </w:rPr>
        <w:t>Donofrio</w:t>
      </w:r>
      <w:proofErr w:type="spellEnd"/>
      <w:r>
        <w:rPr>
          <w:sz w:val="20"/>
          <w:szCs w:val="20"/>
        </w:rPr>
        <w:t xml:space="preserve"> to the board of directors to replace Joseph </w:t>
      </w:r>
      <w:r>
        <w:rPr>
          <w:sz w:val="20"/>
          <w:szCs w:val="20"/>
        </w:rPr>
        <w:t xml:space="preserve">N. </w:t>
      </w:r>
      <w:proofErr w:type="gramStart"/>
      <w:r>
        <w:rPr>
          <w:sz w:val="20"/>
          <w:szCs w:val="20"/>
        </w:rPr>
        <w:t>Noll .</w:t>
      </w:r>
      <w:proofErr w:type="gramEnd"/>
      <w:r>
        <w:rPr>
          <w:sz w:val="20"/>
          <w:szCs w:val="20"/>
        </w:rPr>
        <w:t xml:space="preserve"> Kurt </w:t>
      </w:r>
      <w:proofErr w:type="spellStart"/>
      <w:r>
        <w:rPr>
          <w:sz w:val="20"/>
          <w:szCs w:val="20"/>
        </w:rPr>
        <w:t>Sondergaard</w:t>
      </w:r>
      <w:proofErr w:type="spellEnd"/>
      <w:r>
        <w:rPr>
          <w:sz w:val="20"/>
          <w:szCs w:val="20"/>
        </w:rPr>
        <w:t xml:space="preserve"> founder and major shareholder of the company, Mr. </w:t>
      </w:r>
      <w:proofErr w:type="spellStart"/>
      <w:r>
        <w:rPr>
          <w:sz w:val="20"/>
          <w:szCs w:val="20"/>
        </w:rPr>
        <w:t>Sondergaard</w:t>
      </w:r>
      <w:proofErr w:type="spellEnd"/>
      <w:r>
        <w:rPr>
          <w:sz w:val="20"/>
          <w:szCs w:val="20"/>
        </w:rPr>
        <w:t xml:space="preserve"> was educated in the Danish Navy as an electronic engineer. He has worked for 10 years in the electronic security industry, specifically in the IT sector. During this p</w:t>
      </w:r>
      <w:r>
        <w:rPr>
          <w:sz w:val="20"/>
          <w:szCs w:val="20"/>
        </w:rPr>
        <w:t xml:space="preserve">eriod, Kurt has developed as a business entrepreneur, building and selling an IT business. Lawrence </w:t>
      </w:r>
      <w:proofErr w:type="spellStart"/>
      <w:r>
        <w:rPr>
          <w:sz w:val="20"/>
          <w:szCs w:val="20"/>
        </w:rPr>
        <w:t>Donofrio</w:t>
      </w:r>
      <w:proofErr w:type="spellEnd"/>
      <w:r>
        <w:rPr>
          <w:sz w:val="20"/>
          <w:szCs w:val="20"/>
        </w:rPr>
        <w:t xml:space="preserve"> graduated from Hamilton College with a BA in English studies. He then worked at Citibank for three years as a financial analyst, and five years as </w:t>
      </w:r>
      <w:r>
        <w:rPr>
          <w:sz w:val="20"/>
          <w:szCs w:val="20"/>
        </w:rPr>
        <w:t>a private financial consultant. He then took a position with Bankers Trust for two years and since 1982 has been a private consultant in the financial industry.</w:t>
      </w:r>
    </w:p>
    <w:p w:rsidR="00000000" w:rsidRDefault="003B7527">
      <w:pPr>
        <w:pStyle w:val="NormalWeb"/>
      </w:pPr>
      <w:r>
        <w:rPr>
          <w:sz w:val="20"/>
          <w:szCs w:val="20"/>
        </w:rPr>
        <w:t>Pursuant to a stock acquisition on March 05, 2003 Advanced Oxygen Technologies, Inc. (AOXY or t</w:t>
      </w:r>
      <w:r>
        <w:rPr>
          <w:sz w:val="20"/>
          <w:szCs w:val="20"/>
        </w:rPr>
        <w:t xml:space="preserve">he Buyer) purchased 100% of the issued and outstanding stock of IP Services, </w:t>
      </w:r>
      <w:proofErr w:type="spellStart"/>
      <w:r>
        <w:rPr>
          <w:sz w:val="20"/>
          <w:szCs w:val="20"/>
        </w:rPr>
        <w:t>ApS</w:t>
      </w:r>
      <w:proofErr w:type="spellEnd"/>
      <w:r>
        <w:rPr>
          <w:sz w:val="20"/>
          <w:szCs w:val="20"/>
        </w:rPr>
        <w:t xml:space="preserve"> (IP or the Company) from all of its owners (the Shareholders) for value of five hundred thousand dollars (Purchase Price). AOXY issued fourteen million shares of common stock </w:t>
      </w:r>
      <w:r>
        <w:rPr>
          <w:sz w:val="20"/>
          <w:szCs w:val="20"/>
        </w:rPr>
        <w:t xml:space="preserve">and one share of preferred convertible stock to the Shareholders for payment and consideration of the Purchase Price. Concurrently, pursuant to an Employment Agreement on March 05, 2003 AOXY entered into an agreement with Kurd </w:t>
      </w:r>
      <w:proofErr w:type="spellStart"/>
      <w:r>
        <w:rPr>
          <w:sz w:val="20"/>
          <w:szCs w:val="20"/>
        </w:rPr>
        <w:t>Sondergaard</w:t>
      </w:r>
      <w:proofErr w:type="spellEnd"/>
      <w:r>
        <w:rPr>
          <w:sz w:val="20"/>
          <w:szCs w:val="20"/>
        </w:rPr>
        <w:t xml:space="preserve"> (Employee). The E</w:t>
      </w:r>
      <w:r>
        <w:rPr>
          <w:sz w:val="20"/>
          <w:szCs w:val="20"/>
        </w:rPr>
        <w:t>mployee will be employed by AOXY for four years and will perform duties of president of IP, and AOXY and the Shareholders entered into a covenant of non competition agreement whereby the Shareholders agreed not to compete with IP for a period of five years</w:t>
      </w:r>
      <w:r>
        <w:rPr>
          <w:sz w:val="20"/>
          <w:szCs w:val="20"/>
        </w:rPr>
        <w:t>.</w:t>
      </w:r>
    </w:p>
    <w:p w:rsidR="00000000" w:rsidRDefault="003B7527">
      <w:pPr>
        <w:pStyle w:val="NormalWeb"/>
        <w:spacing w:after="240" w:afterAutospacing="0"/>
      </w:pPr>
      <w:r>
        <w:rPr>
          <w:sz w:val="20"/>
          <w:szCs w:val="20"/>
        </w:rPr>
        <w:t xml:space="preserve">Pursuant to a stock acquisition agreement, on February 3, 2006 Advanced Oxygen Technologies, Inc. ("AOXY") purchased 100.00% of the stock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("ANV"), a Danish company from </w:t>
      </w:r>
      <w:proofErr w:type="spellStart"/>
      <w:r>
        <w:rPr>
          <w:sz w:val="20"/>
          <w:szCs w:val="20"/>
        </w:rPr>
        <w:t>Borkwood</w:t>
      </w:r>
      <w:proofErr w:type="spellEnd"/>
      <w:r>
        <w:rPr>
          <w:sz w:val="20"/>
          <w:szCs w:val="20"/>
        </w:rPr>
        <w:t xml:space="preserve"> Development Ltd. (a previous shareholder of AOXY</w:t>
      </w:r>
      <w:r>
        <w:rPr>
          <w:sz w:val="20"/>
          <w:szCs w:val="20"/>
        </w:rPr>
        <w:t>) for Six Hundred and Fifty Thousand US Dollars. ANV owns commercial real estate and produces rental income.</w:t>
      </w:r>
    </w:p>
    <w:p w:rsidR="00000000" w:rsidRDefault="003B7527">
      <w:pPr>
        <w:pStyle w:val="NormalWeb"/>
      </w:pPr>
      <w:r>
        <w:rPr>
          <w:sz w:val="20"/>
          <w:szCs w:val="20"/>
        </w:rPr>
        <w:t xml:space="preserve">On August 1, 2006, the Company was notified by </w:t>
      </w:r>
      <w:proofErr w:type="spellStart"/>
      <w:r>
        <w:rPr>
          <w:sz w:val="20"/>
          <w:szCs w:val="20"/>
        </w:rPr>
        <w:t>Bernstien</w:t>
      </w:r>
      <w:proofErr w:type="spellEnd"/>
      <w:r>
        <w:rPr>
          <w:sz w:val="20"/>
          <w:szCs w:val="20"/>
        </w:rPr>
        <w:t xml:space="preserve"> &amp; </w:t>
      </w:r>
      <w:proofErr w:type="spellStart"/>
      <w:r>
        <w:rPr>
          <w:sz w:val="20"/>
          <w:szCs w:val="20"/>
        </w:rPr>
        <w:t>Pinchuk</w:t>
      </w:r>
      <w:proofErr w:type="spellEnd"/>
      <w:r>
        <w:rPr>
          <w:sz w:val="20"/>
          <w:szCs w:val="20"/>
        </w:rPr>
        <w:t xml:space="preserve"> LLP that they had resigned as the Company's independent auditors. On September</w:t>
      </w:r>
      <w:r>
        <w:rPr>
          <w:sz w:val="20"/>
          <w:szCs w:val="20"/>
        </w:rPr>
        <w:t xml:space="preserve"> 12, 2006 the Company engaged </w:t>
      </w:r>
      <w:proofErr w:type="spellStart"/>
      <w:r>
        <w:rPr>
          <w:sz w:val="20"/>
          <w:szCs w:val="20"/>
        </w:rPr>
        <w:t>Horwath</w:t>
      </w:r>
      <w:proofErr w:type="spellEnd"/>
      <w:r>
        <w:rPr>
          <w:sz w:val="20"/>
          <w:szCs w:val="20"/>
        </w:rPr>
        <w:t xml:space="preserve"> </w:t>
      </w:r>
      <w:proofErr w:type="spellStart"/>
      <w:r>
        <w:rPr>
          <w:sz w:val="20"/>
          <w:szCs w:val="20"/>
        </w:rPr>
        <w:t>Revisorenrne</w:t>
      </w:r>
      <w:proofErr w:type="spellEnd"/>
      <w:r>
        <w:rPr>
          <w:sz w:val="20"/>
          <w:szCs w:val="20"/>
        </w:rPr>
        <w:t xml:space="preserve">, AS </w:t>
      </w:r>
      <w:proofErr w:type="spellStart"/>
      <w:r>
        <w:rPr>
          <w:sz w:val="20"/>
          <w:szCs w:val="20"/>
        </w:rPr>
        <w:t>Strandvejen</w:t>
      </w:r>
      <w:proofErr w:type="spellEnd"/>
      <w:r>
        <w:rPr>
          <w:sz w:val="20"/>
          <w:szCs w:val="20"/>
        </w:rPr>
        <w:t xml:space="preserve"> 58, </w:t>
      </w:r>
      <w:proofErr w:type="spellStart"/>
      <w:r>
        <w:rPr>
          <w:sz w:val="20"/>
          <w:szCs w:val="20"/>
        </w:rPr>
        <w:t>Hellerup</w:t>
      </w:r>
      <w:proofErr w:type="spellEnd"/>
      <w:r>
        <w:rPr>
          <w:sz w:val="20"/>
          <w:szCs w:val="20"/>
        </w:rPr>
        <w:t>, Denmark as its certified independent accounting firm/outside auditor.</w:t>
      </w:r>
    </w:p>
    <w:p w:rsidR="00000000" w:rsidRDefault="003B7527">
      <w:pPr>
        <w:pStyle w:val="NormalWeb"/>
      </w:pPr>
      <w:r>
        <w:rPr>
          <w:sz w:val="20"/>
          <w:szCs w:val="20"/>
        </w:rPr>
        <w:t xml:space="preserve">On September 1, 2006 the Company sold its minority position of 20% of Mobile Group Inc. to KBA Holding </w:t>
      </w:r>
      <w:proofErr w:type="spellStart"/>
      <w:r>
        <w:rPr>
          <w:sz w:val="20"/>
          <w:szCs w:val="20"/>
        </w:rPr>
        <w:t>A</w:t>
      </w:r>
      <w:r>
        <w:rPr>
          <w:sz w:val="20"/>
          <w:szCs w:val="20"/>
        </w:rPr>
        <w:t>pS</w:t>
      </w:r>
      <w:proofErr w:type="spellEnd"/>
      <w:r>
        <w:rPr>
          <w:sz w:val="20"/>
          <w:szCs w:val="20"/>
        </w:rPr>
        <w:t xml:space="preserve"> for one dollar.</w:t>
      </w:r>
    </w:p>
    <w:p w:rsidR="00000000" w:rsidRDefault="003B7527">
      <w:pPr>
        <w:pStyle w:val="NormalWeb"/>
      </w:pPr>
      <w:r>
        <w:rPr>
          <w:sz w:val="20"/>
          <w:szCs w:val="20"/>
        </w:rPr>
        <w:t>On January 17 2007, the Company's location, and location of books and records has changed from Advanced Oxygen Technologies, Inc. C/O Crossfield Inc. 133 West 13th St. Suite #5 New York, NY 10011 ("Old Location") to Advanced Oxygen Techn</w:t>
      </w:r>
      <w:r>
        <w:rPr>
          <w:sz w:val="20"/>
          <w:szCs w:val="20"/>
        </w:rPr>
        <w:t>ologies, Inc. c/o Crossfield, Inc. 100 Maiden Lane, Suite 2003, New York, NY 10038, Telephone (212)-727-7085, Fax (208)-439-5488. This location is collocated with a related business of the president, Robert E. Wolfe.</w:t>
      </w:r>
    </w:p>
    <w:p w:rsidR="00000000" w:rsidRDefault="003B7527">
      <w:pPr>
        <w:pStyle w:val="NormalWeb"/>
      </w:pPr>
      <w:hyperlink w:anchor="toc" w:history="1">
        <w:r>
          <w:rPr>
            <w:rStyle w:val="Hyperlink"/>
            <w:b/>
            <w:bCs/>
            <w:sz w:val="20"/>
            <w:szCs w:val="20"/>
          </w:rPr>
          <w:t>Return to Ta</w:t>
        </w:r>
        <w:r>
          <w:rPr>
            <w:rStyle w:val="Hyperlink"/>
            <w:b/>
            <w:bCs/>
            <w:sz w:val="20"/>
            <w:szCs w:val="20"/>
          </w:rPr>
          <w:t>ble of Contents</w:t>
        </w:r>
      </w:hyperlink>
    </w:p>
    <w:p w:rsidR="00000000" w:rsidRDefault="00C27026">
      <w:pPr>
        <w:rPr>
          <w:rFonts w:eastAsia="Times New Roman"/>
        </w:rPr>
      </w:pPr>
      <w:r>
        <w:rPr>
          <w:rFonts w:eastAsia="Times New Roman"/>
        </w:rPr>
        <w:pict>
          <v:rect id="_x0000_i1061" style="width:0;height:3pt" o:hralign="center" o:hrstd="t" o:hrnoshade="t" o:hr="t" fillcolor="black" stroked="f"/>
        </w:pict>
      </w:r>
    </w:p>
    <w:p w:rsidR="00000000" w:rsidRDefault="003B7527">
      <w:pPr>
        <w:pStyle w:val="NormalWeb"/>
      </w:pPr>
      <w:r>
        <w:rPr>
          <w:sz w:val="20"/>
          <w:szCs w:val="20"/>
        </w:rPr>
        <w:lastRenderedPageBreak/>
        <w:t>On March 5 2009, the Company's location, and location of books and records has changed from Advanced Oxygen Technologies, Inc. C/O 100 Maiden Lane, Suite 2003 New York, NY 10038 ("Old Location") to Advanced Oxygen Technologies, Inc. c/o Crossfield, Inc. 65</w:t>
      </w:r>
      <w:r>
        <w:rPr>
          <w:sz w:val="20"/>
          <w:szCs w:val="20"/>
        </w:rPr>
        <w:t>3 VT Route 12A, PO Box 189, Randolph VT 05060, Telephone (212)-727-7085, Fax (802)-332-6100. This location is collocated with a related business of the president, Robert E. Wolfe.</w:t>
      </w:r>
    </w:p>
    <w:p w:rsidR="00000000" w:rsidRDefault="003B7527">
      <w:pPr>
        <w:pStyle w:val="NormalWeb"/>
      </w:pPr>
      <w:r>
        <w:rPr>
          <w:sz w:val="20"/>
          <w:szCs w:val="20"/>
        </w:rPr>
        <w:t xml:space="preserve">On March 04, 2011, the Company was notified by </w:t>
      </w:r>
      <w:proofErr w:type="spellStart"/>
      <w:r>
        <w:rPr>
          <w:sz w:val="20"/>
          <w:szCs w:val="20"/>
        </w:rPr>
        <w:t>Howarth</w:t>
      </w:r>
      <w:proofErr w:type="spellEnd"/>
      <w:r>
        <w:rPr>
          <w:sz w:val="20"/>
          <w:szCs w:val="20"/>
        </w:rPr>
        <w:t xml:space="preserve"> </w:t>
      </w:r>
      <w:proofErr w:type="spellStart"/>
      <w:r>
        <w:rPr>
          <w:sz w:val="20"/>
          <w:szCs w:val="20"/>
        </w:rPr>
        <w:t>Revisorerne</w:t>
      </w:r>
      <w:proofErr w:type="spellEnd"/>
      <w:r>
        <w:rPr>
          <w:sz w:val="20"/>
          <w:szCs w:val="20"/>
        </w:rPr>
        <w:t xml:space="preserve"> </w:t>
      </w:r>
      <w:proofErr w:type="spellStart"/>
      <w:r>
        <w:rPr>
          <w:sz w:val="20"/>
          <w:szCs w:val="20"/>
        </w:rPr>
        <w:t>vmba</w:t>
      </w:r>
      <w:proofErr w:type="spellEnd"/>
      <w:r>
        <w:rPr>
          <w:sz w:val="20"/>
          <w:szCs w:val="20"/>
        </w:rPr>
        <w:t xml:space="preserve"> (“A</w:t>
      </w:r>
      <w:r>
        <w:rPr>
          <w:sz w:val="20"/>
          <w:szCs w:val="20"/>
        </w:rPr>
        <w:t>ccountants”) that the Accountants have resigned as the Company’s independent auditors. The Accountant’s audit reports on the Company’s consolidated financial statements for the fiscal years ended June 30, 2009 and 2010 did not contain an adverse opinion or</w:t>
      </w:r>
      <w:r>
        <w:rPr>
          <w:sz w:val="20"/>
          <w:szCs w:val="20"/>
        </w:rPr>
        <w:t xml:space="preserve"> a disclaimer of opinion and were not qualified or modified as to uncertainty, audit scope or accounting principles. During the Company’s fiscal years ended June 30, 2009 and 2010 and the subsequent interim period preceding the date of Accountant’s resigna</w:t>
      </w:r>
      <w:r>
        <w:rPr>
          <w:sz w:val="20"/>
          <w:szCs w:val="20"/>
        </w:rPr>
        <w:t>tion, there were no “disagreements,” as that term is defined in Item 304(a) of Regulation S-K and the instructions related thereto, with the Accountants on any matter of accounting principles or practices, financial statement disclosure or auditing scope o</w:t>
      </w:r>
      <w:r>
        <w:rPr>
          <w:sz w:val="20"/>
          <w:szCs w:val="20"/>
        </w:rPr>
        <w:t>r procedures, which disagreement(s), if not resolved to the satisfaction of the Accountants, would have caused the Accountants to make reference to the subject matter of the disagreement(s) in connection with its report. During the Company’s fiscal years e</w:t>
      </w:r>
      <w:r>
        <w:rPr>
          <w:sz w:val="20"/>
          <w:szCs w:val="20"/>
        </w:rPr>
        <w:t>nded June 30, 2009 and 2010 and the subsequent interim period preceding the date of Accountant’s resignation, there were no “reportable events,” as that term is defined in Item 304(a)(1)(v) of Regulation S-K and the instructions related thereto. The Compan</w:t>
      </w:r>
      <w:r>
        <w:rPr>
          <w:sz w:val="20"/>
          <w:szCs w:val="20"/>
        </w:rPr>
        <w:t>y has provided the Accountants with a copy of the disclosures set forth above in Item 4.01 of this Current Report on Form 8-K and has requested that the Accountants furnish the Company with a letter addressed to the Securities and Exchange Commission stati</w:t>
      </w:r>
      <w:r>
        <w:rPr>
          <w:sz w:val="20"/>
          <w:szCs w:val="20"/>
        </w:rPr>
        <w:t>ng whether the Accountants agree with the statements set forth above in Item 4.01 of this Current Report on Form 8-K and, if not, stating the respects in which the Accountants do not agree. A copy of the letter from the Accountants to the Securities and Ex</w:t>
      </w:r>
      <w:r>
        <w:rPr>
          <w:sz w:val="20"/>
          <w:szCs w:val="20"/>
        </w:rPr>
        <w:t>change Commission dated March 04, 2011 is filed as Exhibit II to this Current Report on Form 8-K.</w:t>
      </w:r>
    </w:p>
    <w:p w:rsidR="00000000" w:rsidRDefault="003B7527">
      <w:pPr>
        <w:pStyle w:val="NormalWeb"/>
        <w:divId w:val="1831435434"/>
      </w:pPr>
      <w:r>
        <w:rPr>
          <w:sz w:val="20"/>
          <w:szCs w:val="20"/>
        </w:rPr>
        <w:t xml:space="preserve">On March 04, 2011 the Company has engaged Chr. Mortensen - </w:t>
      </w:r>
      <w:proofErr w:type="spellStart"/>
      <w:r>
        <w:rPr>
          <w:sz w:val="20"/>
          <w:szCs w:val="20"/>
        </w:rPr>
        <w:t>Revisionsfirma</w:t>
      </w:r>
      <w:proofErr w:type="spellEnd"/>
      <w:r>
        <w:rPr>
          <w:sz w:val="20"/>
          <w:szCs w:val="20"/>
        </w:rPr>
        <w:t xml:space="preserve">, </w:t>
      </w:r>
      <w:proofErr w:type="spellStart"/>
      <w:r>
        <w:rPr>
          <w:sz w:val="20"/>
          <w:szCs w:val="20"/>
        </w:rPr>
        <w:t>statsautoriseret</w:t>
      </w:r>
      <w:proofErr w:type="spellEnd"/>
      <w:r>
        <w:rPr>
          <w:sz w:val="20"/>
          <w:szCs w:val="20"/>
        </w:rPr>
        <w:t xml:space="preserve"> </w:t>
      </w:r>
      <w:proofErr w:type="spellStart"/>
      <w:r>
        <w:rPr>
          <w:sz w:val="20"/>
          <w:szCs w:val="20"/>
        </w:rPr>
        <w:t>revisionsinteressentskab</w:t>
      </w:r>
      <w:proofErr w:type="spellEnd"/>
      <w:r>
        <w:rPr>
          <w:sz w:val="20"/>
          <w:szCs w:val="20"/>
        </w:rPr>
        <w:t xml:space="preserve">, </w:t>
      </w:r>
      <w:proofErr w:type="spellStart"/>
      <w:r>
        <w:rPr>
          <w:sz w:val="20"/>
          <w:szCs w:val="20"/>
        </w:rPr>
        <w:t>Adelgade</w:t>
      </w:r>
      <w:proofErr w:type="spellEnd"/>
      <w:r>
        <w:rPr>
          <w:sz w:val="20"/>
          <w:szCs w:val="20"/>
        </w:rPr>
        <w:t xml:space="preserve"> 15, Copenhagen, 1304, Denmark T</w:t>
      </w:r>
      <w:r>
        <w:rPr>
          <w:sz w:val="20"/>
          <w:szCs w:val="20"/>
        </w:rPr>
        <w:t>elephone +45 3373 4600 ("New Accountants") as its certified accounting firm/outside auditor. Additionally, the Company had not consulted the New Accountants regarding: (</w:t>
      </w:r>
      <w:proofErr w:type="spellStart"/>
      <w:r>
        <w:rPr>
          <w:sz w:val="20"/>
          <w:szCs w:val="20"/>
        </w:rPr>
        <w:t>i</w:t>
      </w:r>
      <w:proofErr w:type="spellEnd"/>
      <w:r>
        <w:rPr>
          <w:sz w:val="20"/>
          <w:szCs w:val="20"/>
        </w:rPr>
        <w:t>) The application of accounting principles to a specific completed or contemplated tra</w:t>
      </w:r>
      <w:r>
        <w:rPr>
          <w:sz w:val="20"/>
          <w:szCs w:val="20"/>
        </w:rPr>
        <w:t xml:space="preserve">nsaction, or the type of audit opinion that might be rendered on the small business issuer’s financial statements and either written or oral advice was provided that was an important factor considered by the small business issuer in reaching a decision as </w:t>
      </w:r>
      <w:r>
        <w:rPr>
          <w:sz w:val="20"/>
          <w:szCs w:val="20"/>
        </w:rPr>
        <w:t>to the accounting, auditing or financial reporting issue; or (ii) any matter that was the subject of a disagreement or event identified in response to paragraph (a)(1)(iv) of Regulation S-B section §228.304 (Item 304).</w:t>
      </w:r>
    </w:p>
    <w:p w:rsidR="00000000" w:rsidRDefault="003B7527">
      <w:pPr>
        <w:pStyle w:val="NormalWeb"/>
      </w:pPr>
      <w:proofErr w:type="gramStart"/>
      <w:r>
        <w:rPr>
          <w:b/>
          <w:bCs/>
          <w:sz w:val="20"/>
          <w:szCs w:val="20"/>
        </w:rPr>
        <w:t>ITEM 3.</w:t>
      </w:r>
      <w:proofErr w:type="gramEnd"/>
      <w:r>
        <w:rPr>
          <w:b/>
          <w:bCs/>
          <w:sz w:val="20"/>
          <w:szCs w:val="20"/>
        </w:rPr>
        <w:t xml:space="preserve"> Quantitative and Qualitative </w:t>
      </w:r>
      <w:r>
        <w:rPr>
          <w:b/>
          <w:bCs/>
          <w:sz w:val="20"/>
          <w:szCs w:val="20"/>
        </w:rPr>
        <w:t xml:space="preserve">Disclosures </w:t>
      </w:r>
      <w:proofErr w:type="gramStart"/>
      <w:r>
        <w:rPr>
          <w:b/>
          <w:bCs/>
          <w:sz w:val="20"/>
          <w:szCs w:val="20"/>
        </w:rPr>
        <w:t>About</w:t>
      </w:r>
      <w:proofErr w:type="gramEnd"/>
      <w:r>
        <w:rPr>
          <w:b/>
          <w:bCs/>
          <w:sz w:val="20"/>
          <w:szCs w:val="20"/>
        </w:rPr>
        <w:t xml:space="preserve"> Market Risk:</w:t>
      </w:r>
    </w:p>
    <w:p w:rsidR="00000000" w:rsidRDefault="003B7527">
      <w:pPr>
        <w:pStyle w:val="NormalWeb"/>
      </w:pPr>
      <w:r>
        <w:rPr>
          <w:sz w:val="20"/>
          <w:szCs w:val="20"/>
        </w:rPr>
        <w:t>Smaller reporting companies are not required to provide the information required by this Item.</w:t>
      </w:r>
    </w:p>
    <w:p w:rsidR="00000000" w:rsidRDefault="003B7527">
      <w:pPr>
        <w:pStyle w:val="NormalWeb"/>
        <w:spacing w:after="240" w:afterAutospacing="0"/>
      </w:pPr>
      <w:proofErr w:type="gramStart"/>
      <w:r>
        <w:rPr>
          <w:b/>
          <w:bCs/>
          <w:sz w:val="20"/>
          <w:szCs w:val="20"/>
        </w:rPr>
        <w:t>ITEM 4.</w:t>
      </w:r>
      <w:proofErr w:type="gramEnd"/>
      <w:r>
        <w:rPr>
          <w:b/>
          <w:bCs/>
          <w:sz w:val="20"/>
          <w:szCs w:val="20"/>
        </w:rPr>
        <w:t xml:space="preserve"> CONTROLS AND PROCEDURES</w:t>
      </w:r>
    </w:p>
    <w:p w:rsidR="00000000" w:rsidRDefault="003B7527">
      <w:pPr>
        <w:pStyle w:val="NormalWeb"/>
      </w:pPr>
      <w:r>
        <w:rPr>
          <w:sz w:val="20"/>
          <w:szCs w:val="20"/>
        </w:rPr>
        <w:t>EVALUATION OF DISCLOSURE CONTROLS AND PROCEDURES</w:t>
      </w:r>
    </w:p>
    <w:p w:rsidR="00000000" w:rsidRDefault="003B7527">
      <w:pPr>
        <w:pStyle w:val="NormalWeb"/>
      </w:pPr>
      <w:r>
        <w:rPr>
          <w:sz w:val="20"/>
          <w:szCs w:val="20"/>
        </w:rPr>
        <w:t>We conducted an evaluation under the supervis</w:t>
      </w:r>
      <w:r>
        <w:rPr>
          <w:sz w:val="20"/>
          <w:szCs w:val="20"/>
        </w:rPr>
        <w:t>ion and with the participation of our management, including our Chief Executive Officer who is also our Chief Financial Officer, of the effectiveness of the design and operation of our disclosure controls and procedures. The term “disclosure controls and p</w:t>
      </w:r>
      <w:r>
        <w:rPr>
          <w:sz w:val="20"/>
          <w:szCs w:val="20"/>
        </w:rPr>
        <w:t>rocedures,” as defined in Rules 13a-15(e) and 15d-15(e) under the Securities and Exchange Act of 1934, as amended (“Exchange Act”), means controls and other procedures of a company that are designed to ensure that information required to be disclosed by th</w:t>
      </w:r>
      <w:r>
        <w:rPr>
          <w:sz w:val="20"/>
          <w:szCs w:val="20"/>
        </w:rPr>
        <w:t>e company in the reports it files or submits under the Exchange Act is recorded, processed, summarized and reported, within the time periods specified in the Securities and Exchange Commission’s rules and forms. Disclosure controls and procedures also incl</w:t>
      </w:r>
      <w:r>
        <w:rPr>
          <w:sz w:val="20"/>
          <w:szCs w:val="20"/>
        </w:rPr>
        <w:t>ude, without limitation, controls and procedures designed to ensure that information required to be disclosed by a company in the reports that it files or submits under the Exchange Act is accumulated and communicated to the company’s management, including</w:t>
      </w:r>
      <w:r>
        <w:rPr>
          <w:sz w:val="20"/>
          <w:szCs w:val="20"/>
        </w:rPr>
        <w:t xml:space="preserve"> its principal executive and principal financial officers, or persons performing similar functions, as appropriate, to allow timely decisions regarding required disclosure. Based on this evaluation, our Chief Executive Officer and Acting Chief Financial Of</w:t>
      </w:r>
      <w:r>
        <w:rPr>
          <w:sz w:val="20"/>
          <w:szCs w:val="20"/>
        </w:rPr>
        <w:t>ficer concluded as of September 30, 2014 that our disclosure controls and procedures were effective at ensuring that the material information required to be disclosed in the Exchange Act reports is recorded, processed, summarized and reported as required i</w:t>
      </w:r>
      <w:r>
        <w:rPr>
          <w:sz w:val="20"/>
          <w:szCs w:val="20"/>
        </w:rPr>
        <w:t>n applicable SEC rules and forms.</w:t>
      </w:r>
    </w:p>
    <w:p w:rsidR="00000000" w:rsidRDefault="003B7527">
      <w:pPr>
        <w:pStyle w:val="NormalWeb"/>
      </w:pPr>
      <w:r>
        <w:rPr>
          <w:sz w:val="20"/>
          <w:szCs w:val="20"/>
        </w:rPr>
        <w:t>During the quarter ended September 30, 2013, there were no changes in our internal control over financial reporting identified in connection with management’s evaluation of the effectiveness of our internal control over th</w:t>
      </w:r>
      <w:r>
        <w:rPr>
          <w:sz w:val="20"/>
          <w:szCs w:val="20"/>
        </w:rPr>
        <w:t>e financial reporting that have materially affected, or are reasonably likely to materially affect, our internal control over financial reporting as defined in Rules 13a-15(f) and 15d-15(f) under the Exchange Act.</w:t>
      </w:r>
    </w:p>
    <w:p w:rsidR="00000000" w:rsidRDefault="003B7527">
      <w:pPr>
        <w:rPr>
          <w:rFonts w:eastAsia="Times New Roman"/>
        </w:rPr>
      </w:pPr>
      <w:r>
        <w:rPr>
          <w:rFonts w:eastAsia="Times New Roman"/>
          <w:b/>
          <w:bCs/>
          <w:sz w:val="20"/>
          <w:szCs w:val="20"/>
        </w:rPr>
        <w:t xml:space="preserve">PART II </w:t>
      </w:r>
    </w:p>
    <w:p w:rsidR="00000000" w:rsidRDefault="003B7527">
      <w:pPr>
        <w:pStyle w:val="NormalWeb"/>
      </w:pPr>
      <w:r>
        <w:rPr>
          <w:b/>
          <w:bCs/>
          <w:sz w:val="20"/>
          <w:szCs w:val="20"/>
        </w:rPr>
        <w:t>ITEM 1: LEGAL PROCEEDINGS</w:t>
      </w:r>
    </w:p>
    <w:p w:rsidR="00000000" w:rsidRDefault="003B7527">
      <w:pPr>
        <w:pStyle w:val="NormalWeb"/>
      </w:pPr>
      <w:r>
        <w:rPr>
          <w:sz w:val="20"/>
          <w:szCs w:val="20"/>
        </w:rPr>
        <w:t>During</w:t>
      </w:r>
      <w:r>
        <w:rPr>
          <w:sz w:val="20"/>
          <w:szCs w:val="20"/>
        </w:rPr>
        <w:t xml:space="preserve"> the period ending September 30, 2014, there were pending or threatened legal actions as follows: None</w:t>
      </w:r>
    </w:p>
    <w:p w:rsidR="00000000" w:rsidRDefault="003B7527">
      <w:pPr>
        <w:pStyle w:val="NormalWeb"/>
      </w:pPr>
      <w:proofErr w:type="gramStart"/>
      <w:r>
        <w:rPr>
          <w:b/>
          <w:bCs/>
          <w:sz w:val="20"/>
          <w:szCs w:val="20"/>
        </w:rPr>
        <w:t>ITEM 2.</w:t>
      </w:r>
      <w:proofErr w:type="gramEnd"/>
      <w:r>
        <w:rPr>
          <w:b/>
          <w:bCs/>
          <w:sz w:val="20"/>
          <w:szCs w:val="20"/>
        </w:rPr>
        <w:t xml:space="preserve"> UNREGISTERED SALES OF EQUITY SECURITIES AND USE OF PROCEEDS</w:t>
      </w:r>
    </w:p>
    <w:p w:rsidR="00000000" w:rsidRDefault="003B7527">
      <w:pPr>
        <w:pStyle w:val="NormalWeb"/>
      </w:pPr>
      <w:r>
        <w:rPr>
          <w:sz w:val="20"/>
          <w:szCs w:val="20"/>
        </w:rPr>
        <w:lastRenderedPageBreak/>
        <w:t>None</w:t>
      </w:r>
      <w:r>
        <w:rPr>
          <w:sz w:val="20"/>
          <w:szCs w:val="20"/>
        </w:rPr>
        <w:br/>
      </w:r>
      <w:r>
        <w:rPr>
          <w:sz w:val="20"/>
          <w:szCs w:val="20"/>
        </w:rPr>
        <w:br/>
      </w:r>
      <w:r>
        <w:rPr>
          <w:b/>
          <w:bCs/>
          <w:sz w:val="20"/>
          <w:szCs w:val="20"/>
        </w:rPr>
        <w:t>ITEM 3. DEFAULTS UPON SENIOR SECURITIES</w:t>
      </w:r>
    </w:p>
    <w:p w:rsidR="00000000" w:rsidRDefault="003B7527">
      <w:pPr>
        <w:pStyle w:val="NormalWeb"/>
      </w:pPr>
      <w:r>
        <w:rPr>
          <w:sz w:val="20"/>
          <w:szCs w:val="20"/>
        </w:rPr>
        <w:t>None</w:t>
      </w:r>
    </w:p>
    <w:p w:rsidR="00000000" w:rsidRDefault="003B7527">
      <w:pPr>
        <w:pStyle w:val="NormalWeb"/>
      </w:pPr>
      <w:proofErr w:type="gramStart"/>
      <w:r>
        <w:rPr>
          <w:b/>
          <w:bCs/>
          <w:sz w:val="20"/>
          <w:szCs w:val="20"/>
        </w:rPr>
        <w:t>ITEM 4.</w:t>
      </w:r>
      <w:proofErr w:type="gramEnd"/>
      <w:r>
        <w:rPr>
          <w:b/>
          <w:bCs/>
          <w:sz w:val="20"/>
          <w:szCs w:val="20"/>
        </w:rPr>
        <w:t xml:space="preserve"> SUBMISSION OF MATTERS T</w:t>
      </w:r>
      <w:r>
        <w:rPr>
          <w:b/>
          <w:bCs/>
          <w:sz w:val="20"/>
          <w:szCs w:val="20"/>
        </w:rPr>
        <w:t>O A VOTE OF SECURITY HOLDERS</w:t>
      </w:r>
    </w:p>
    <w:p w:rsidR="00000000" w:rsidRDefault="003B7527">
      <w:pPr>
        <w:pStyle w:val="NormalWeb"/>
      </w:pPr>
      <w:r>
        <w:rPr>
          <w:sz w:val="20"/>
          <w:szCs w:val="20"/>
        </w:rPr>
        <w:t>None</w:t>
      </w:r>
    </w:p>
    <w:p w:rsidR="00000000" w:rsidRDefault="003B7527">
      <w:pPr>
        <w:pStyle w:val="NormalWeb"/>
      </w:pPr>
      <w:proofErr w:type="gramStart"/>
      <w:r>
        <w:rPr>
          <w:b/>
          <w:bCs/>
          <w:sz w:val="20"/>
          <w:szCs w:val="20"/>
        </w:rPr>
        <w:t>ITEM 5.</w:t>
      </w:r>
      <w:proofErr w:type="gramEnd"/>
      <w:r>
        <w:rPr>
          <w:b/>
          <w:bCs/>
          <w:sz w:val="20"/>
          <w:szCs w:val="20"/>
        </w:rPr>
        <w:t xml:space="preserve"> OTHER INFORMATION</w:t>
      </w:r>
    </w:p>
    <w:p w:rsidR="00000000" w:rsidRDefault="003B7527">
      <w:pPr>
        <w:pStyle w:val="NormalWeb"/>
      </w:pPr>
      <w:r>
        <w:rPr>
          <w:sz w:val="20"/>
          <w:szCs w:val="20"/>
        </w:rPr>
        <w:t>None</w:t>
      </w:r>
    </w:p>
    <w:p w:rsidR="00000000" w:rsidRDefault="003B7527">
      <w:pPr>
        <w:pStyle w:val="NormalWeb"/>
      </w:pPr>
      <w:hyperlink w:anchor="toc" w:history="1">
        <w:r>
          <w:rPr>
            <w:rStyle w:val="Hyperlink"/>
            <w:b/>
            <w:bCs/>
            <w:sz w:val="20"/>
            <w:szCs w:val="20"/>
          </w:rPr>
          <w:t>Return to Table of Contents</w:t>
        </w:r>
      </w:hyperlink>
    </w:p>
    <w:p w:rsidR="00000000" w:rsidRDefault="00C27026">
      <w:pPr>
        <w:rPr>
          <w:rFonts w:eastAsia="Times New Roman"/>
        </w:rPr>
      </w:pPr>
      <w:r>
        <w:rPr>
          <w:rFonts w:eastAsia="Times New Roman"/>
        </w:rPr>
        <w:pict>
          <v:rect id="_x0000_i1062" style="width:0;height:3pt" o:hralign="center" o:hrstd="t" o:hrnoshade="t" o:hr="t" fillcolor="black" stroked="f"/>
        </w:pict>
      </w:r>
    </w:p>
    <w:p w:rsidR="00000000" w:rsidRDefault="003B7527">
      <w:pPr>
        <w:pStyle w:val="NormalWeb"/>
      </w:pPr>
      <w:r>
        <w:rPr>
          <w:b/>
          <w:bCs/>
          <w:sz w:val="20"/>
          <w:szCs w:val="20"/>
        </w:rPr>
        <w:t>ITEM 6: EXHIBITS AND REPORTS ON FORM 8-K</w:t>
      </w:r>
    </w:p>
    <w:p w:rsidR="00000000" w:rsidRDefault="003B7527">
      <w:pPr>
        <w:pStyle w:val="NormalWeb"/>
      </w:pPr>
      <w:r>
        <w:rPr>
          <w:sz w:val="20"/>
          <w:szCs w:val="20"/>
        </w:rPr>
        <w:t>During the 3 month period ending September 30, 2014, the Company filed no reports on Form 8-K.</w:t>
      </w:r>
    </w:p>
    <w:p w:rsidR="00000000" w:rsidRDefault="003B7527">
      <w:pPr>
        <w:pStyle w:val="NormalWeb"/>
      </w:pPr>
      <w:r>
        <w:rPr>
          <w:b/>
          <w:bCs/>
          <w:sz w:val="20"/>
          <w:szCs w:val="20"/>
        </w:rPr>
        <w:t>EXHIBIT 99.906C</w:t>
      </w:r>
      <w:r>
        <w:rPr>
          <w:b/>
          <w:bCs/>
          <w:sz w:val="20"/>
          <w:szCs w:val="20"/>
        </w:rPr>
        <w:t>ERT (A)</w:t>
      </w:r>
      <w:r>
        <w:rPr>
          <w:b/>
          <w:bCs/>
          <w:sz w:val="20"/>
          <w:szCs w:val="20"/>
        </w:rPr>
        <w:br/>
        <w:t>CERTIFICATION OF CHIEF EXECUTIVE OFFICER</w:t>
      </w:r>
      <w:r>
        <w:rPr>
          <w:b/>
          <w:bCs/>
          <w:sz w:val="20"/>
          <w:szCs w:val="20"/>
        </w:rPr>
        <w:br/>
        <w:t>PURSUANT TO 18 U.S.C. SECTION 1350, AS ADOPTED PURSUANT TO</w:t>
      </w:r>
      <w:r>
        <w:rPr>
          <w:b/>
          <w:bCs/>
          <w:sz w:val="20"/>
          <w:szCs w:val="20"/>
        </w:rPr>
        <w:br/>
        <w:t>SECTION 906 OF THE SARBANES-OXLEY ACT OF 2002</w:t>
      </w:r>
    </w:p>
    <w:p w:rsidR="00000000" w:rsidRDefault="003B7527">
      <w:pPr>
        <w:pStyle w:val="NormalWeb"/>
      </w:pPr>
      <w:r>
        <w:rPr>
          <w:b/>
          <w:bCs/>
          <w:sz w:val="20"/>
          <w:szCs w:val="20"/>
        </w:rPr>
        <w:t>EXHIBIT 99.906CERT (B</w:t>
      </w:r>
      <w:proofErr w:type="gramStart"/>
      <w:r>
        <w:rPr>
          <w:b/>
          <w:bCs/>
          <w:sz w:val="20"/>
          <w:szCs w:val="20"/>
        </w:rPr>
        <w:t>)</w:t>
      </w:r>
      <w:proofErr w:type="gramEnd"/>
      <w:r>
        <w:rPr>
          <w:b/>
          <w:bCs/>
          <w:sz w:val="20"/>
          <w:szCs w:val="20"/>
        </w:rPr>
        <w:br/>
        <w:t>CERTIFICATION OF TREASURER</w:t>
      </w:r>
      <w:r>
        <w:rPr>
          <w:b/>
          <w:bCs/>
          <w:sz w:val="20"/>
          <w:szCs w:val="20"/>
        </w:rPr>
        <w:br/>
        <w:t>PURSUANT TO18 U.S.C. SECTION 1350, AS ADOPTED PURSUA</w:t>
      </w:r>
      <w:r>
        <w:rPr>
          <w:b/>
          <w:bCs/>
          <w:sz w:val="20"/>
          <w:szCs w:val="20"/>
        </w:rPr>
        <w:t>NT TO</w:t>
      </w:r>
      <w:r>
        <w:rPr>
          <w:b/>
          <w:bCs/>
          <w:sz w:val="20"/>
          <w:szCs w:val="20"/>
        </w:rPr>
        <w:br/>
        <w:t>SECTION 906 OF THE SARBANES-OXLEY ACT OF 2002</w:t>
      </w:r>
    </w:p>
    <w:p w:rsidR="00000000" w:rsidRDefault="003B7527">
      <w:pPr>
        <w:pStyle w:val="NormalWeb"/>
      </w:pPr>
      <w:r>
        <w:rPr>
          <w:b/>
          <w:bCs/>
          <w:sz w:val="20"/>
          <w:szCs w:val="20"/>
        </w:rPr>
        <w:t>EXHIBIT 99.CERT (C</w:t>
      </w:r>
      <w:proofErr w:type="gramStart"/>
      <w:r>
        <w:rPr>
          <w:b/>
          <w:bCs/>
          <w:sz w:val="20"/>
          <w:szCs w:val="20"/>
        </w:rPr>
        <w:t>)</w:t>
      </w:r>
      <w:proofErr w:type="gramEnd"/>
      <w:r>
        <w:rPr>
          <w:b/>
          <w:bCs/>
          <w:sz w:val="20"/>
          <w:szCs w:val="20"/>
        </w:rPr>
        <w:br/>
        <w:t>CERTIFICATION PURSUANT TO</w:t>
      </w:r>
      <w:r>
        <w:rPr>
          <w:b/>
          <w:bCs/>
          <w:sz w:val="20"/>
          <w:szCs w:val="20"/>
        </w:rPr>
        <w:br/>
        <w:t>SECTION 302 OF THE SARBANES-OXLEY ACT OF 2002</w:t>
      </w:r>
    </w:p>
    <w:p w:rsidR="00000000" w:rsidRDefault="003B7527">
      <w:pPr>
        <w:pStyle w:val="NormalWeb"/>
      </w:pPr>
      <w:r>
        <w:rPr>
          <w:b/>
          <w:bCs/>
          <w:sz w:val="20"/>
          <w:szCs w:val="20"/>
        </w:rPr>
        <w:t>EXHIBIT 99.CERT (D</w:t>
      </w:r>
      <w:proofErr w:type="gramStart"/>
      <w:r>
        <w:rPr>
          <w:b/>
          <w:bCs/>
          <w:sz w:val="20"/>
          <w:szCs w:val="20"/>
        </w:rPr>
        <w:t>)</w:t>
      </w:r>
      <w:proofErr w:type="gramEnd"/>
      <w:r>
        <w:rPr>
          <w:b/>
          <w:bCs/>
          <w:sz w:val="20"/>
          <w:szCs w:val="20"/>
        </w:rPr>
        <w:br/>
        <w:t>CERTIFICATION PURSUANT TO</w:t>
      </w:r>
      <w:r>
        <w:rPr>
          <w:b/>
          <w:bCs/>
          <w:sz w:val="20"/>
          <w:szCs w:val="20"/>
        </w:rPr>
        <w:br/>
        <w:t>SECTION 302 OF THE SARBANES-OXLEY ACT OF 2002</w:t>
      </w:r>
    </w:p>
    <w:p w:rsidR="00000000" w:rsidRDefault="003B7527">
      <w:pPr>
        <w:pStyle w:val="NormalWeb"/>
      </w:pPr>
    </w:p>
    <w:p w:rsidR="00000000" w:rsidRDefault="003B7527">
      <w:pPr>
        <w:pStyle w:val="NormalWeb"/>
      </w:pPr>
      <w:r>
        <w:rPr>
          <w:sz w:val="20"/>
          <w:szCs w:val="20"/>
        </w:rPr>
        <w:t xml:space="preserve">SIGNATURE </w:t>
      </w:r>
    </w:p>
    <w:p w:rsidR="00000000" w:rsidRDefault="003B7527">
      <w:pPr>
        <w:pStyle w:val="NormalWeb"/>
      </w:pPr>
      <w:r>
        <w:rPr>
          <w:sz w:val="20"/>
          <w:szCs w:val="20"/>
        </w:rPr>
        <w:t xml:space="preserve">In accordance with the requirements of the Exchange Act, the Registrant has caused this report to be signed on its behalf by the undersigned, thereunto duly authorized. </w:t>
      </w:r>
    </w:p>
    <w:p w:rsidR="00000000" w:rsidRDefault="003B7527">
      <w:pPr>
        <w:pStyle w:val="NormalWeb"/>
      </w:pPr>
      <w:r>
        <w:rPr>
          <w:sz w:val="20"/>
          <w:szCs w:val="20"/>
        </w:rPr>
        <w:t>Date: November 13, 2014</w:t>
      </w:r>
    </w:p>
    <w:p w:rsidR="00000000" w:rsidRDefault="003B7527">
      <w:pPr>
        <w:pStyle w:val="NormalWeb"/>
      </w:pPr>
      <w:r>
        <w:rPr>
          <w:sz w:val="20"/>
          <w:szCs w:val="20"/>
        </w:rPr>
        <w:t> </w:t>
      </w:r>
    </w:p>
    <w:p w:rsidR="00000000" w:rsidRDefault="003B7527">
      <w:pPr>
        <w:pStyle w:val="NormalWeb"/>
      </w:pPr>
      <w:r>
        <w:rPr>
          <w:sz w:val="20"/>
          <w:szCs w:val="20"/>
        </w:rPr>
        <w:t>/s/ Robert E. Wolfe /s/</w:t>
      </w:r>
      <w:r>
        <w:rPr>
          <w:sz w:val="20"/>
          <w:szCs w:val="20"/>
        </w:rPr>
        <w:br/>
        <w:t>------------------------------------</w:t>
      </w:r>
      <w:r>
        <w:rPr>
          <w:sz w:val="20"/>
          <w:szCs w:val="20"/>
        </w:rPr>
        <w:t>------</w:t>
      </w:r>
      <w:r>
        <w:rPr>
          <w:sz w:val="20"/>
          <w:szCs w:val="20"/>
        </w:rPr>
        <w:br/>
        <w:t>Robert E. Wolfe, Chairman of the Board and</w:t>
      </w:r>
      <w:r>
        <w:rPr>
          <w:sz w:val="20"/>
          <w:szCs w:val="20"/>
        </w:rPr>
        <w:br/>
        <w:t>Chief Executive Officer and Principal</w:t>
      </w:r>
      <w:r>
        <w:rPr>
          <w:sz w:val="20"/>
          <w:szCs w:val="20"/>
        </w:rPr>
        <w:br/>
        <w:t xml:space="preserve">Financial Officer </w:t>
      </w:r>
    </w:p>
    <w:p w:rsidR="00000000" w:rsidRDefault="003B7527">
      <w:pPr>
        <w:pStyle w:val="NormalWeb"/>
      </w:pPr>
      <w:r>
        <w:rPr>
          <w:sz w:val="20"/>
          <w:szCs w:val="20"/>
        </w:rPr>
        <w:t> </w:t>
      </w:r>
    </w:p>
    <w:sectPr w:rsidR="00000000" w:rsidSect="00D5038B">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proofState w:spelling="clean" w:grammar="clean"/>
  <w:defaultTabStop w:val="720"/>
  <w:drawingGridHorizontalSpacing w:val="120"/>
  <w:displayHorizontalDrawingGridEvery w:val="2"/>
  <w:noPunctuationKerning/>
  <w:characterSpacingControl w:val="doNotCompress"/>
  <w:compat/>
  <w:rsids>
    <w:rsidRoot w:val="00C27026"/>
    <w:rsid w:val="000452C7"/>
    <w:rsid w:val="00246614"/>
    <w:rsid w:val="007C3E7E"/>
    <w:rsid w:val="00A376CF"/>
    <w:rsid w:val="00C27026"/>
    <w:rsid w:val="00D50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r="http://schemas.openxmlformats.org/officeDocument/2006/relationships" xmlns:w="http://schemas.openxmlformats.org/wordprocessingml/2006/main">
  <w:divs>
    <w:div w:id="435947914">
      <w:marLeft w:val="0"/>
      <w:marRight w:val="0"/>
      <w:marTop w:val="0"/>
      <w:marBottom w:val="0"/>
      <w:divBdr>
        <w:top w:val="none" w:sz="0" w:space="0" w:color="auto"/>
        <w:left w:val="none" w:sz="0" w:space="0" w:color="auto"/>
        <w:bottom w:val="none" w:sz="0" w:space="0" w:color="auto"/>
        <w:right w:val="none" w:sz="0" w:space="0" w:color="auto"/>
      </w:divBdr>
      <w:divsChild>
        <w:div w:id="505286304">
          <w:marLeft w:val="0"/>
          <w:marRight w:val="0"/>
          <w:marTop w:val="0"/>
          <w:marBottom w:val="0"/>
          <w:divBdr>
            <w:top w:val="none" w:sz="0" w:space="0" w:color="auto"/>
            <w:left w:val="none" w:sz="0" w:space="0" w:color="auto"/>
            <w:bottom w:val="none" w:sz="0" w:space="0" w:color="auto"/>
            <w:right w:val="none" w:sz="0" w:space="0" w:color="auto"/>
          </w:divBdr>
        </w:div>
      </w:divsChild>
    </w:div>
    <w:div w:id="1022509083">
      <w:marLeft w:val="0"/>
      <w:marRight w:val="0"/>
      <w:marTop w:val="0"/>
      <w:marBottom w:val="0"/>
      <w:divBdr>
        <w:top w:val="none" w:sz="0" w:space="0" w:color="auto"/>
        <w:left w:val="none" w:sz="0" w:space="0" w:color="auto"/>
        <w:bottom w:val="none" w:sz="0" w:space="0" w:color="auto"/>
        <w:right w:val="none" w:sz="0" w:space="0" w:color="auto"/>
      </w:divBdr>
    </w:div>
    <w:div w:id="1190685142">
      <w:marLeft w:val="0"/>
      <w:marRight w:val="0"/>
      <w:marTop w:val="0"/>
      <w:marBottom w:val="0"/>
      <w:divBdr>
        <w:top w:val="none" w:sz="0" w:space="0" w:color="auto"/>
        <w:left w:val="none" w:sz="0" w:space="0" w:color="auto"/>
        <w:bottom w:val="none" w:sz="0" w:space="0" w:color="auto"/>
        <w:right w:val="none" w:sz="0" w:space="0" w:color="auto"/>
      </w:divBdr>
      <w:divsChild>
        <w:div w:id="1666319679">
          <w:marLeft w:val="0"/>
          <w:marRight w:val="0"/>
          <w:marTop w:val="0"/>
          <w:marBottom w:val="0"/>
          <w:divBdr>
            <w:top w:val="none" w:sz="0" w:space="0" w:color="auto"/>
            <w:left w:val="none" w:sz="0" w:space="0" w:color="auto"/>
            <w:bottom w:val="none" w:sz="0" w:space="0" w:color="auto"/>
            <w:right w:val="none" w:sz="0" w:space="0" w:color="auto"/>
          </w:divBdr>
        </w:div>
      </w:divsChild>
    </w:div>
    <w:div w:id="1271627317">
      <w:marLeft w:val="0"/>
      <w:marRight w:val="0"/>
      <w:marTop w:val="0"/>
      <w:marBottom w:val="0"/>
      <w:divBdr>
        <w:top w:val="none" w:sz="0" w:space="0" w:color="auto"/>
        <w:left w:val="none" w:sz="0" w:space="0" w:color="auto"/>
        <w:bottom w:val="none" w:sz="0" w:space="0" w:color="auto"/>
        <w:right w:val="none" w:sz="0" w:space="0" w:color="auto"/>
      </w:divBdr>
      <w:divsChild>
        <w:div w:id="1790465168">
          <w:marLeft w:val="0"/>
          <w:marRight w:val="0"/>
          <w:marTop w:val="0"/>
          <w:marBottom w:val="0"/>
          <w:divBdr>
            <w:top w:val="none" w:sz="0" w:space="0" w:color="auto"/>
            <w:left w:val="none" w:sz="0" w:space="0" w:color="auto"/>
            <w:bottom w:val="none" w:sz="0" w:space="0" w:color="auto"/>
            <w:right w:val="none" w:sz="0" w:space="0" w:color="auto"/>
          </w:divBdr>
        </w:div>
      </w:divsChild>
    </w:div>
    <w:div w:id="1730037922">
      <w:marLeft w:val="0"/>
      <w:marRight w:val="0"/>
      <w:marTop w:val="0"/>
      <w:marBottom w:val="0"/>
      <w:divBdr>
        <w:top w:val="none" w:sz="0" w:space="0" w:color="auto"/>
        <w:left w:val="none" w:sz="0" w:space="0" w:color="auto"/>
        <w:bottom w:val="none" w:sz="0" w:space="0" w:color="auto"/>
        <w:right w:val="none" w:sz="0" w:space="0" w:color="auto"/>
      </w:divBdr>
    </w:div>
    <w:div w:id="1810130847">
      <w:marLeft w:val="0"/>
      <w:marRight w:val="0"/>
      <w:marTop w:val="0"/>
      <w:marBottom w:val="0"/>
      <w:divBdr>
        <w:top w:val="none" w:sz="0" w:space="0" w:color="auto"/>
        <w:left w:val="none" w:sz="0" w:space="0" w:color="auto"/>
        <w:bottom w:val="none" w:sz="0" w:space="0" w:color="auto"/>
        <w:right w:val="none" w:sz="0" w:space="0" w:color="auto"/>
      </w:divBdr>
    </w:div>
    <w:div w:id="183143543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10697</Words>
  <Characters>57812</Characters>
  <Application>Microsoft Office Word</Application>
  <DocSecurity>0</DocSecurity>
  <Lines>1777</Lines>
  <Paragraphs>789</Paragraphs>
  <ScaleCrop>false</ScaleCrop>
  <Company>Crossfield, Inc.</Company>
  <LinksUpToDate>false</LinksUpToDate>
  <CharactersWithSpaces>68260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30, 2014 10Q</dc:title>
  <dc:subject/>
  <dc:creator>Robert Wolfe</dc:creator>
  <cp:keywords/>
  <dc:description/>
  <cp:lastModifiedBy>Robert Wolfe</cp:lastModifiedBy>
  <cp:revision>2</cp:revision>
  <cp:lastPrinted>2014-11-06T14:59:00Z</cp:lastPrinted>
  <dcterms:created xsi:type="dcterms:W3CDTF">2014-11-06T15:00:00Z</dcterms:created>
  <dcterms:modified xsi:type="dcterms:W3CDTF">2014-11-06T15:00:00Z</dcterms:modified>
</cp:coreProperties>
</file>