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47D3">
      <w:pPr>
        <w:divId w:val="490801340"/>
        <w:rPr>
          <w:rFonts w:eastAsia="Times New Roman"/>
        </w:rPr>
      </w:pPr>
      <w:r>
        <w:rPr>
          <w:rFonts w:eastAsia="Times New Roman"/>
        </w:rPr>
        <w:pict>
          <v:rect id="_x0000_i1025" style="width:0;height:3pt" o:hralign="center" o:hrstd="t" o:hrnoshade="t" o:hr="t" fillcolor="black" stroked="f"/>
        </w:pict>
      </w:r>
    </w:p>
    <w:p w:rsidR="00000000" w:rsidRDefault="000D47D3">
      <w:pPr>
        <w:divId w:val="490801340"/>
        <w:rPr>
          <w:rFonts w:eastAsia="Times New Roman"/>
        </w:rPr>
      </w:pPr>
      <w:r>
        <w:rPr>
          <w:rFonts w:eastAsia="Times New Roman"/>
        </w:rPr>
        <w:pict>
          <v:rect id="_x0000_i1026" style="width:0;height:.75pt" o:hralign="center" o:hrstd="t" o:hrnoshade="t" o:hr="t" fillcolor="black" stroked="f"/>
        </w:pict>
      </w:r>
    </w:p>
    <w:p w:rsidR="00000000" w:rsidRDefault="008D0E70">
      <w:pPr>
        <w:divId w:val="617032176"/>
        <w:rPr>
          <w:rFonts w:eastAsia="Times New Roman"/>
        </w:rPr>
      </w:pPr>
      <w:r>
        <w:rPr>
          <w:rFonts w:eastAsia="Times New Roman"/>
        </w:rPr>
        <w:t> </w:t>
      </w:r>
    </w:p>
    <w:p w:rsidR="00000000" w:rsidRDefault="008D0E70">
      <w:pPr>
        <w:pStyle w:val="NormalWeb"/>
        <w:spacing w:before="0" w:beforeAutospacing="0" w:after="0" w:afterAutospacing="0" w:line="320" w:lineRule="atLeast"/>
        <w:jc w:val="center"/>
        <w:rPr>
          <w:sz w:val="28"/>
          <w:szCs w:val="28"/>
        </w:rPr>
      </w:pPr>
      <w:r>
        <w:rPr>
          <w:b/>
          <w:bCs/>
          <w:sz w:val="28"/>
          <w:szCs w:val="28"/>
        </w:rPr>
        <w:t>UNITED STATES</w:t>
      </w:r>
    </w:p>
    <w:p w:rsidR="00000000" w:rsidRDefault="008D0E70">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8D0E70">
      <w:pPr>
        <w:pStyle w:val="NormalWeb"/>
        <w:spacing w:before="0" w:beforeAutospacing="0" w:after="0" w:afterAutospacing="0"/>
        <w:jc w:val="center"/>
      </w:pPr>
      <w:r>
        <w:rPr>
          <w:b/>
          <w:bCs/>
        </w:rPr>
        <w:t>Washington, D.C. 20549</w:t>
      </w:r>
    </w:p>
    <w:p w:rsidR="00000000" w:rsidRDefault="008D0E70">
      <w:pPr>
        <w:pStyle w:val="NormalWeb"/>
        <w:spacing w:before="0" w:beforeAutospacing="0" w:after="0" w:afterAutospacing="0"/>
        <w:jc w:val="center"/>
      </w:pPr>
    </w:p>
    <w:p w:rsidR="00000000" w:rsidRDefault="008D0E70">
      <w:pPr>
        <w:pStyle w:val="NormalWeb"/>
        <w:spacing w:before="0" w:beforeAutospacing="0" w:after="0" w:afterAutospacing="0"/>
        <w:jc w:val="center"/>
      </w:pPr>
      <w:r>
        <w:t>———————</w:t>
      </w:r>
    </w:p>
    <w:p w:rsidR="00000000" w:rsidRDefault="008D0E70">
      <w:pPr>
        <w:pStyle w:val="NormalWeb"/>
        <w:spacing w:before="0" w:beforeAutospacing="0" w:after="0" w:afterAutospacing="0" w:line="320" w:lineRule="atLeast"/>
        <w:jc w:val="center"/>
        <w:rPr>
          <w:sz w:val="28"/>
          <w:szCs w:val="28"/>
        </w:rPr>
      </w:pPr>
      <w:r>
        <w:rPr>
          <w:b/>
          <w:bCs/>
          <w:sz w:val="28"/>
          <w:szCs w:val="28"/>
        </w:rPr>
        <w:t>FORM 10-Q</w:t>
      </w:r>
    </w:p>
    <w:p w:rsidR="00000000" w:rsidRDefault="008D0E70">
      <w:pPr>
        <w:pStyle w:val="NormalWeb"/>
        <w:spacing w:before="0" w:beforeAutospacing="0" w:after="0" w:afterAutospacing="0"/>
        <w:jc w:val="center"/>
      </w:pPr>
      <w:r>
        <w:t>———————</w:t>
      </w:r>
    </w:p>
    <w:p w:rsidR="00000000" w:rsidRDefault="008D0E70">
      <w:pPr>
        <w:pStyle w:val="NormalWeb"/>
        <w:spacing w:before="0" w:beforeAutospacing="0" w:after="0" w:afterAutospacing="0"/>
        <w:jc w:val="center"/>
      </w:pPr>
      <w:r>
        <w:t>(Mark One)</w:t>
      </w:r>
    </w:p>
    <w:p w:rsidR="00000000" w:rsidRDefault="008D0E70">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000000">
        <w:trPr>
          <w:tblCellSpacing w:w="0" w:type="dxa"/>
          <w:jc w:val="center"/>
        </w:trPr>
        <w:tc>
          <w:tcPr>
            <w:tcW w:w="285" w:type="dxa"/>
            <w:vAlign w:val="center"/>
            <w:hideMark/>
          </w:tcPr>
          <w:p w:rsidR="00000000" w:rsidRDefault="008D0E70">
            <w:pPr>
              <w:rPr>
                <w:rFonts w:eastAsia="Times New Roman"/>
                <w:sz w:val="1"/>
                <w:szCs w:val="2"/>
              </w:rPr>
            </w:pPr>
          </w:p>
        </w:tc>
        <w:tc>
          <w:tcPr>
            <w:tcW w:w="10500" w:type="dxa"/>
            <w:vAlign w:val="center"/>
            <w:hideMark/>
          </w:tcPr>
          <w:p w:rsidR="00000000" w:rsidRDefault="008D0E70">
            <w:pPr>
              <w:rPr>
                <w:rFonts w:eastAsia="Times New Roman"/>
                <w:sz w:val="1"/>
                <w:szCs w:val="2"/>
              </w:rPr>
            </w:pPr>
          </w:p>
        </w:tc>
      </w:tr>
      <w:tr w:rsidR="00000000">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8D0E70">
            <w:pPr>
              <w:pStyle w:val="NormalWeb"/>
              <w:spacing w:before="0" w:beforeAutospacing="0" w:after="0" w:afterAutospacing="0"/>
              <w:jc w:val="center"/>
              <w:rPr>
                <w:sz w:val="20"/>
                <w:szCs w:val="20"/>
              </w:rPr>
            </w:pPr>
            <w:r>
              <w:rPr>
                <w:b/>
                <w:bCs/>
                <w:sz w:val="20"/>
                <w:szCs w:val="20"/>
              </w:rPr>
              <w:t>X</w:t>
            </w:r>
          </w:p>
        </w:tc>
        <w:tc>
          <w:tcPr>
            <w:tcW w:w="10500" w:type="dxa"/>
            <w:hideMark/>
          </w:tcPr>
          <w:p w:rsidR="00000000" w:rsidRDefault="008D0E70">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285" w:type="dxa"/>
            <w:hideMark/>
          </w:tcPr>
          <w:p w:rsidR="00000000" w:rsidRDefault="008D0E70">
            <w:pPr>
              <w:pStyle w:val="NormalWeb"/>
              <w:rPr>
                <w:sz w:val="20"/>
                <w:szCs w:val="20"/>
              </w:rPr>
            </w:pPr>
            <w:r>
              <w:rPr>
                <w:sz w:val="20"/>
                <w:szCs w:val="20"/>
              </w:rPr>
              <w:t> </w:t>
            </w:r>
          </w:p>
        </w:tc>
        <w:tc>
          <w:tcPr>
            <w:tcW w:w="10500" w:type="dxa"/>
            <w:hideMark/>
          </w:tcPr>
          <w:p w:rsidR="00000000" w:rsidRDefault="008D0E70">
            <w:pPr>
              <w:pStyle w:val="NormalWeb"/>
              <w:spacing w:before="0" w:beforeAutospacing="0" w:after="0" w:afterAutospacing="0"/>
              <w:rPr>
                <w:sz w:val="20"/>
                <w:szCs w:val="20"/>
              </w:rPr>
            </w:pPr>
            <w:r>
              <w:rPr>
                <w:b/>
                <w:bCs/>
                <w:sz w:val="20"/>
                <w:szCs w:val="20"/>
              </w:rPr>
              <w:t> </w:t>
            </w:r>
          </w:p>
        </w:tc>
      </w:tr>
      <w:tr w:rsidR="00000000">
        <w:trPr>
          <w:tblCellSpacing w:w="0" w:type="dxa"/>
          <w:jc w:val="center"/>
        </w:trPr>
        <w:tc>
          <w:tcPr>
            <w:tcW w:w="10800" w:type="dxa"/>
            <w:gridSpan w:val="2"/>
            <w:hideMark/>
          </w:tcPr>
          <w:p w:rsidR="00000000" w:rsidRDefault="008D0E70">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March 31, 2013</w:t>
            </w:r>
          </w:p>
        </w:tc>
      </w:tr>
      <w:tr w:rsidR="00000000">
        <w:trPr>
          <w:tblCellSpacing w:w="0" w:type="dxa"/>
          <w:jc w:val="center"/>
        </w:trPr>
        <w:tc>
          <w:tcPr>
            <w:tcW w:w="10800" w:type="dxa"/>
            <w:gridSpan w:val="2"/>
            <w:hideMark/>
          </w:tcPr>
          <w:p w:rsidR="00000000" w:rsidRDefault="008D0E70">
            <w:pPr>
              <w:pStyle w:val="NormalWeb"/>
              <w:spacing w:before="0" w:beforeAutospacing="0" w:after="0" w:afterAutospacing="0"/>
              <w:jc w:val="center"/>
              <w:rPr>
                <w:sz w:val="20"/>
                <w:szCs w:val="20"/>
              </w:rPr>
            </w:pPr>
            <w:r>
              <w:rPr>
                <w:sz w:val="20"/>
                <w:szCs w:val="20"/>
              </w:rPr>
              <w:t>Or</w:t>
            </w:r>
          </w:p>
        </w:tc>
      </w:tr>
      <w:tr w:rsidR="00000000">
        <w:trPr>
          <w:tblCellSpacing w:w="0" w:type="dxa"/>
          <w:jc w:val="center"/>
        </w:trPr>
        <w:tc>
          <w:tcPr>
            <w:tcW w:w="285" w:type="dxa"/>
            <w:hideMark/>
          </w:tcPr>
          <w:p w:rsidR="00000000" w:rsidRDefault="008D0E70">
            <w:pPr>
              <w:pStyle w:val="NormalWeb"/>
              <w:rPr>
                <w:sz w:val="20"/>
                <w:szCs w:val="20"/>
              </w:rPr>
            </w:pPr>
            <w:r>
              <w:rPr>
                <w:sz w:val="20"/>
                <w:szCs w:val="20"/>
              </w:rPr>
              <w:t> </w:t>
            </w:r>
          </w:p>
        </w:tc>
        <w:tc>
          <w:tcPr>
            <w:tcW w:w="10500" w:type="dxa"/>
            <w:hideMark/>
          </w:tcPr>
          <w:p w:rsidR="00000000" w:rsidRDefault="008D0E70">
            <w:pPr>
              <w:pStyle w:val="NormalWeb"/>
              <w:rPr>
                <w:sz w:val="20"/>
                <w:szCs w:val="20"/>
              </w:rPr>
            </w:pPr>
            <w:r>
              <w:rPr>
                <w:sz w:val="20"/>
                <w:szCs w:val="20"/>
              </w:rPr>
              <w:t> </w:t>
            </w:r>
          </w:p>
        </w:tc>
      </w:tr>
      <w:tr w:rsidR="00000000">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8D0E70">
            <w:pPr>
              <w:rPr>
                <w:rFonts w:eastAsia="Times New Roman"/>
                <w:sz w:val="20"/>
                <w:szCs w:val="20"/>
              </w:rPr>
            </w:pPr>
          </w:p>
        </w:tc>
        <w:tc>
          <w:tcPr>
            <w:tcW w:w="10500" w:type="dxa"/>
            <w:hideMark/>
          </w:tcPr>
          <w:p w:rsidR="00000000" w:rsidRDefault="008D0E70">
            <w:pPr>
              <w:pStyle w:val="NormalWeb"/>
              <w:spacing w:before="0" w:beforeAutospacing="0" w:after="0" w:afterAutospacing="0"/>
              <w:rPr>
                <w:sz w:val="20"/>
                <w:szCs w:val="20"/>
              </w:rPr>
            </w:pPr>
            <w:r>
              <w:rPr>
                <w:b/>
                <w:bCs/>
                <w:sz w:val="20"/>
                <w:szCs w:val="20"/>
              </w:rPr>
              <w:t> TRANSITION REPORT PURSUANT TO SECTION 13 OR 15(d) OF THE SECURITIES EXCHANGE  </w:t>
            </w:r>
            <w:r>
              <w:rPr>
                <w:b/>
                <w:bCs/>
                <w:sz w:val="20"/>
                <w:szCs w:val="20"/>
              </w:rPr>
              <w:t>ACT OF 1934</w:t>
            </w:r>
          </w:p>
        </w:tc>
      </w:tr>
      <w:tr w:rsidR="00000000">
        <w:trPr>
          <w:tblCellSpacing w:w="0" w:type="dxa"/>
          <w:jc w:val="center"/>
        </w:trPr>
        <w:tc>
          <w:tcPr>
            <w:tcW w:w="285" w:type="dxa"/>
            <w:hideMark/>
          </w:tcPr>
          <w:p w:rsidR="00000000" w:rsidRDefault="008D0E70">
            <w:pPr>
              <w:pStyle w:val="NormalWeb"/>
              <w:rPr>
                <w:sz w:val="20"/>
                <w:szCs w:val="20"/>
              </w:rPr>
            </w:pPr>
            <w:r>
              <w:rPr>
                <w:sz w:val="20"/>
                <w:szCs w:val="20"/>
              </w:rPr>
              <w:t> </w:t>
            </w:r>
          </w:p>
        </w:tc>
        <w:tc>
          <w:tcPr>
            <w:tcW w:w="10500" w:type="dxa"/>
            <w:hideMark/>
          </w:tcPr>
          <w:p w:rsidR="00000000" w:rsidRDefault="008D0E70">
            <w:pPr>
              <w:rPr>
                <w:rFonts w:eastAsia="Times New Roman"/>
                <w:sz w:val="20"/>
                <w:szCs w:val="20"/>
              </w:rPr>
            </w:pPr>
          </w:p>
        </w:tc>
      </w:tr>
      <w:tr w:rsidR="00000000">
        <w:trPr>
          <w:tblCellSpacing w:w="0" w:type="dxa"/>
          <w:jc w:val="center"/>
        </w:trPr>
        <w:tc>
          <w:tcPr>
            <w:tcW w:w="10800" w:type="dxa"/>
            <w:gridSpan w:val="2"/>
            <w:hideMark/>
          </w:tcPr>
          <w:p w:rsidR="00000000" w:rsidRDefault="008D0E70">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8D0E70">
      <w:pPr>
        <w:pStyle w:val="NormalWeb"/>
        <w:spacing w:before="0" w:beforeAutospacing="0" w:after="0" w:afterAutospacing="0"/>
        <w:jc w:val="center"/>
      </w:pPr>
    </w:p>
    <w:p w:rsidR="00000000" w:rsidRDefault="008D0E70">
      <w:pPr>
        <w:pStyle w:val="NormalWeb"/>
        <w:spacing w:before="0" w:beforeAutospacing="0" w:after="0" w:afterAutospacing="0"/>
        <w:jc w:val="center"/>
      </w:pPr>
      <w:r>
        <w:t>———————</w:t>
      </w:r>
    </w:p>
    <w:p w:rsidR="00000000" w:rsidRDefault="008D0E70">
      <w:pPr>
        <w:jc w:val="center"/>
        <w:rPr>
          <w:rFonts w:eastAsia="Times New Roman"/>
        </w:rPr>
      </w:pPr>
      <w:proofErr w:type="gramStart"/>
      <w:r>
        <w:rPr>
          <w:rStyle w:val="Strong"/>
          <w:rFonts w:eastAsia="Times New Roman"/>
          <w:sz w:val="32"/>
          <w:szCs w:val="32"/>
        </w:rPr>
        <w:t>ADVANCED OXYGEN TECHNOLOGIES, INC.</w:t>
      </w:r>
      <w:proofErr w:type="gramEnd"/>
    </w:p>
    <w:p w:rsidR="00000000" w:rsidRDefault="008D0E70">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8D0E70">
      <w:pPr>
        <w:pStyle w:val="NormalWeb"/>
        <w:spacing w:before="0" w:beforeAutospacing="0" w:after="0" w:afterAutospacing="0"/>
        <w:jc w:val="center"/>
      </w:pPr>
      <w:r>
        <w:t>———————</w:t>
      </w:r>
    </w:p>
    <w:p w:rsidR="00000000" w:rsidRDefault="008D0E70">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000000">
        <w:trPr>
          <w:tblCellSpacing w:w="0" w:type="dxa"/>
          <w:jc w:val="center"/>
        </w:trPr>
        <w:tc>
          <w:tcPr>
            <w:tcW w:w="3600" w:type="dxa"/>
            <w:vAlign w:val="center"/>
            <w:hideMark/>
          </w:tcPr>
          <w:p w:rsidR="00000000" w:rsidRDefault="008D0E70">
            <w:pPr>
              <w:rPr>
                <w:rFonts w:eastAsia="Times New Roman"/>
                <w:sz w:val="1"/>
                <w:szCs w:val="2"/>
              </w:rPr>
            </w:pPr>
          </w:p>
        </w:tc>
        <w:tc>
          <w:tcPr>
            <w:tcW w:w="3600" w:type="dxa"/>
            <w:vAlign w:val="center"/>
            <w:hideMark/>
          </w:tcPr>
          <w:p w:rsidR="00000000" w:rsidRDefault="008D0E70">
            <w:pPr>
              <w:rPr>
                <w:rFonts w:eastAsia="Times New Roman"/>
                <w:sz w:val="1"/>
                <w:szCs w:val="2"/>
              </w:rPr>
            </w:pPr>
          </w:p>
        </w:tc>
        <w:tc>
          <w:tcPr>
            <w:tcW w:w="3585" w:type="dxa"/>
            <w:vAlign w:val="center"/>
            <w:hideMark/>
          </w:tcPr>
          <w:p w:rsidR="00000000" w:rsidRDefault="008D0E70">
            <w:pPr>
              <w:rPr>
                <w:rFonts w:eastAsia="Times New Roman"/>
                <w:sz w:val="1"/>
                <w:szCs w:val="2"/>
              </w:rPr>
            </w:pPr>
          </w:p>
        </w:tc>
      </w:tr>
      <w:tr w:rsidR="00000000">
        <w:trPr>
          <w:tblCellSpacing w:w="0" w:type="dxa"/>
          <w:jc w:val="center"/>
        </w:trPr>
        <w:tc>
          <w:tcPr>
            <w:tcW w:w="3600" w:type="dxa"/>
            <w:hideMark/>
          </w:tcPr>
          <w:p w:rsidR="00000000" w:rsidRDefault="008D0E70">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8D0E70">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8D0E70">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8D0E70">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000000" w:rsidRDefault="008D0E70">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8D0E70">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8D0E70">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8D0E70">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8D0E70">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8D0E70">
      <w:pPr>
        <w:pStyle w:val="NormalWeb"/>
        <w:spacing w:before="0" w:beforeAutospacing="0" w:after="0" w:afterAutospacing="0"/>
        <w:jc w:val="center"/>
      </w:pPr>
    </w:p>
    <w:p w:rsidR="00000000" w:rsidRDefault="008D0E70">
      <w:pPr>
        <w:pStyle w:val="NormalWeb"/>
        <w:spacing w:before="0" w:beforeAutospacing="0" w:after="0" w:afterAutospacing="0"/>
        <w:jc w:val="center"/>
      </w:pPr>
      <w:r>
        <w:rPr>
          <w:b/>
          <w:bCs/>
        </w:rPr>
        <w:t xml:space="preserve">C/O Crossfield, Inc., 653 VT Route 12A, PO Box 189, Randolph, VT 05060 </w:t>
      </w:r>
    </w:p>
    <w:p w:rsidR="00000000" w:rsidRDefault="008D0E70">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8D0E70">
      <w:pPr>
        <w:pStyle w:val="NormalWeb"/>
        <w:spacing w:before="0" w:beforeAutospacing="0" w:after="0" w:afterAutospacing="0"/>
        <w:jc w:val="center"/>
      </w:pPr>
    </w:p>
    <w:p w:rsidR="00000000" w:rsidRDefault="008D0E70">
      <w:pPr>
        <w:pStyle w:val="NormalWeb"/>
        <w:spacing w:before="0" w:beforeAutospacing="0" w:after="0" w:afterAutospacing="0"/>
        <w:jc w:val="center"/>
      </w:pPr>
      <w:r>
        <w:rPr>
          <w:b/>
          <w:bCs/>
        </w:rPr>
        <w:t>(212) 727-7085</w:t>
      </w:r>
    </w:p>
    <w:p w:rsidR="00000000" w:rsidRDefault="008D0E70">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000000" w:rsidRDefault="008D0E70">
      <w:pPr>
        <w:pStyle w:val="NormalWeb"/>
        <w:spacing w:before="133" w:beforeAutospacing="0" w:after="0" w:afterAutospacing="0"/>
        <w:jc w:val="center"/>
      </w:pPr>
      <w:r>
        <w:rPr>
          <w:b/>
          <w:bCs/>
        </w:rPr>
        <w:t>C/O Crossfield, Inc., 100 Maiden Lane, Suite 2003, New York, NY 10038</w:t>
      </w:r>
    </w:p>
    <w:p w:rsidR="00000000" w:rsidRDefault="008D0E70">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8D0E70">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000000">
        <w:trPr>
          <w:tblCellSpacing w:w="0" w:type="dxa"/>
          <w:jc w:val="center"/>
        </w:trPr>
        <w:tc>
          <w:tcPr>
            <w:tcW w:w="3255" w:type="dxa"/>
            <w:vAlign w:val="center"/>
            <w:hideMark/>
          </w:tcPr>
          <w:p w:rsidR="00000000" w:rsidRDefault="008D0E70">
            <w:pPr>
              <w:rPr>
                <w:rFonts w:eastAsia="Times New Roman"/>
                <w:sz w:val="1"/>
                <w:szCs w:val="2"/>
              </w:rPr>
            </w:pPr>
          </w:p>
        </w:tc>
        <w:tc>
          <w:tcPr>
            <w:tcW w:w="255" w:type="dxa"/>
            <w:vAlign w:val="center"/>
            <w:hideMark/>
          </w:tcPr>
          <w:p w:rsidR="00000000" w:rsidRDefault="008D0E70">
            <w:pPr>
              <w:rPr>
                <w:rFonts w:eastAsia="Times New Roman"/>
                <w:sz w:val="1"/>
                <w:szCs w:val="2"/>
              </w:rPr>
            </w:pPr>
          </w:p>
        </w:tc>
        <w:tc>
          <w:tcPr>
            <w:tcW w:w="2940" w:type="dxa"/>
            <w:vAlign w:val="center"/>
            <w:hideMark/>
          </w:tcPr>
          <w:p w:rsidR="00000000" w:rsidRDefault="008D0E70">
            <w:pPr>
              <w:rPr>
                <w:rFonts w:eastAsia="Times New Roman"/>
                <w:sz w:val="1"/>
                <w:szCs w:val="2"/>
              </w:rPr>
            </w:pPr>
          </w:p>
        </w:tc>
        <w:tc>
          <w:tcPr>
            <w:tcW w:w="270" w:type="dxa"/>
            <w:vAlign w:val="center"/>
            <w:hideMark/>
          </w:tcPr>
          <w:p w:rsidR="00000000" w:rsidRDefault="008D0E70">
            <w:pPr>
              <w:rPr>
                <w:rFonts w:eastAsia="Times New Roman"/>
                <w:sz w:val="1"/>
                <w:szCs w:val="2"/>
              </w:rPr>
            </w:pPr>
          </w:p>
        </w:tc>
        <w:tc>
          <w:tcPr>
            <w:tcW w:w="2445" w:type="dxa"/>
            <w:vAlign w:val="center"/>
            <w:hideMark/>
          </w:tcPr>
          <w:p w:rsidR="00000000" w:rsidRDefault="008D0E70">
            <w:pPr>
              <w:rPr>
                <w:rFonts w:eastAsia="Times New Roman"/>
                <w:sz w:val="1"/>
                <w:szCs w:val="2"/>
              </w:rPr>
            </w:pPr>
          </w:p>
        </w:tc>
        <w:tc>
          <w:tcPr>
            <w:tcW w:w="270" w:type="dxa"/>
            <w:vAlign w:val="center"/>
            <w:hideMark/>
          </w:tcPr>
          <w:p w:rsidR="00000000" w:rsidRDefault="008D0E70">
            <w:pPr>
              <w:rPr>
                <w:rFonts w:eastAsia="Times New Roman"/>
                <w:sz w:val="1"/>
                <w:szCs w:val="2"/>
              </w:rPr>
            </w:pPr>
          </w:p>
        </w:tc>
        <w:tc>
          <w:tcPr>
            <w:tcW w:w="540" w:type="dxa"/>
            <w:vAlign w:val="center"/>
            <w:hideMark/>
          </w:tcPr>
          <w:p w:rsidR="00000000" w:rsidRDefault="008D0E70">
            <w:pPr>
              <w:rPr>
                <w:rFonts w:eastAsia="Times New Roman"/>
                <w:sz w:val="1"/>
                <w:szCs w:val="2"/>
              </w:rPr>
            </w:pPr>
          </w:p>
        </w:tc>
        <w:tc>
          <w:tcPr>
            <w:tcW w:w="270" w:type="dxa"/>
            <w:vAlign w:val="center"/>
            <w:hideMark/>
          </w:tcPr>
          <w:p w:rsidR="00000000" w:rsidRDefault="008D0E70">
            <w:pPr>
              <w:rPr>
                <w:rFonts w:eastAsia="Times New Roman"/>
                <w:sz w:val="1"/>
                <w:szCs w:val="2"/>
              </w:rPr>
            </w:pPr>
          </w:p>
        </w:tc>
        <w:tc>
          <w:tcPr>
            <w:tcW w:w="510" w:type="dxa"/>
            <w:vAlign w:val="center"/>
            <w:hideMark/>
          </w:tcPr>
          <w:p w:rsidR="00000000" w:rsidRDefault="008D0E70">
            <w:pPr>
              <w:rPr>
                <w:rFonts w:eastAsia="Times New Roman"/>
                <w:sz w:val="1"/>
                <w:szCs w:val="2"/>
              </w:rPr>
            </w:pPr>
          </w:p>
        </w:tc>
      </w:tr>
      <w:tr w:rsidR="00000000">
        <w:trPr>
          <w:tblCellSpacing w:w="0" w:type="dxa"/>
          <w:jc w:val="center"/>
        </w:trPr>
        <w:tc>
          <w:tcPr>
            <w:tcW w:w="10800" w:type="dxa"/>
            <w:gridSpan w:val="9"/>
            <w:hideMark/>
          </w:tcPr>
          <w:p w:rsidR="00000000" w:rsidRDefault="008D0E70">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000000">
        <w:trPr>
          <w:tblCellSpacing w:w="0" w:type="dxa"/>
          <w:jc w:val="center"/>
        </w:trPr>
        <w:tc>
          <w:tcPr>
            <w:tcW w:w="9180" w:type="dxa"/>
            <w:gridSpan w:val="5"/>
            <w:tcBorders>
              <w:right w:val="single" w:sz="6" w:space="0" w:color="000000"/>
            </w:tcBorders>
            <w:hideMark/>
          </w:tcPr>
          <w:p w:rsidR="00000000" w:rsidRDefault="008D0E70">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X</w:t>
            </w:r>
          </w:p>
        </w:tc>
        <w:tc>
          <w:tcPr>
            <w:tcW w:w="540" w:type="dxa"/>
            <w:tcBorders>
              <w:right w:val="single" w:sz="6" w:space="0" w:color="000000"/>
            </w:tcBorders>
            <w:hideMark/>
          </w:tcPr>
          <w:p w:rsidR="00000000" w:rsidRDefault="008D0E70">
            <w:pPr>
              <w:pStyle w:val="NormalWeb"/>
              <w:spacing w:before="0" w:beforeAutospacing="0" w:after="0" w:afterAutospacing="0"/>
              <w:rPr>
                <w:sz w:val="20"/>
                <w:szCs w:val="20"/>
              </w:rPr>
            </w:pPr>
            <w:r>
              <w:rPr>
                <w:sz w:val="20"/>
                <w:szCs w:val="20"/>
              </w:rPr>
              <w:t> Yes</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rPr>
                <w:sz w:val="20"/>
                <w:szCs w:val="20"/>
              </w:rPr>
            </w:pPr>
            <w:r>
              <w:rPr>
                <w:sz w:val="20"/>
                <w:szCs w:val="20"/>
              </w:rPr>
              <w:t> </w:t>
            </w:r>
          </w:p>
        </w:tc>
        <w:tc>
          <w:tcPr>
            <w:tcW w:w="510" w:type="dxa"/>
            <w:hideMark/>
          </w:tcPr>
          <w:p w:rsidR="00000000" w:rsidRDefault="008D0E70">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10800" w:type="dxa"/>
            <w:gridSpan w:val="9"/>
            <w:hideMark/>
          </w:tcPr>
          <w:p w:rsidR="00000000" w:rsidRDefault="008D0E70">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8D0E70">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w:t>
            </w:r>
            <w:r>
              <w:rPr>
                <w:sz w:val="20"/>
                <w:szCs w:val="20"/>
              </w:rPr>
              <w:t>” in Rule 12b-2 of the Exchange Act.</w:t>
            </w:r>
          </w:p>
        </w:tc>
      </w:tr>
      <w:tr w:rsidR="00000000">
        <w:trPr>
          <w:tblCellSpacing w:w="0" w:type="dxa"/>
          <w:jc w:val="center"/>
        </w:trPr>
        <w:tc>
          <w:tcPr>
            <w:tcW w:w="9180" w:type="dxa"/>
            <w:gridSpan w:val="5"/>
            <w:hideMark/>
          </w:tcPr>
          <w:p w:rsidR="00000000" w:rsidRDefault="008D0E70">
            <w:pPr>
              <w:pStyle w:val="NormalWeb"/>
              <w:rPr>
                <w:sz w:val="20"/>
                <w:szCs w:val="20"/>
              </w:rPr>
            </w:pPr>
            <w:r>
              <w:rPr>
                <w:sz w:val="20"/>
                <w:szCs w:val="20"/>
              </w:rPr>
              <w:t> </w:t>
            </w:r>
          </w:p>
        </w:tc>
        <w:tc>
          <w:tcPr>
            <w:tcW w:w="1605" w:type="dxa"/>
            <w:gridSpan w:val="4"/>
            <w:hideMark/>
          </w:tcPr>
          <w:p w:rsidR="00000000" w:rsidRDefault="008D0E70">
            <w:pPr>
              <w:pStyle w:val="NormalWeb"/>
              <w:rPr>
                <w:sz w:val="20"/>
                <w:szCs w:val="20"/>
              </w:rPr>
            </w:pPr>
            <w:r>
              <w:rPr>
                <w:sz w:val="20"/>
                <w:szCs w:val="20"/>
              </w:rPr>
              <w:t> </w:t>
            </w:r>
          </w:p>
        </w:tc>
      </w:tr>
      <w:tr w:rsidR="00000000">
        <w:trPr>
          <w:tblCellSpacing w:w="0" w:type="dxa"/>
          <w:jc w:val="center"/>
        </w:trPr>
        <w:tc>
          <w:tcPr>
            <w:tcW w:w="3255" w:type="dxa"/>
            <w:tcBorders>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6" w:space="0" w:color="000000"/>
              <w:bottom w:val="single" w:sz="6" w:space="0" w:color="000000"/>
              <w:right w:val="single" w:sz="6" w:space="0" w:color="000000"/>
            </w:tcBorders>
            <w:hideMark/>
          </w:tcPr>
          <w:p w:rsidR="00000000" w:rsidRDefault="008D0E70">
            <w:pPr>
              <w:pStyle w:val="NormalWeb"/>
              <w:rPr>
                <w:sz w:val="20"/>
                <w:szCs w:val="20"/>
              </w:rPr>
            </w:pPr>
            <w:r>
              <w:rPr>
                <w:sz w:val="20"/>
                <w:szCs w:val="20"/>
              </w:rPr>
              <w:t> </w:t>
            </w:r>
          </w:p>
        </w:tc>
        <w:tc>
          <w:tcPr>
            <w:tcW w:w="2940" w:type="dxa"/>
            <w:hideMark/>
          </w:tcPr>
          <w:p w:rsidR="00000000" w:rsidRDefault="008D0E70">
            <w:pPr>
              <w:pStyle w:val="NormalWeb"/>
              <w:rPr>
                <w:sz w:val="20"/>
                <w:szCs w:val="20"/>
              </w:rPr>
            </w:pPr>
            <w:r>
              <w:rPr>
                <w:sz w:val="20"/>
                <w:szCs w:val="20"/>
              </w:rPr>
              <w:t> </w:t>
            </w:r>
          </w:p>
        </w:tc>
        <w:tc>
          <w:tcPr>
            <w:tcW w:w="270" w:type="dxa"/>
            <w:hideMark/>
          </w:tcPr>
          <w:p w:rsidR="00000000" w:rsidRDefault="008D0E70">
            <w:pPr>
              <w:pStyle w:val="NormalWeb"/>
              <w:rPr>
                <w:sz w:val="20"/>
                <w:szCs w:val="20"/>
              </w:rPr>
            </w:pPr>
            <w:r>
              <w:rPr>
                <w:sz w:val="20"/>
                <w:szCs w:val="20"/>
              </w:rPr>
              <w:t> </w:t>
            </w:r>
          </w:p>
        </w:tc>
        <w:tc>
          <w:tcPr>
            <w:tcW w:w="3255" w:type="dxa"/>
            <w:gridSpan w:val="3"/>
            <w:tcBorders>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Accelerated filer</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rPr>
                <w:sz w:val="20"/>
                <w:szCs w:val="20"/>
              </w:rPr>
            </w:pPr>
            <w:r>
              <w:rPr>
                <w:sz w:val="20"/>
                <w:szCs w:val="20"/>
              </w:rPr>
              <w:t> </w:t>
            </w:r>
          </w:p>
        </w:tc>
        <w:tc>
          <w:tcPr>
            <w:tcW w:w="510" w:type="dxa"/>
            <w:hideMark/>
          </w:tcPr>
          <w:p w:rsidR="00000000" w:rsidRDefault="008D0E70">
            <w:pPr>
              <w:pStyle w:val="NormalWeb"/>
              <w:rPr>
                <w:sz w:val="20"/>
                <w:szCs w:val="20"/>
              </w:rPr>
            </w:pPr>
            <w:r>
              <w:rPr>
                <w:sz w:val="20"/>
                <w:szCs w:val="20"/>
              </w:rPr>
              <w:t> </w:t>
            </w:r>
          </w:p>
        </w:tc>
      </w:tr>
      <w:tr w:rsidR="00000000">
        <w:trPr>
          <w:tblCellSpacing w:w="0" w:type="dxa"/>
          <w:jc w:val="center"/>
        </w:trPr>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c>
          <w:tcPr>
            <w:tcW w:w="0" w:type="auto"/>
            <w:vAlign w:val="center"/>
            <w:hideMark/>
          </w:tcPr>
          <w:p w:rsidR="00000000" w:rsidRDefault="008D0E70">
            <w:pPr>
              <w:rPr>
                <w:rFonts w:eastAsia="Times New Roman"/>
                <w:sz w:val="20"/>
                <w:szCs w:val="20"/>
              </w:rPr>
            </w:pPr>
          </w:p>
        </w:tc>
      </w:tr>
      <w:tr w:rsidR="00000000">
        <w:trPr>
          <w:tblCellSpacing w:w="0" w:type="dxa"/>
          <w:jc w:val="center"/>
        </w:trPr>
        <w:tc>
          <w:tcPr>
            <w:tcW w:w="3255" w:type="dxa"/>
            <w:tcBorders>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Non-accelerated filer</w:t>
            </w:r>
          </w:p>
        </w:tc>
        <w:tc>
          <w:tcPr>
            <w:tcW w:w="255" w:type="dxa"/>
            <w:tcBorders>
              <w:top w:val="single" w:sz="6" w:space="0" w:color="000000"/>
              <w:bottom w:val="single" w:sz="6" w:space="0" w:color="000000"/>
              <w:right w:val="single" w:sz="6" w:space="0" w:color="000000"/>
            </w:tcBorders>
            <w:hideMark/>
          </w:tcPr>
          <w:p w:rsidR="00000000" w:rsidRDefault="008D0E70">
            <w:pPr>
              <w:pStyle w:val="NormalWeb"/>
              <w:rPr>
                <w:sz w:val="20"/>
                <w:szCs w:val="20"/>
              </w:rPr>
            </w:pPr>
            <w:r>
              <w:rPr>
                <w:sz w:val="20"/>
                <w:szCs w:val="20"/>
              </w:rPr>
              <w:t> </w:t>
            </w:r>
          </w:p>
        </w:tc>
        <w:tc>
          <w:tcPr>
            <w:tcW w:w="2940" w:type="dxa"/>
            <w:hideMark/>
          </w:tcPr>
          <w:p w:rsidR="00000000" w:rsidRDefault="008D0E70">
            <w:pPr>
              <w:pStyle w:val="NormalWeb"/>
              <w:rPr>
                <w:sz w:val="20"/>
                <w:szCs w:val="20"/>
              </w:rPr>
            </w:pPr>
            <w:r>
              <w:rPr>
                <w:sz w:val="20"/>
                <w:szCs w:val="20"/>
              </w:rPr>
              <w:t> </w:t>
            </w:r>
          </w:p>
        </w:tc>
        <w:tc>
          <w:tcPr>
            <w:tcW w:w="270" w:type="dxa"/>
            <w:hideMark/>
          </w:tcPr>
          <w:p w:rsidR="00000000" w:rsidRDefault="008D0E70">
            <w:pPr>
              <w:pStyle w:val="NormalWeb"/>
              <w:rPr>
                <w:sz w:val="20"/>
                <w:szCs w:val="20"/>
              </w:rPr>
            </w:pPr>
            <w:r>
              <w:rPr>
                <w:sz w:val="20"/>
                <w:szCs w:val="20"/>
              </w:rPr>
              <w:t> </w:t>
            </w:r>
          </w:p>
        </w:tc>
        <w:tc>
          <w:tcPr>
            <w:tcW w:w="3255" w:type="dxa"/>
            <w:gridSpan w:val="3"/>
            <w:tcBorders>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X</w:t>
            </w:r>
          </w:p>
        </w:tc>
        <w:tc>
          <w:tcPr>
            <w:tcW w:w="510" w:type="dxa"/>
            <w:hideMark/>
          </w:tcPr>
          <w:p w:rsidR="00000000" w:rsidRDefault="008D0E70">
            <w:pPr>
              <w:pStyle w:val="NormalWeb"/>
              <w:rPr>
                <w:sz w:val="20"/>
                <w:szCs w:val="20"/>
              </w:rPr>
            </w:pPr>
            <w:r>
              <w:rPr>
                <w:sz w:val="20"/>
                <w:szCs w:val="20"/>
              </w:rPr>
              <w:t> </w:t>
            </w:r>
          </w:p>
        </w:tc>
      </w:tr>
      <w:tr w:rsidR="00000000">
        <w:trPr>
          <w:tblCellSpacing w:w="0" w:type="dxa"/>
          <w:jc w:val="center"/>
        </w:trPr>
        <w:tc>
          <w:tcPr>
            <w:tcW w:w="9180" w:type="dxa"/>
            <w:gridSpan w:val="5"/>
            <w:hideMark/>
          </w:tcPr>
          <w:p w:rsidR="00000000" w:rsidRDefault="008D0E70">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000000" w:rsidRDefault="008D0E70">
            <w:pPr>
              <w:pStyle w:val="NormalWeb"/>
              <w:rPr>
                <w:sz w:val="20"/>
                <w:szCs w:val="20"/>
              </w:rPr>
            </w:pPr>
            <w:r>
              <w:rPr>
                <w:sz w:val="20"/>
                <w:szCs w:val="20"/>
              </w:rPr>
              <w:t> </w:t>
            </w:r>
          </w:p>
        </w:tc>
      </w:tr>
      <w:tr w:rsidR="00000000">
        <w:trPr>
          <w:tblCellSpacing w:w="0" w:type="dxa"/>
          <w:jc w:val="center"/>
        </w:trPr>
        <w:tc>
          <w:tcPr>
            <w:tcW w:w="9180" w:type="dxa"/>
            <w:gridSpan w:val="5"/>
            <w:tcBorders>
              <w:right w:val="single" w:sz="6" w:space="0" w:color="000000"/>
            </w:tcBorders>
            <w:hideMark/>
          </w:tcPr>
          <w:p w:rsidR="00000000" w:rsidRDefault="008D0E70">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rPr>
                <w:sz w:val="20"/>
                <w:szCs w:val="20"/>
              </w:rPr>
            </w:pPr>
            <w:r>
              <w:rPr>
                <w:sz w:val="20"/>
                <w:szCs w:val="20"/>
              </w:rPr>
              <w:t> </w:t>
            </w:r>
          </w:p>
        </w:tc>
        <w:tc>
          <w:tcPr>
            <w:tcW w:w="540" w:type="dxa"/>
            <w:tcBorders>
              <w:right w:val="single" w:sz="6" w:space="0" w:color="000000"/>
            </w:tcBorders>
            <w:hideMark/>
          </w:tcPr>
          <w:p w:rsidR="00000000" w:rsidRDefault="008D0E70">
            <w:pPr>
              <w:pStyle w:val="NormalWeb"/>
              <w:spacing w:before="0" w:beforeAutospacing="0" w:after="0" w:afterAutospacing="0"/>
              <w:rPr>
                <w:sz w:val="20"/>
                <w:szCs w:val="20"/>
              </w:rPr>
            </w:pPr>
            <w:r>
              <w:rPr>
                <w:sz w:val="20"/>
                <w:szCs w:val="20"/>
              </w:rPr>
              <w:t> Yes</w:t>
            </w:r>
          </w:p>
        </w:tc>
        <w:tc>
          <w:tcPr>
            <w:tcW w:w="270" w:type="dxa"/>
            <w:tcBorders>
              <w:top w:val="single" w:sz="6" w:space="0" w:color="000000"/>
              <w:bottom w:val="single" w:sz="6" w:space="0" w:color="000000"/>
              <w:right w:val="single" w:sz="6" w:space="0" w:color="000000"/>
            </w:tcBorders>
            <w:hideMark/>
          </w:tcPr>
          <w:p w:rsidR="00000000" w:rsidRDefault="008D0E70">
            <w:pPr>
              <w:pStyle w:val="NormalWeb"/>
              <w:spacing w:before="0" w:beforeAutospacing="0" w:after="0" w:afterAutospacing="0"/>
              <w:jc w:val="center"/>
              <w:rPr>
                <w:sz w:val="20"/>
                <w:szCs w:val="20"/>
              </w:rPr>
            </w:pPr>
            <w:r>
              <w:rPr>
                <w:sz w:val="20"/>
                <w:szCs w:val="20"/>
              </w:rPr>
              <w:t>X</w:t>
            </w:r>
          </w:p>
        </w:tc>
        <w:tc>
          <w:tcPr>
            <w:tcW w:w="510" w:type="dxa"/>
            <w:hideMark/>
          </w:tcPr>
          <w:p w:rsidR="00000000" w:rsidRDefault="008D0E70">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9180" w:type="dxa"/>
            <w:gridSpan w:val="5"/>
            <w:hideMark/>
          </w:tcPr>
          <w:p w:rsidR="00000000" w:rsidRDefault="008D0E70">
            <w:pPr>
              <w:pStyle w:val="NormalWeb"/>
              <w:rPr>
                <w:sz w:val="20"/>
                <w:szCs w:val="20"/>
              </w:rPr>
            </w:pPr>
            <w:r>
              <w:rPr>
                <w:sz w:val="20"/>
                <w:szCs w:val="20"/>
              </w:rPr>
              <w:t> </w:t>
            </w:r>
          </w:p>
        </w:tc>
        <w:tc>
          <w:tcPr>
            <w:tcW w:w="1605" w:type="dxa"/>
            <w:gridSpan w:val="4"/>
            <w:hideMark/>
          </w:tcPr>
          <w:p w:rsidR="00000000" w:rsidRDefault="008D0E70">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8D0E70">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000000">
        <w:trPr>
          <w:tblCellSpacing w:w="0" w:type="dxa"/>
          <w:jc w:val="center"/>
        </w:trPr>
        <w:tc>
          <w:tcPr>
            <w:tcW w:w="10800" w:type="dxa"/>
            <w:gridSpan w:val="9"/>
            <w:hideMark/>
          </w:tcPr>
          <w:p w:rsidR="00000000" w:rsidRDefault="008D0E70">
            <w:pPr>
              <w:pStyle w:val="NormalWeb"/>
              <w:spacing w:before="0" w:beforeAutospacing="0" w:after="0" w:afterAutospacing="0"/>
              <w:rPr>
                <w:sz w:val="20"/>
                <w:szCs w:val="20"/>
              </w:rPr>
            </w:pPr>
            <w:r>
              <w:rPr>
                <w:sz w:val="20"/>
                <w:szCs w:val="20"/>
              </w:rPr>
              <w:t>As of May 6, 2013, there were 46,973,585 issued shares and 45,853,585 outstanding shares of Advanced Oxygen Technolog</w:t>
            </w:r>
            <w:r>
              <w:rPr>
                <w:sz w:val="20"/>
                <w:szCs w:val="20"/>
              </w:rPr>
              <w:t>ies, Inc. common stock, $0.01 par value.</w:t>
            </w:r>
          </w:p>
        </w:tc>
      </w:tr>
      <w:tr w:rsidR="00000000">
        <w:trPr>
          <w:tblCellSpacing w:w="0" w:type="dxa"/>
          <w:jc w:val="center"/>
        </w:trPr>
        <w:tc>
          <w:tcPr>
            <w:tcW w:w="10800" w:type="dxa"/>
            <w:gridSpan w:val="9"/>
            <w:hideMark/>
          </w:tcPr>
          <w:p w:rsidR="00000000" w:rsidRDefault="008D0E70">
            <w:pPr>
              <w:pStyle w:val="NormalWeb"/>
              <w:rPr>
                <w:sz w:val="20"/>
                <w:szCs w:val="20"/>
              </w:rPr>
            </w:pPr>
            <w:r>
              <w:rPr>
                <w:sz w:val="20"/>
                <w:szCs w:val="20"/>
              </w:rPr>
              <w:t> </w:t>
            </w:r>
          </w:p>
        </w:tc>
      </w:tr>
    </w:tbl>
    <w:p w:rsidR="00000000" w:rsidRDefault="000D47D3">
      <w:pPr>
        <w:rPr>
          <w:rFonts w:eastAsia="Times New Roman"/>
        </w:rPr>
      </w:pPr>
      <w:r>
        <w:rPr>
          <w:rFonts w:eastAsia="Times New Roman"/>
        </w:rPr>
        <w:lastRenderedPageBreak/>
        <w:pict>
          <v:rect id="_x0000_i1027" style="width:0;height:.75pt" o:hralign="center" o:hrstd="t" o:hrnoshade="t" o:hr="t" fillcolor="black" stroked="f"/>
        </w:pict>
      </w:r>
    </w:p>
    <w:p w:rsidR="00000000" w:rsidRDefault="000D47D3">
      <w:pPr>
        <w:rPr>
          <w:rFonts w:eastAsia="Times New Roman"/>
        </w:rPr>
      </w:pPr>
      <w:r>
        <w:rPr>
          <w:rFonts w:eastAsia="Times New Roman"/>
        </w:rPr>
        <w:pict>
          <v:rect id="_x0000_i1028" style="width:0;height:3pt" o:hralign="center" o:hrstd="t" o:hrnoshade="t" o:hr="t" fillcolor="black" stroked="f"/>
        </w:pict>
      </w:r>
    </w:p>
    <w:p w:rsidR="00000000" w:rsidRDefault="008D0E70">
      <w:pPr>
        <w:pStyle w:val="NormalWeb"/>
        <w:jc w:val="center"/>
      </w:pPr>
      <w:proofErr w:type="gramStart"/>
      <w:r>
        <w:rPr>
          <w:b/>
          <w:bCs/>
        </w:rPr>
        <w:t>ADVANCED OXYGEN TECHNOLOGIES, INC.</w:t>
      </w:r>
      <w:proofErr w:type="gramEnd"/>
    </w:p>
    <w:p w:rsidR="00000000" w:rsidRDefault="008D0E70">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208"/>
        <w:gridCol w:w="207"/>
        <w:gridCol w:w="8709"/>
        <w:gridCol w:w="622"/>
        <w:gridCol w:w="622"/>
      </w:tblGrid>
      <w:tr w:rsidR="00000000">
        <w:trPr>
          <w:tblCellSpacing w:w="0" w:type="dxa"/>
          <w:jc w:val="center"/>
        </w:trPr>
        <w:tc>
          <w:tcPr>
            <w:tcW w:w="100" w:type="pct"/>
            <w:shd w:val="clear" w:color="auto" w:fill="CCFFCC"/>
            <w:vAlign w:val="center"/>
            <w:hideMark/>
          </w:tcPr>
          <w:p w:rsidR="00000000" w:rsidRDefault="008D0E70">
            <w:pPr>
              <w:rPr>
                <w:rFonts w:eastAsia="Times New Roman"/>
              </w:rPr>
            </w:pPr>
          </w:p>
        </w:tc>
        <w:tc>
          <w:tcPr>
            <w:tcW w:w="100" w:type="pct"/>
            <w:shd w:val="clear" w:color="auto" w:fill="CCFFCC"/>
            <w:vAlign w:val="center"/>
            <w:hideMark/>
          </w:tcPr>
          <w:p w:rsidR="00000000" w:rsidRDefault="008D0E70">
            <w:pPr>
              <w:rPr>
                <w:rFonts w:eastAsia="Times New Roman"/>
              </w:rPr>
            </w:pPr>
          </w:p>
        </w:tc>
        <w:tc>
          <w:tcPr>
            <w:tcW w:w="0" w:type="auto"/>
            <w:gridSpan w:val="3"/>
            <w:shd w:val="clear" w:color="auto" w:fill="CCFFCC"/>
            <w:vAlign w:val="center"/>
            <w:hideMark/>
          </w:tcPr>
          <w:p w:rsidR="00000000" w:rsidRDefault="008D0E70">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8D0E70">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8D0E70">
            <w:pPr>
              <w:jc w:val="right"/>
              <w:rPr>
                <w:rFonts w:eastAsia="Times New Roman"/>
              </w:rPr>
            </w:pPr>
          </w:p>
        </w:tc>
        <w:tc>
          <w:tcPr>
            <w:tcW w:w="300" w:type="pct"/>
            <w:shd w:val="clear" w:color="auto" w:fill="FFFFFF"/>
            <w:vAlign w:val="center"/>
            <w:hideMark/>
          </w:tcPr>
          <w:p w:rsidR="00000000" w:rsidRDefault="008D0E70">
            <w:pPr>
              <w:rPr>
                <w:rFonts w:eastAsia="Times New Roman"/>
              </w:rPr>
            </w:pP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r>
              <w:rPr>
                <w:rFonts w:eastAsia="Times New Roman"/>
                <w:sz w:val="20"/>
                <w:szCs w:val="20"/>
              </w:rPr>
              <w:t>Unaudited consolidated Balance Sheet as of March 31, 2013, June 30, 2012 and June 30, 2011</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shd w:val="clear" w:color="auto" w:fill="CCFFCC"/>
            <w:vAlign w:val="center"/>
            <w:hideMark/>
          </w:tcPr>
          <w:p w:rsidR="00000000" w:rsidRDefault="008D0E70">
            <w:pPr>
              <w:jc w:val="center"/>
              <w:rPr>
                <w:rFonts w:eastAsia="Times New Roman"/>
              </w:rPr>
            </w:pPr>
          </w:p>
        </w:tc>
        <w:tc>
          <w:tcPr>
            <w:tcW w:w="0" w:type="auto"/>
            <w:shd w:val="clear" w:color="auto" w:fill="CCFFCC"/>
            <w:vAlign w:val="center"/>
            <w:hideMark/>
          </w:tcPr>
          <w:p w:rsidR="00000000" w:rsidRDefault="008D0E70">
            <w:pPr>
              <w:rPr>
                <w:rFonts w:eastAsia="Times New Roman"/>
              </w:rPr>
            </w:pPr>
            <w:r>
              <w:rPr>
                <w:rFonts w:eastAsia="Times New Roman"/>
                <w:sz w:val="20"/>
                <w:szCs w:val="20"/>
              </w:rPr>
              <w:t>Unaudited Consolidated Statement of Operations and Changes in Accumulated Deficit for the three months and nine months ended March 31, 2013 and March 31, 2012</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r>
              <w:rPr>
                <w:rFonts w:eastAsia="Times New Roman"/>
                <w:sz w:val="20"/>
                <w:szCs w:val="20"/>
              </w:rPr>
              <w:t xml:space="preserve">Unaudited Consolidated Statement of Changes in Stockholders’ </w:t>
            </w:r>
            <w:r>
              <w:rPr>
                <w:rFonts w:eastAsia="Times New Roman"/>
                <w:sz w:val="20"/>
                <w:szCs w:val="20"/>
              </w:rPr>
              <w:t>Equity and (Capital Deficiency) for the three months ended March 31, 2013 and March 31, 2012</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rPr>
                <w:rFonts w:eastAsia="Times New Roman"/>
              </w:rPr>
            </w:pPr>
            <w:r>
              <w:rPr>
                <w:rFonts w:eastAsia="Times New Roman"/>
                <w:sz w:val="20"/>
                <w:szCs w:val="20"/>
              </w:rPr>
              <w:t>Unaudited Consolidated Statement of Cash Flow for the three months and nine months ended March 31, 2013 and March 31, 2012</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gridSpan w:val="2"/>
            <w:shd w:val="clear" w:color="auto" w:fill="FFFFFF"/>
            <w:vAlign w:val="center"/>
            <w:hideMark/>
          </w:tcPr>
          <w:p w:rsidR="00000000" w:rsidRDefault="008D0E70">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8D0E70">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gridSpan w:val="2"/>
            <w:shd w:val="clear" w:color="auto" w:fill="FFFFFF"/>
            <w:vAlign w:val="center"/>
            <w:hideMark/>
          </w:tcPr>
          <w:p w:rsidR="00000000" w:rsidRDefault="008D0E70">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gridSpan w:val="2"/>
            <w:shd w:val="clear" w:color="auto" w:fill="FFFFFF"/>
            <w:vAlign w:val="center"/>
            <w:hideMark/>
          </w:tcPr>
          <w:p w:rsidR="00000000" w:rsidRDefault="008D0E70">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gridSpan w:val="2"/>
            <w:shd w:val="clear" w:color="auto" w:fill="FFFFFF"/>
            <w:vAlign w:val="center"/>
            <w:hideMark/>
          </w:tcPr>
          <w:p w:rsidR="00000000" w:rsidRDefault="008D0E70">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FFCC"/>
            <w:vAlign w:val="center"/>
            <w:hideMark/>
          </w:tcPr>
          <w:p w:rsidR="00000000" w:rsidRDefault="008D0E70">
            <w:pPr>
              <w:rPr>
                <w:rFonts w:eastAsia="Times New Roman"/>
              </w:rPr>
            </w:pPr>
            <w:r>
              <w:rPr>
                <w:rFonts w:eastAsia="Times New Roman"/>
                <w:sz w:val="20"/>
                <w:szCs w:val="20"/>
              </w:rPr>
              <w:t>Signature</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8D0E70">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FFCC"/>
            <w:vAlign w:val="center"/>
            <w:hideMark/>
          </w:tcPr>
          <w:p w:rsidR="00000000" w:rsidRDefault="008D0E70">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EX 32</w:t>
            </w:r>
          </w:p>
        </w:tc>
      </w:tr>
      <w:tr w:rsidR="00000000">
        <w:trPr>
          <w:tblCellSpacing w:w="0" w:type="dxa"/>
          <w:jc w:val="center"/>
        </w:trPr>
        <w:tc>
          <w:tcPr>
            <w:tcW w:w="0" w:type="auto"/>
            <w:shd w:val="clear" w:color="auto" w:fill="FFFFFF"/>
            <w:vAlign w:val="center"/>
            <w:hideMark/>
          </w:tcPr>
          <w:p w:rsidR="00000000" w:rsidRDefault="008D0E70">
            <w:pPr>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r>
              <w:rPr>
                <w:rFonts w:eastAsia="Times New Roman"/>
                <w:sz w:val="20"/>
                <w:szCs w:val="20"/>
              </w:rPr>
              <w:t> </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rPr>
                <w:rFonts w:eastAsia="Times New Roman"/>
              </w:rPr>
            </w:pPr>
            <w:r>
              <w:rPr>
                <w:rFonts w:eastAsia="Times New Roman"/>
                <w:sz w:val="20"/>
                <w:szCs w:val="20"/>
              </w:rPr>
              <w:t> </w:t>
            </w:r>
          </w:p>
        </w:tc>
      </w:tr>
    </w:tbl>
    <w:p w:rsidR="00FC32F9" w:rsidRDefault="000D47D3">
      <w:pPr>
        <w:rPr>
          <w:rFonts w:eastAsia="Times New Roman"/>
        </w:rPr>
      </w:pPr>
      <w:r>
        <w:rPr>
          <w:rFonts w:eastAsia="Times New Roman"/>
        </w:rPr>
        <w:pict>
          <v:rect id="_x0000_i1029"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r>
        <w:rPr>
          <w:b/>
          <w:bCs/>
          <w:sz w:val="20"/>
          <w:szCs w:val="20"/>
        </w:rPr>
        <w:lastRenderedPageBreak/>
        <w:t xml:space="preserve">PART 1: FINANCIAL INFORMATION </w:t>
      </w:r>
    </w:p>
    <w:p w:rsidR="00000000" w:rsidRDefault="008D0E70">
      <w:pPr>
        <w:divId w:val="1890919397"/>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w:t>
      </w:r>
      <w:r>
        <w:rPr>
          <w:rFonts w:eastAsia="Times New Roman"/>
          <w:sz w:val="20"/>
          <w:szCs w:val="20"/>
        </w:rPr>
        <w:t xml:space="preserve">the three months ending March 31, 2013 (unaudited). </w:t>
      </w:r>
    </w:p>
    <w:tbl>
      <w:tblPr>
        <w:tblW w:w="4500" w:type="pct"/>
        <w:tblCellSpacing w:w="0" w:type="dxa"/>
        <w:tblCellMar>
          <w:left w:w="0" w:type="dxa"/>
          <w:right w:w="0" w:type="dxa"/>
        </w:tblCellMar>
        <w:tblLook w:val="04A0"/>
      </w:tblPr>
      <w:tblGrid>
        <w:gridCol w:w="6306"/>
        <w:gridCol w:w="1354"/>
        <w:gridCol w:w="1354"/>
        <w:gridCol w:w="1354"/>
      </w:tblGrid>
      <w:tr w:rsidR="00000000">
        <w:trPr>
          <w:divId w:val="1890919397"/>
          <w:tblCellSpacing w:w="0" w:type="dxa"/>
        </w:trPr>
        <w:tc>
          <w:tcPr>
            <w:tcW w:w="0" w:type="auto"/>
            <w:gridSpan w:val="4"/>
            <w:shd w:val="clear" w:color="auto" w:fill="CCFFCC"/>
            <w:vAlign w:val="bottom"/>
            <w:hideMark/>
          </w:tcPr>
          <w:p w:rsidR="00000000" w:rsidRDefault="008D0E70" w:rsidP="00FC32F9">
            <w:pPr>
              <w:jc w:val="center"/>
              <w:rPr>
                <w:rFonts w:eastAsia="Times New Roman"/>
              </w:rPr>
            </w:pPr>
            <w:r>
              <w:rPr>
                <w:rFonts w:eastAsia="Times New Roman"/>
                <w:b/>
                <w:bCs/>
                <w:sz w:val="20"/>
                <w:szCs w:val="20"/>
              </w:rPr>
              <w:t> ADVANCED OXYGEN TECHNOLOGIES, INC.</w:t>
            </w:r>
            <w:r>
              <w:rPr>
                <w:rFonts w:eastAsia="Times New Roman"/>
              </w:rPr>
              <w:t xml:space="preserve"> </w:t>
            </w:r>
          </w:p>
          <w:p w:rsidR="00000000" w:rsidRDefault="008D0E70" w:rsidP="00FC32F9">
            <w:pPr>
              <w:pStyle w:val="NormalWeb"/>
              <w:spacing w:before="0" w:beforeAutospacing="0" w:after="0" w:afterAutospacing="0"/>
              <w:jc w:val="center"/>
            </w:pPr>
            <w:r>
              <w:rPr>
                <w:b/>
                <w:bCs/>
                <w:sz w:val="20"/>
                <w:szCs w:val="20"/>
              </w:rPr>
              <w:t>AND SUBSIDIARY</w:t>
            </w:r>
          </w:p>
          <w:p w:rsidR="00000000" w:rsidRDefault="008D0E70" w:rsidP="00FC32F9">
            <w:pPr>
              <w:pStyle w:val="NormalWeb"/>
              <w:spacing w:before="0" w:beforeAutospacing="0" w:after="0" w:afterAutospacing="0"/>
              <w:jc w:val="center"/>
            </w:pPr>
            <w:r>
              <w:rPr>
                <w:b/>
                <w:bCs/>
                <w:sz w:val="20"/>
                <w:szCs w:val="20"/>
              </w:rPr>
              <w:t>CONSOLATED BALANCE SHEETS</w:t>
            </w:r>
          </w:p>
        </w:tc>
      </w:tr>
      <w:tr w:rsidR="00000000" w:rsidTr="00FC32F9">
        <w:trPr>
          <w:divId w:val="1890919397"/>
          <w:tblCellSpacing w:w="0" w:type="dxa"/>
        </w:trPr>
        <w:tc>
          <w:tcPr>
            <w:tcW w:w="3041" w:type="pct"/>
            <w:shd w:val="clear" w:color="auto" w:fill="FFFFFF"/>
            <w:vAlign w:val="bottom"/>
            <w:hideMark/>
          </w:tcPr>
          <w:p w:rsidR="00000000" w:rsidRDefault="008D0E70">
            <w:pPr>
              <w:rPr>
                <w:rFonts w:eastAsia="Times New Roman"/>
              </w:rPr>
            </w:pPr>
          </w:p>
        </w:tc>
        <w:tc>
          <w:tcPr>
            <w:tcW w:w="653" w:type="pct"/>
            <w:shd w:val="clear" w:color="auto" w:fill="FFFFFF"/>
            <w:vAlign w:val="bottom"/>
            <w:hideMark/>
          </w:tcPr>
          <w:p w:rsidR="00000000" w:rsidRDefault="008D0E70" w:rsidP="00FC32F9">
            <w:pPr>
              <w:jc w:val="center"/>
              <w:rPr>
                <w:rFonts w:eastAsia="Times New Roman"/>
              </w:rPr>
            </w:pPr>
            <w:r>
              <w:rPr>
                <w:rFonts w:eastAsia="Times New Roman"/>
                <w:b/>
                <w:bCs/>
                <w:sz w:val="20"/>
                <w:szCs w:val="20"/>
              </w:rPr>
              <w:t xml:space="preserve">Unaudited </w:t>
            </w:r>
          </w:p>
          <w:p w:rsidR="00000000" w:rsidRDefault="008D0E70" w:rsidP="00FC32F9">
            <w:pPr>
              <w:pStyle w:val="NormalWeb"/>
              <w:spacing w:before="0" w:beforeAutospacing="0" w:after="0" w:afterAutospacing="0"/>
              <w:jc w:val="center"/>
            </w:pPr>
            <w:r>
              <w:rPr>
                <w:b/>
                <w:bCs/>
                <w:sz w:val="20"/>
                <w:szCs w:val="20"/>
              </w:rPr>
              <w:t>as of March 31,</w:t>
            </w:r>
          </w:p>
        </w:tc>
        <w:tc>
          <w:tcPr>
            <w:tcW w:w="0" w:type="auto"/>
            <w:gridSpan w:val="2"/>
            <w:shd w:val="clear" w:color="auto" w:fill="FFFFFF"/>
            <w:vAlign w:val="bottom"/>
            <w:hideMark/>
          </w:tcPr>
          <w:p w:rsidR="00000000" w:rsidRDefault="008D0E70" w:rsidP="00FC32F9">
            <w:pPr>
              <w:jc w:val="center"/>
              <w:rPr>
                <w:rFonts w:eastAsia="Times New Roman"/>
              </w:rPr>
            </w:pPr>
            <w:r>
              <w:rPr>
                <w:rFonts w:eastAsia="Times New Roman"/>
                <w:b/>
                <w:bCs/>
                <w:sz w:val="20"/>
                <w:szCs w:val="20"/>
              </w:rPr>
              <w:t>Audited</w:t>
            </w:r>
            <w:r>
              <w:rPr>
                <w:rFonts w:eastAsia="Times New Roman"/>
              </w:rPr>
              <w:t xml:space="preserve"> </w:t>
            </w:r>
          </w:p>
          <w:p w:rsidR="00000000" w:rsidRDefault="008D0E70" w:rsidP="00FC32F9">
            <w:pPr>
              <w:pStyle w:val="NormalWeb"/>
              <w:spacing w:before="0" w:beforeAutospacing="0" w:after="0" w:afterAutospacing="0"/>
              <w:jc w:val="center"/>
            </w:pPr>
            <w:r>
              <w:rPr>
                <w:b/>
                <w:bCs/>
                <w:sz w:val="20"/>
                <w:szCs w:val="20"/>
              </w:rPr>
              <w:t>as of June 30,</w:t>
            </w:r>
          </w:p>
        </w:tc>
      </w:tr>
      <w:tr w:rsidR="00000000" w:rsidTr="00FC32F9">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ASSETS</w:t>
            </w:r>
          </w:p>
        </w:tc>
        <w:tc>
          <w:tcPr>
            <w:tcW w:w="653" w:type="pct"/>
            <w:shd w:val="clear" w:color="auto" w:fill="CCFFCC"/>
            <w:vAlign w:val="bottom"/>
            <w:hideMark/>
          </w:tcPr>
          <w:p w:rsidR="00000000" w:rsidRDefault="008D0E70">
            <w:pPr>
              <w:jc w:val="center"/>
              <w:rPr>
                <w:rFonts w:eastAsia="Times New Roman"/>
              </w:rPr>
            </w:pPr>
            <w:r>
              <w:rPr>
                <w:rFonts w:eastAsia="Times New Roman"/>
                <w:b/>
                <w:bCs/>
                <w:sz w:val="20"/>
                <w:szCs w:val="20"/>
              </w:rPr>
              <w:t>2013  </w:t>
            </w:r>
          </w:p>
          <w:p w:rsidR="00000000" w:rsidRDefault="000D47D3">
            <w:pPr>
              <w:jc w:val="center"/>
              <w:rPr>
                <w:rFonts w:eastAsia="Times New Roman"/>
              </w:rPr>
            </w:pPr>
            <w:r>
              <w:rPr>
                <w:rFonts w:eastAsia="Times New Roman"/>
              </w:rPr>
              <w:pict>
                <v:rect id="_x0000_i1030" style="width:0;height:1.5pt" o:hralign="center" o:hrstd="t" o:hr="t" fillcolor="#aca899" stroked="f"/>
              </w:pict>
            </w:r>
          </w:p>
        </w:tc>
        <w:tc>
          <w:tcPr>
            <w:tcW w:w="653" w:type="pct"/>
            <w:shd w:val="clear" w:color="auto" w:fill="CCFFCC"/>
            <w:vAlign w:val="bottom"/>
            <w:hideMark/>
          </w:tcPr>
          <w:p w:rsidR="00000000" w:rsidRDefault="008D0E70">
            <w:pPr>
              <w:jc w:val="center"/>
              <w:rPr>
                <w:rFonts w:eastAsia="Times New Roman"/>
              </w:rPr>
            </w:pPr>
            <w:r>
              <w:rPr>
                <w:rFonts w:eastAsia="Times New Roman"/>
                <w:b/>
                <w:bCs/>
                <w:sz w:val="20"/>
                <w:szCs w:val="20"/>
              </w:rPr>
              <w:t>2012  </w:t>
            </w:r>
          </w:p>
          <w:p w:rsidR="00000000" w:rsidRDefault="000D47D3">
            <w:pPr>
              <w:jc w:val="center"/>
              <w:rPr>
                <w:rFonts w:eastAsia="Times New Roman"/>
              </w:rPr>
            </w:pPr>
            <w:r>
              <w:rPr>
                <w:rFonts w:eastAsia="Times New Roman"/>
              </w:rPr>
              <w:pict>
                <v:rect id="_x0000_i1031" style="width:0;height:1.5pt" o:hralign="center" o:hrstd="t" o:hr="t" fillcolor="#aca899" stroked="f"/>
              </w:pict>
            </w:r>
          </w:p>
        </w:tc>
        <w:tc>
          <w:tcPr>
            <w:tcW w:w="653" w:type="pct"/>
            <w:shd w:val="clear" w:color="auto" w:fill="CCFFCC"/>
            <w:vAlign w:val="bottom"/>
            <w:hideMark/>
          </w:tcPr>
          <w:p w:rsidR="00000000" w:rsidRDefault="008D0E70">
            <w:pPr>
              <w:jc w:val="center"/>
              <w:rPr>
                <w:rFonts w:eastAsia="Times New Roman"/>
              </w:rPr>
            </w:pPr>
            <w:r>
              <w:rPr>
                <w:rFonts w:eastAsia="Times New Roman"/>
                <w:b/>
                <w:bCs/>
                <w:sz w:val="20"/>
                <w:szCs w:val="20"/>
              </w:rPr>
              <w:t>2011  </w:t>
            </w:r>
          </w:p>
          <w:p w:rsidR="00000000" w:rsidRDefault="000D47D3">
            <w:pPr>
              <w:jc w:val="center"/>
              <w:rPr>
                <w:rFonts w:eastAsia="Times New Roman"/>
              </w:rPr>
            </w:pPr>
            <w:r>
              <w:rPr>
                <w:rFonts w:eastAsia="Times New Roman"/>
              </w:rPr>
              <w:pict>
                <v:rect id="_x0000_i1032" style="width:0;height:1.5pt" o:hralign="center" o:hrstd="t" o:hr="t" fillcolor="#aca899" stroked="f"/>
              </w:pic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CURRENT ASSETS</w:t>
            </w:r>
          </w:p>
        </w:tc>
        <w:tc>
          <w:tcPr>
            <w:tcW w:w="0" w:type="auto"/>
            <w:shd w:val="clear" w:color="auto" w:fill="CCFFCC"/>
            <w:vAlign w:val="bottom"/>
            <w:hideMark/>
          </w:tcPr>
          <w:p w:rsidR="00000000" w:rsidRDefault="008D0E70">
            <w:pPr>
              <w:jc w:val="center"/>
              <w:rPr>
                <w:rFonts w:eastAsia="Times New Roman"/>
              </w:rPr>
            </w:pPr>
          </w:p>
        </w:tc>
        <w:tc>
          <w:tcPr>
            <w:tcW w:w="0" w:type="auto"/>
            <w:shd w:val="clear" w:color="auto" w:fill="CCFFCC"/>
            <w:vAlign w:val="bottom"/>
            <w:hideMark/>
          </w:tcPr>
          <w:p w:rsidR="00000000" w:rsidRDefault="008D0E70">
            <w:pPr>
              <w:jc w:val="center"/>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Cash</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6,685</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24,410</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xml:space="preserve">   </w:t>
            </w:r>
            <w:r>
              <w:rPr>
                <w:rFonts w:eastAsia="Times New Roman"/>
                <w:sz w:val="20"/>
                <w:szCs w:val="20"/>
              </w:rPr>
              <w:t>Accounts Receivable, Related Party</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7,547</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Total Current Assets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6,685</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31,957</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FIXED ASSETS</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Land and buildings</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622,642</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b/>
                <w:bCs/>
                <w:sz w:val="20"/>
                <w:szCs w:val="20"/>
              </w:rPr>
              <w:t>TOTAL ASSETS</w:t>
            </w:r>
          </w:p>
        </w:tc>
        <w:tc>
          <w:tcPr>
            <w:tcW w:w="0" w:type="auto"/>
            <w:shd w:val="clear" w:color="auto" w:fill="FFFFFF"/>
            <w:vAlign w:val="bottom"/>
            <w:hideMark/>
          </w:tcPr>
          <w:p w:rsidR="00000000" w:rsidRDefault="008D0E70">
            <w:pPr>
              <w:jc w:val="right"/>
              <w:rPr>
                <w:rFonts w:eastAsia="Times New Roman"/>
              </w:rPr>
            </w:pPr>
            <w:r>
              <w:rPr>
                <w:rFonts w:eastAsia="Times New Roman"/>
                <w:b/>
                <w:bCs/>
                <w:sz w:val="20"/>
                <w:szCs w:val="20"/>
              </w:rPr>
              <w:t>$    566,007</w:t>
            </w:r>
          </w:p>
        </w:tc>
        <w:tc>
          <w:tcPr>
            <w:tcW w:w="0" w:type="auto"/>
            <w:shd w:val="clear" w:color="auto" w:fill="FFFFFF"/>
            <w:vAlign w:val="bottom"/>
            <w:hideMark/>
          </w:tcPr>
          <w:p w:rsidR="00000000" w:rsidRDefault="008D0E70">
            <w:pPr>
              <w:jc w:val="right"/>
              <w:rPr>
                <w:rFonts w:eastAsia="Times New Roman"/>
              </w:rPr>
            </w:pPr>
            <w:r>
              <w:rPr>
                <w:rFonts w:eastAsia="Times New Roman"/>
                <w:b/>
                <w:bCs/>
                <w:sz w:val="20"/>
                <w:szCs w:val="20"/>
              </w:rPr>
              <w:t>$    559,322</w:t>
            </w:r>
          </w:p>
        </w:tc>
        <w:tc>
          <w:tcPr>
            <w:tcW w:w="0" w:type="auto"/>
            <w:shd w:val="clear" w:color="auto" w:fill="FFFFFF"/>
            <w:vAlign w:val="bottom"/>
            <w:hideMark/>
          </w:tcPr>
          <w:p w:rsidR="00000000" w:rsidRDefault="008D0E70">
            <w:pPr>
              <w:jc w:val="right"/>
              <w:rPr>
                <w:rFonts w:eastAsia="Times New Roman"/>
              </w:rPr>
            </w:pPr>
            <w:r>
              <w:rPr>
                <w:rFonts w:eastAsia="Times New Roman"/>
                <w:b/>
                <w:bCs/>
                <w:sz w:val="20"/>
                <w:szCs w:val="20"/>
              </w:rPr>
              <w:t>$    654,599</w:t>
            </w:r>
          </w:p>
        </w:tc>
      </w:tr>
      <w:tr w:rsidR="00000000">
        <w:trPr>
          <w:divId w:val="1890919397"/>
          <w:tblCellSpacing w:w="0" w:type="dxa"/>
        </w:trPr>
        <w:tc>
          <w:tcPr>
            <w:tcW w:w="0" w:type="auto"/>
            <w:shd w:val="clear" w:color="auto" w:fill="CCFFCC"/>
            <w:vAlign w:val="bottom"/>
            <w:hideMark/>
          </w:tcPr>
          <w:p w:rsidR="00000000" w:rsidRDefault="008D0E70">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b/>
                <w:bCs/>
                <w:sz w:val="20"/>
                <w:szCs w:val="20"/>
              </w:rPr>
              <w:t>            LIABILITIES AND STOCKHOLDERS' DEFICIENCY             </w:t>
            </w:r>
            <w:r>
              <w:rPr>
                <w:rFonts w:eastAsia="Times New Roman"/>
                <w:b/>
                <w:bCs/>
                <w:sz w:val="20"/>
                <w:szCs w:val="20"/>
              </w:rPr>
              <w:t> </w:t>
            </w: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CURRENT LIABILITIES</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Accounts payable</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18,559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9,547</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9,425</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Current Bank Liability</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232</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7,925</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Note Payable, Affiliate</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3,390</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Note Payable</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122,726</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136,285</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165,976</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Payroll and sales taxes payable</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71,040</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67,682</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93,105</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Prepaid Rental Revenues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1,294</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10,874</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Total current liabilities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211,944</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225,549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287,305</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Long Term Debt, subsidiary</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47,834</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54,469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69,820</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Due to affiliate</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42,243</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40,268</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38,793</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Total Long Term Debt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90,077</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94,737</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108,613</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Total Liabilities</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309,521</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320,286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395,919</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STOCKHOLDERS' DEFICIENCY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rHeight w:val="300"/>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Convertible preferred stock, Series 2, par value $0.01; authorized  </w:t>
            </w:r>
            <w:r>
              <w:rPr>
                <w:rFonts w:eastAsia="Times New Roman"/>
                <w:sz w:val="20"/>
                <w:szCs w:val="20"/>
              </w:rPr>
              <w:t>10,000,000 shares; issued and outstanding 5,000 shares liquidating preference $25,000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50</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16,700</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Convertible preferred stock, Series 4; issued and outstanding,</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Convertible preferred stock, Series 5; issued, 1 share</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xml:space="preserve">   </w:t>
            </w:r>
            <w:r>
              <w:rPr>
                <w:rFonts w:eastAsia="Times New Roman"/>
                <w:sz w:val="20"/>
                <w:szCs w:val="20"/>
              </w:rPr>
              <w:t>Common stock, par value $0.01; authorized, 90,000,000 shares; issued 46,973,585 shares</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469,736</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Additional paid-in capital</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20,497,769</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Accumulated deficit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(20,720,485)</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(20,737,935)</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(20,718,292)</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Less treasury stock, at cost</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1,670,000 shares of convertible preferred   stock, Series 3</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(7,284)</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1,120,000 shares of common stock</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  </w:t>
            </w:r>
            <w:r>
              <w:rPr>
                <w:rFonts w:eastAsia="Times New Roman"/>
                <w:b/>
                <w:bCs/>
                <w:sz w:val="20"/>
                <w:szCs w:val="20"/>
              </w:rPr>
              <w:t>TOTAL SHAREHOLDERS EQUITY</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256,486</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239,036</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258,679</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  TOTAL LIABILITIES AND SHAREHOLDERS EQUITY</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  566,007</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  559,322</w:t>
            </w:r>
          </w:p>
        </w:tc>
        <w:tc>
          <w:tcPr>
            <w:tcW w:w="0" w:type="auto"/>
            <w:shd w:val="clear" w:color="auto" w:fill="CCFFCC"/>
            <w:vAlign w:val="bottom"/>
            <w:hideMark/>
          </w:tcPr>
          <w:p w:rsidR="00000000" w:rsidRDefault="008D0E70">
            <w:pPr>
              <w:jc w:val="right"/>
              <w:rPr>
                <w:rFonts w:eastAsia="Times New Roman"/>
              </w:rPr>
            </w:pPr>
            <w:r>
              <w:rPr>
                <w:rFonts w:eastAsia="Times New Roman"/>
                <w:b/>
                <w:bCs/>
                <w:sz w:val="20"/>
                <w:szCs w:val="20"/>
              </w:rPr>
              <w:t>$   654,598</w:t>
            </w:r>
          </w:p>
        </w:tc>
      </w:tr>
      <w:tr w:rsidR="00000000">
        <w:trPr>
          <w:divId w:val="1890919397"/>
          <w:tblCellSpacing w:w="0" w:type="dxa"/>
        </w:trPr>
        <w:tc>
          <w:tcPr>
            <w:tcW w:w="0" w:type="auto"/>
            <w:shd w:val="clear" w:color="auto" w:fill="FFFFFF"/>
            <w:vAlign w:val="bottom"/>
            <w:hideMark/>
          </w:tcPr>
          <w:p w:rsidR="00000000" w:rsidRDefault="008D0E70">
            <w:pPr>
              <w:rPr>
                <w:rFonts w:eastAsia="Times New Roman"/>
              </w:rPr>
            </w:pP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divId w:val="1890919397"/>
          <w:tblCellSpacing w:w="0" w:type="dxa"/>
        </w:trPr>
        <w:tc>
          <w:tcPr>
            <w:tcW w:w="0" w:type="auto"/>
            <w:gridSpan w:val="4"/>
            <w:shd w:val="clear" w:color="auto" w:fill="CCFFCC"/>
            <w:vAlign w:val="bottom"/>
            <w:hideMark/>
          </w:tcPr>
          <w:p w:rsidR="00000000" w:rsidRDefault="008D0E70">
            <w:pPr>
              <w:jc w:val="center"/>
              <w:rPr>
                <w:rFonts w:eastAsia="Times New Roman"/>
              </w:rPr>
            </w:pPr>
            <w:r>
              <w:rPr>
                <w:rFonts w:eastAsia="Times New Roman"/>
                <w:b/>
                <w:bCs/>
                <w:sz w:val="20"/>
                <w:szCs w:val="20"/>
              </w:rPr>
              <w:t>See accompanying notes to financial statements.</w:t>
            </w:r>
          </w:p>
        </w:tc>
      </w:tr>
    </w:tbl>
    <w:p w:rsidR="00000000" w:rsidRDefault="008D0E70">
      <w:pPr>
        <w:rPr>
          <w:rFonts w:eastAsia="Times New Roman"/>
        </w:rPr>
      </w:pPr>
      <w:r>
        <w:rPr>
          <w:rFonts w:eastAsia="Times New Roman"/>
        </w:rPr>
        <w:lastRenderedPageBreak/>
        <w:t xml:space="preserve">  </w:t>
      </w:r>
    </w:p>
    <w:tbl>
      <w:tblPr>
        <w:tblW w:w="4500" w:type="pct"/>
        <w:tblCellSpacing w:w="0" w:type="dxa"/>
        <w:tblCellMar>
          <w:left w:w="0" w:type="dxa"/>
          <w:right w:w="0" w:type="dxa"/>
        </w:tblCellMar>
        <w:tblLook w:val="04A0"/>
      </w:tblPr>
      <w:tblGrid>
        <w:gridCol w:w="5198"/>
        <w:gridCol w:w="1034"/>
        <w:gridCol w:w="1034"/>
        <w:gridCol w:w="1034"/>
        <w:gridCol w:w="1034"/>
        <w:gridCol w:w="1034"/>
      </w:tblGrid>
      <w:tr w:rsidR="00000000">
        <w:trPr>
          <w:tblCellSpacing w:w="0" w:type="dxa"/>
        </w:trPr>
        <w:tc>
          <w:tcPr>
            <w:tcW w:w="0" w:type="auto"/>
            <w:gridSpan w:val="5"/>
            <w:shd w:val="clear" w:color="auto" w:fill="CCFFCC"/>
            <w:hideMark/>
          </w:tcPr>
          <w:p w:rsidR="00000000" w:rsidRDefault="008D0E70">
            <w:pPr>
              <w:pStyle w:val="NormalWeb"/>
              <w:jc w:val="center"/>
            </w:pPr>
            <w:r>
              <w:rPr>
                <w:b/>
                <w:bCs/>
                <w:sz w:val="20"/>
                <w:szCs w:val="20"/>
              </w:rPr>
              <w:t>ADVANCED OXYGEN TECHNOLOGIES, INC.</w:t>
            </w:r>
          </w:p>
        </w:tc>
        <w:tc>
          <w:tcPr>
            <w:tcW w:w="0" w:type="auto"/>
            <w:shd w:val="clear" w:color="auto" w:fill="CCFFCC"/>
            <w:hideMark/>
          </w:tcPr>
          <w:p w:rsidR="00000000" w:rsidRDefault="008D0E70">
            <w:pPr>
              <w:rPr>
                <w:rFonts w:eastAsia="Times New Roman"/>
              </w:rPr>
            </w:pPr>
          </w:p>
        </w:tc>
      </w:tr>
      <w:tr w:rsidR="00000000">
        <w:trPr>
          <w:tblCellSpacing w:w="0" w:type="dxa"/>
        </w:trPr>
        <w:tc>
          <w:tcPr>
            <w:tcW w:w="0" w:type="auto"/>
            <w:gridSpan w:val="5"/>
            <w:shd w:val="clear" w:color="auto" w:fill="FFFFFF"/>
            <w:hideMark/>
          </w:tcPr>
          <w:p w:rsidR="00000000" w:rsidRDefault="008D0E70">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000000" w:rsidRDefault="008D0E70">
            <w:pPr>
              <w:rPr>
                <w:rFonts w:eastAsia="Times New Roman"/>
              </w:rPr>
            </w:pPr>
          </w:p>
        </w:tc>
      </w:tr>
      <w:tr w:rsidR="00000000">
        <w:trPr>
          <w:tblCellSpacing w:w="0" w:type="dxa"/>
        </w:trPr>
        <w:tc>
          <w:tcPr>
            <w:tcW w:w="3000" w:type="pct"/>
            <w:shd w:val="clear" w:color="auto" w:fill="CCFFCC"/>
            <w:hideMark/>
          </w:tcPr>
          <w:p w:rsidR="00000000" w:rsidRDefault="008D0E70">
            <w:pPr>
              <w:rPr>
                <w:rFonts w:eastAsia="Times New Roman"/>
              </w:rPr>
            </w:pPr>
          </w:p>
        </w:tc>
        <w:tc>
          <w:tcPr>
            <w:tcW w:w="500" w:type="pct"/>
            <w:shd w:val="clear" w:color="auto" w:fill="CCFFCC"/>
            <w:hideMark/>
          </w:tcPr>
          <w:p w:rsidR="00000000" w:rsidRDefault="008D0E70">
            <w:pPr>
              <w:rPr>
                <w:rFonts w:eastAsia="Times New Roman"/>
              </w:rPr>
            </w:pPr>
          </w:p>
        </w:tc>
        <w:tc>
          <w:tcPr>
            <w:tcW w:w="500" w:type="pct"/>
            <w:shd w:val="clear" w:color="auto" w:fill="CCFFCC"/>
            <w:hideMark/>
          </w:tcPr>
          <w:p w:rsidR="00000000" w:rsidRDefault="008D0E70">
            <w:pPr>
              <w:rPr>
                <w:rFonts w:eastAsia="Times New Roman"/>
              </w:rPr>
            </w:pPr>
          </w:p>
        </w:tc>
        <w:tc>
          <w:tcPr>
            <w:tcW w:w="500" w:type="pct"/>
            <w:shd w:val="clear" w:color="auto" w:fill="CCFFCC"/>
            <w:hideMark/>
          </w:tcPr>
          <w:p w:rsidR="00000000" w:rsidRDefault="008D0E70">
            <w:pPr>
              <w:jc w:val="right"/>
              <w:rPr>
                <w:rFonts w:eastAsia="Times New Roman"/>
              </w:rPr>
            </w:pPr>
          </w:p>
        </w:tc>
        <w:tc>
          <w:tcPr>
            <w:tcW w:w="500" w:type="pct"/>
            <w:shd w:val="clear" w:color="auto" w:fill="CCFFCC"/>
            <w:hideMark/>
          </w:tcPr>
          <w:p w:rsidR="00000000" w:rsidRDefault="008D0E70">
            <w:pPr>
              <w:rPr>
                <w:rFonts w:eastAsia="Times New Roman"/>
              </w:rPr>
            </w:pPr>
          </w:p>
        </w:tc>
        <w:tc>
          <w:tcPr>
            <w:tcW w:w="500" w:type="pct"/>
            <w:shd w:val="clear" w:color="auto" w:fill="CCFFCC"/>
            <w:hideMark/>
          </w:tcPr>
          <w:p w:rsidR="00000000" w:rsidRDefault="008D0E70">
            <w:pPr>
              <w:rPr>
                <w:rFonts w:eastAsia="Times New Roman"/>
              </w:rPr>
            </w:pPr>
          </w:p>
        </w:tc>
      </w:tr>
      <w:tr w:rsidR="00000000">
        <w:trPr>
          <w:tblCellSpacing w:w="0" w:type="dxa"/>
        </w:trPr>
        <w:tc>
          <w:tcPr>
            <w:tcW w:w="0" w:type="auto"/>
            <w:shd w:val="clear" w:color="auto" w:fill="FFFFFF"/>
            <w:hideMark/>
          </w:tcPr>
          <w:p w:rsidR="00000000" w:rsidRDefault="008D0E70">
            <w:pPr>
              <w:rPr>
                <w:rFonts w:eastAsia="Times New Roman"/>
              </w:rPr>
            </w:pPr>
          </w:p>
        </w:tc>
        <w:tc>
          <w:tcPr>
            <w:tcW w:w="0" w:type="auto"/>
            <w:gridSpan w:val="2"/>
            <w:shd w:val="clear" w:color="auto" w:fill="FFFFFF"/>
            <w:hideMark/>
          </w:tcPr>
          <w:p w:rsidR="00000000" w:rsidRDefault="008D0E70">
            <w:pPr>
              <w:pStyle w:val="NormalWeb"/>
              <w:jc w:val="center"/>
            </w:pPr>
            <w:r>
              <w:rPr>
                <w:sz w:val="20"/>
                <w:szCs w:val="20"/>
              </w:rPr>
              <w:t>3 Month Period Ending March, 31</w:t>
            </w:r>
          </w:p>
        </w:tc>
        <w:tc>
          <w:tcPr>
            <w:tcW w:w="0" w:type="auto"/>
            <w:gridSpan w:val="2"/>
            <w:shd w:val="clear" w:color="auto" w:fill="FFFFFF"/>
            <w:hideMark/>
          </w:tcPr>
          <w:p w:rsidR="00000000" w:rsidRDefault="008D0E70">
            <w:pPr>
              <w:pStyle w:val="NormalWeb"/>
              <w:jc w:val="center"/>
            </w:pPr>
            <w:r>
              <w:rPr>
                <w:sz w:val="20"/>
                <w:szCs w:val="20"/>
              </w:rPr>
              <w:t>9 Month Period Ending March 31,</w:t>
            </w:r>
          </w:p>
        </w:tc>
        <w:tc>
          <w:tcPr>
            <w:tcW w:w="0" w:type="auto"/>
            <w:shd w:val="clear" w:color="auto" w:fill="FFFFFF"/>
            <w:hideMark/>
          </w:tcPr>
          <w:p w:rsidR="00000000" w:rsidRDefault="008D0E70">
            <w:pPr>
              <w:pStyle w:val="NormalWeb"/>
              <w:jc w:val="center"/>
            </w:pPr>
            <w:r>
              <w:rPr>
                <w:sz w:val="20"/>
                <w:szCs w:val="20"/>
              </w:rPr>
              <w:t>12 Month Period Ending</w:t>
            </w:r>
            <w:r>
              <w:rPr>
                <w:sz w:val="20"/>
                <w:szCs w:val="20"/>
              </w:rPr>
              <w:br/>
              <w:t>June 30,</w:t>
            </w:r>
          </w:p>
        </w:tc>
      </w:tr>
      <w:tr w:rsidR="00000000">
        <w:trPr>
          <w:tblCellSpacing w:w="0" w:type="dxa"/>
        </w:trPr>
        <w:tc>
          <w:tcPr>
            <w:tcW w:w="0" w:type="auto"/>
            <w:shd w:val="clear" w:color="auto" w:fill="CCFFCC"/>
            <w:hideMark/>
          </w:tcPr>
          <w:p w:rsidR="00000000" w:rsidRDefault="008D0E70">
            <w:pPr>
              <w:rPr>
                <w:rFonts w:eastAsia="Times New Roman"/>
              </w:rPr>
            </w:pPr>
          </w:p>
        </w:tc>
        <w:tc>
          <w:tcPr>
            <w:tcW w:w="0" w:type="auto"/>
            <w:gridSpan w:val="2"/>
            <w:shd w:val="clear" w:color="auto" w:fill="CCFFCC"/>
            <w:hideMark/>
          </w:tcPr>
          <w:p w:rsidR="00000000" w:rsidRDefault="008D0E70">
            <w:pPr>
              <w:pStyle w:val="NormalWeb"/>
              <w:jc w:val="center"/>
            </w:pPr>
            <w:r>
              <w:rPr>
                <w:b/>
                <w:bCs/>
                <w:sz w:val="20"/>
                <w:szCs w:val="20"/>
              </w:rPr>
              <w:t>(Unaudited)</w:t>
            </w:r>
          </w:p>
        </w:tc>
        <w:tc>
          <w:tcPr>
            <w:tcW w:w="0" w:type="auto"/>
            <w:gridSpan w:val="2"/>
            <w:shd w:val="clear" w:color="auto" w:fill="CCFFCC"/>
            <w:hideMark/>
          </w:tcPr>
          <w:p w:rsidR="00000000" w:rsidRDefault="008D0E70">
            <w:pPr>
              <w:pStyle w:val="NormalWeb"/>
              <w:jc w:val="center"/>
            </w:pPr>
            <w:r>
              <w:rPr>
                <w:b/>
                <w:bCs/>
                <w:sz w:val="20"/>
                <w:szCs w:val="20"/>
              </w:rPr>
              <w:t>(Unaudited)</w:t>
            </w:r>
          </w:p>
        </w:tc>
        <w:tc>
          <w:tcPr>
            <w:tcW w:w="0" w:type="auto"/>
            <w:shd w:val="clear" w:color="auto" w:fill="CCFFCC"/>
            <w:hideMark/>
          </w:tcPr>
          <w:p w:rsidR="00000000" w:rsidRDefault="008D0E70">
            <w:pPr>
              <w:pStyle w:val="NormalWeb"/>
              <w:jc w:val="center"/>
            </w:pPr>
            <w:r>
              <w:rPr>
                <w:b/>
                <w:bCs/>
                <w:sz w:val="20"/>
                <w:szCs w:val="20"/>
              </w:rPr>
              <w:t>(Audited)</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pStyle w:val="NormalWeb"/>
              <w:jc w:val="right"/>
            </w:pPr>
            <w:r>
              <w:rPr>
                <w:b/>
                <w:bCs/>
                <w:sz w:val="20"/>
                <w:szCs w:val="20"/>
              </w:rPr>
              <w:t>2013</w:t>
            </w:r>
          </w:p>
        </w:tc>
        <w:tc>
          <w:tcPr>
            <w:tcW w:w="0" w:type="auto"/>
            <w:shd w:val="clear" w:color="auto" w:fill="FFFFFF"/>
            <w:hideMark/>
          </w:tcPr>
          <w:p w:rsidR="00000000" w:rsidRDefault="008D0E70">
            <w:pPr>
              <w:pStyle w:val="NormalWeb"/>
              <w:jc w:val="right"/>
            </w:pPr>
            <w:r>
              <w:rPr>
                <w:b/>
                <w:bCs/>
                <w:sz w:val="20"/>
                <w:szCs w:val="20"/>
              </w:rPr>
              <w:t>2012</w:t>
            </w:r>
          </w:p>
        </w:tc>
        <w:tc>
          <w:tcPr>
            <w:tcW w:w="0" w:type="auto"/>
            <w:shd w:val="clear" w:color="auto" w:fill="FFFFFF"/>
            <w:hideMark/>
          </w:tcPr>
          <w:p w:rsidR="00000000" w:rsidRDefault="008D0E70">
            <w:pPr>
              <w:pStyle w:val="NormalWeb"/>
              <w:jc w:val="right"/>
            </w:pPr>
            <w:r>
              <w:rPr>
                <w:b/>
                <w:bCs/>
                <w:sz w:val="20"/>
                <w:szCs w:val="20"/>
              </w:rPr>
              <w:t>2013</w:t>
            </w:r>
          </w:p>
        </w:tc>
        <w:tc>
          <w:tcPr>
            <w:tcW w:w="0" w:type="auto"/>
            <w:shd w:val="clear" w:color="auto" w:fill="FFFFFF"/>
            <w:hideMark/>
          </w:tcPr>
          <w:p w:rsidR="00000000" w:rsidRDefault="008D0E70">
            <w:pPr>
              <w:pStyle w:val="NormalWeb"/>
              <w:jc w:val="right"/>
            </w:pPr>
            <w:r>
              <w:rPr>
                <w:b/>
                <w:bCs/>
                <w:sz w:val="20"/>
                <w:szCs w:val="20"/>
              </w:rPr>
              <w:t>2012</w:t>
            </w:r>
          </w:p>
        </w:tc>
        <w:tc>
          <w:tcPr>
            <w:tcW w:w="0" w:type="auto"/>
            <w:shd w:val="clear" w:color="auto" w:fill="FFFFFF"/>
            <w:hideMark/>
          </w:tcPr>
          <w:p w:rsidR="00000000" w:rsidRDefault="008D0E70">
            <w:pPr>
              <w:pStyle w:val="NormalWeb"/>
              <w:jc w:val="right"/>
            </w:pPr>
            <w:r>
              <w:rPr>
                <w:b/>
                <w:bCs/>
                <w:sz w:val="20"/>
                <w:szCs w:val="20"/>
              </w:rPr>
              <w:t>2012</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Revenues</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Real Estate Rental Income, subsidiary</w:t>
            </w:r>
          </w:p>
        </w:tc>
        <w:tc>
          <w:tcPr>
            <w:tcW w:w="0" w:type="auto"/>
            <w:shd w:val="clear" w:color="auto" w:fill="FFFFFF"/>
            <w:hideMark/>
          </w:tcPr>
          <w:p w:rsidR="00000000" w:rsidRDefault="008D0E70">
            <w:pPr>
              <w:jc w:val="right"/>
              <w:rPr>
                <w:rFonts w:eastAsia="Times New Roman"/>
              </w:rPr>
            </w:pPr>
            <w:r>
              <w:rPr>
                <w:rFonts w:eastAsia="Times New Roman"/>
                <w:sz w:val="20"/>
                <w:szCs w:val="20"/>
              </w:rPr>
              <w:t>10,512</w:t>
            </w:r>
          </w:p>
        </w:tc>
        <w:tc>
          <w:tcPr>
            <w:tcW w:w="0" w:type="auto"/>
            <w:shd w:val="clear" w:color="auto" w:fill="FFFFFF"/>
            <w:hideMark/>
          </w:tcPr>
          <w:p w:rsidR="00000000" w:rsidRDefault="008D0E70">
            <w:pPr>
              <w:jc w:val="right"/>
              <w:rPr>
                <w:rFonts w:eastAsia="Times New Roman"/>
              </w:rPr>
            </w:pPr>
            <w:r>
              <w:rPr>
                <w:rFonts w:eastAsia="Times New Roman"/>
                <w:sz w:val="20"/>
                <w:szCs w:val="20"/>
              </w:rPr>
              <w:t>9,820</w:t>
            </w:r>
          </w:p>
        </w:tc>
        <w:tc>
          <w:tcPr>
            <w:tcW w:w="0" w:type="auto"/>
            <w:shd w:val="clear" w:color="auto" w:fill="FFFFFF"/>
            <w:hideMark/>
          </w:tcPr>
          <w:p w:rsidR="00000000" w:rsidRDefault="008D0E70">
            <w:pPr>
              <w:jc w:val="right"/>
              <w:rPr>
                <w:rFonts w:eastAsia="Times New Roman"/>
              </w:rPr>
            </w:pPr>
            <w:r>
              <w:rPr>
                <w:rFonts w:eastAsia="Times New Roman"/>
                <w:sz w:val="20"/>
                <w:szCs w:val="20"/>
              </w:rPr>
              <w:t>47,260</w:t>
            </w:r>
          </w:p>
        </w:tc>
        <w:tc>
          <w:tcPr>
            <w:tcW w:w="0" w:type="auto"/>
            <w:shd w:val="clear" w:color="auto" w:fill="FFFFFF"/>
            <w:hideMark/>
          </w:tcPr>
          <w:p w:rsidR="00000000" w:rsidRDefault="008D0E70">
            <w:pPr>
              <w:jc w:val="right"/>
              <w:rPr>
                <w:rFonts w:eastAsia="Times New Roman"/>
              </w:rPr>
            </w:pPr>
            <w:r>
              <w:rPr>
                <w:rFonts w:eastAsia="Times New Roman"/>
                <w:sz w:val="20"/>
                <w:szCs w:val="20"/>
              </w:rPr>
              <w:t>30,666</w:t>
            </w:r>
          </w:p>
        </w:tc>
        <w:tc>
          <w:tcPr>
            <w:tcW w:w="0" w:type="auto"/>
            <w:shd w:val="clear" w:color="auto" w:fill="FFFFFF"/>
            <w:hideMark/>
          </w:tcPr>
          <w:p w:rsidR="00000000" w:rsidRDefault="008D0E70">
            <w:pPr>
              <w:jc w:val="right"/>
              <w:rPr>
                <w:rFonts w:eastAsia="Times New Roman"/>
              </w:rPr>
            </w:pPr>
            <w:r>
              <w:rPr>
                <w:rFonts w:eastAsia="Times New Roman"/>
                <w:sz w:val="20"/>
                <w:szCs w:val="20"/>
              </w:rPr>
              <w:t>39,247</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Foreign Exchange Income</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18,598</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Total Revenues</w:t>
            </w:r>
          </w:p>
        </w:tc>
        <w:tc>
          <w:tcPr>
            <w:tcW w:w="0" w:type="auto"/>
            <w:shd w:val="clear" w:color="auto" w:fill="FFFFFF"/>
            <w:hideMark/>
          </w:tcPr>
          <w:p w:rsidR="00000000" w:rsidRDefault="008D0E70">
            <w:pPr>
              <w:jc w:val="right"/>
              <w:rPr>
                <w:rFonts w:eastAsia="Times New Roman"/>
              </w:rPr>
            </w:pPr>
            <w:r>
              <w:rPr>
                <w:rFonts w:eastAsia="Times New Roman"/>
                <w:sz w:val="20"/>
                <w:szCs w:val="20"/>
              </w:rPr>
              <w:t>10,512</w:t>
            </w:r>
          </w:p>
        </w:tc>
        <w:tc>
          <w:tcPr>
            <w:tcW w:w="0" w:type="auto"/>
            <w:shd w:val="clear" w:color="auto" w:fill="FFFFFF"/>
            <w:hideMark/>
          </w:tcPr>
          <w:p w:rsidR="00000000" w:rsidRDefault="008D0E70">
            <w:pPr>
              <w:jc w:val="right"/>
              <w:rPr>
                <w:rFonts w:eastAsia="Times New Roman"/>
              </w:rPr>
            </w:pPr>
            <w:r>
              <w:rPr>
                <w:rFonts w:eastAsia="Times New Roman"/>
                <w:sz w:val="20"/>
                <w:szCs w:val="20"/>
              </w:rPr>
              <w:t>9,820</w:t>
            </w:r>
          </w:p>
        </w:tc>
        <w:tc>
          <w:tcPr>
            <w:tcW w:w="0" w:type="auto"/>
            <w:shd w:val="clear" w:color="auto" w:fill="FFFFFF"/>
            <w:hideMark/>
          </w:tcPr>
          <w:p w:rsidR="00000000" w:rsidRDefault="008D0E70">
            <w:pPr>
              <w:jc w:val="right"/>
              <w:rPr>
                <w:rFonts w:eastAsia="Times New Roman"/>
              </w:rPr>
            </w:pPr>
            <w:r>
              <w:rPr>
                <w:rFonts w:eastAsia="Times New Roman"/>
                <w:sz w:val="20"/>
                <w:szCs w:val="20"/>
              </w:rPr>
              <w:t>47,260</w:t>
            </w:r>
          </w:p>
        </w:tc>
        <w:tc>
          <w:tcPr>
            <w:tcW w:w="0" w:type="auto"/>
            <w:shd w:val="clear" w:color="auto" w:fill="FFFFFF"/>
            <w:hideMark/>
          </w:tcPr>
          <w:p w:rsidR="00000000" w:rsidRDefault="008D0E70">
            <w:pPr>
              <w:jc w:val="right"/>
              <w:rPr>
                <w:rFonts w:eastAsia="Times New Roman"/>
              </w:rPr>
            </w:pPr>
            <w:r>
              <w:rPr>
                <w:rFonts w:eastAsia="Times New Roman"/>
                <w:sz w:val="20"/>
                <w:szCs w:val="20"/>
              </w:rPr>
              <w:t>30,666</w:t>
            </w:r>
          </w:p>
        </w:tc>
        <w:tc>
          <w:tcPr>
            <w:tcW w:w="0" w:type="auto"/>
            <w:shd w:val="clear" w:color="auto" w:fill="FFFFFF"/>
            <w:hideMark/>
          </w:tcPr>
          <w:p w:rsidR="00000000" w:rsidRDefault="008D0E70">
            <w:pPr>
              <w:jc w:val="right"/>
              <w:rPr>
                <w:rFonts w:eastAsia="Times New Roman"/>
              </w:rPr>
            </w:pPr>
            <w:r>
              <w:rPr>
                <w:rFonts w:eastAsia="Times New Roman"/>
                <w:sz w:val="20"/>
                <w:szCs w:val="20"/>
              </w:rPr>
              <w:t>57,845</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Cost of Sales</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Cost of Sales, subsidiary</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Gross Profit</w:t>
            </w:r>
          </w:p>
        </w:tc>
        <w:tc>
          <w:tcPr>
            <w:tcW w:w="0" w:type="auto"/>
            <w:shd w:val="clear" w:color="auto" w:fill="CCFFCC"/>
            <w:hideMark/>
          </w:tcPr>
          <w:p w:rsidR="00000000" w:rsidRDefault="008D0E70">
            <w:pPr>
              <w:jc w:val="right"/>
              <w:rPr>
                <w:rFonts w:eastAsia="Times New Roman"/>
              </w:rPr>
            </w:pPr>
            <w:r>
              <w:rPr>
                <w:rFonts w:eastAsia="Times New Roman"/>
                <w:sz w:val="20"/>
                <w:szCs w:val="20"/>
              </w:rPr>
              <w:t>10,512</w:t>
            </w:r>
          </w:p>
        </w:tc>
        <w:tc>
          <w:tcPr>
            <w:tcW w:w="0" w:type="auto"/>
            <w:shd w:val="clear" w:color="auto" w:fill="CCFFCC"/>
            <w:hideMark/>
          </w:tcPr>
          <w:p w:rsidR="00000000" w:rsidRDefault="008D0E70">
            <w:pPr>
              <w:jc w:val="right"/>
              <w:rPr>
                <w:rFonts w:eastAsia="Times New Roman"/>
              </w:rPr>
            </w:pPr>
            <w:r>
              <w:rPr>
                <w:rFonts w:eastAsia="Times New Roman"/>
                <w:sz w:val="20"/>
                <w:szCs w:val="20"/>
              </w:rPr>
              <w:t>9,820</w:t>
            </w:r>
          </w:p>
        </w:tc>
        <w:tc>
          <w:tcPr>
            <w:tcW w:w="0" w:type="auto"/>
            <w:shd w:val="clear" w:color="auto" w:fill="CCFFCC"/>
            <w:hideMark/>
          </w:tcPr>
          <w:p w:rsidR="00000000" w:rsidRDefault="008D0E70">
            <w:pPr>
              <w:jc w:val="right"/>
              <w:rPr>
                <w:rFonts w:eastAsia="Times New Roman"/>
              </w:rPr>
            </w:pPr>
            <w:r>
              <w:rPr>
                <w:rFonts w:eastAsia="Times New Roman"/>
                <w:sz w:val="20"/>
                <w:szCs w:val="20"/>
              </w:rPr>
              <w:t>47,260</w:t>
            </w:r>
          </w:p>
        </w:tc>
        <w:tc>
          <w:tcPr>
            <w:tcW w:w="0" w:type="auto"/>
            <w:shd w:val="clear" w:color="auto" w:fill="CCFFCC"/>
            <w:hideMark/>
          </w:tcPr>
          <w:p w:rsidR="00000000" w:rsidRDefault="008D0E70">
            <w:pPr>
              <w:jc w:val="right"/>
              <w:rPr>
                <w:rFonts w:eastAsia="Times New Roman"/>
              </w:rPr>
            </w:pPr>
            <w:r>
              <w:rPr>
                <w:rFonts w:eastAsia="Times New Roman"/>
                <w:sz w:val="20"/>
                <w:szCs w:val="20"/>
              </w:rPr>
              <w:t>30,666</w:t>
            </w:r>
          </w:p>
        </w:tc>
        <w:tc>
          <w:tcPr>
            <w:tcW w:w="0" w:type="auto"/>
            <w:shd w:val="clear" w:color="auto" w:fill="CCFFCC"/>
            <w:hideMark/>
          </w:tcPr>
          <w:p w:rsidR="00000000" w:rsidRDefault="008D0E70">
            <w:pPr>
              <w:jc w:val="right"/>
              <w:rPr>
                <w:rFonts w:eastAsia="Times New Roman"/>
              </w:rPr>
            </w:pPr>
            <w:r>
              <w:rPr>
                <w:rFonts w:eastAsia="Times New Roman"/>
                <w:sz w:val="20"/>
                <w:szCs w:val="20"/>
              </w:rPr>
              <w:t>57,845</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Expenses</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Accounting Expense</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9,821</w:t>
            </w:r>
          </w:p>
        </w:tc>
        <w:tc>
          <w:tcPr>
            <w:tcW w:w="0" w:type="auto"/>
            <w:shd w:val="clear" w:color="auto" w:fill="FFFFFF"/>
            <w:hideMark/>
          </w:tcPr>
          <w:p w:rsidR="00000000" w:rsidRDefault="008D0E70">
            <w:pPr>
              <w:jc w:val="right"/>
              <w:rPr>
                <w:rFonts w:eastAsia="Times New Roman"/>
              </w:rPr>
            </w:pPr>
            <w:r>
              <w:rPr>
                <w:rFonts w:eastAsia="Times New Roman"/>
                <w:sz w:val="20"/>
                <w:szCs w:val="20"/>
              </w:rPr>
              <w:t>9,821</w:t>
            </w:r>
          </w:p>
        </w:tc>
        <w:tc>
          <w:tcPr>
            <w:tcW w:w="0" w:type="auto"/>
            <w:shd w:val="clear" w:color="auto" w:fill="FFFFFF"/>
            <w:hideMark/>
          </w:tcPr>
          <w:p w:rsidR="00000000" w:rsidRDefault="008D0E70">
            <w:pPr>
              <w:jc w:val="right"/>
              <w:rPr>
                <w:rFonts w:eastAsia="Times New Roman"/>
              </w:rPr>
            </w:pPr>
            <w:r>
              <w:rPr>
                <w:rFonts w:eastAsia="Times New Roman"/>
                <w:sz w:val="20"/>
                <w:szCs w:val="20"/>
              </w:rPr>
              <w:t>7,547</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Interest Expense</w:t>
            </w:r>
          </w:p>
        </w:tc>
        <w:tc>
          <w:tcPr>
            <w:tcW w:w="0" w:type="auto"/>
            <w:shd w:val="clear" w:color="auto" w:fill="CCFFCC"/>
            <w:hideMark/>
          </w:tcPr>
          <w:p w:rsidR="00000000" w:rsidRDefault="008D0E70">
            <w:pPr>
              <w:jc w:val="right"/>
              <w:rPr>
                <w:rFonts w:eastAsia="Times New Roman"/>
              </w:rPr>
            </w:pPr>
            <w:r>
              <w:rPr>
                <w:rFonts w:eastAsia="Times New Roman"/>
                <w:sz w:val="20"/>
                <w:szCs w:val="20"/>
              </w:rPr>
              <w:t>1,049</w:t>
            </w:r>
          </w:p>
        </w:tc>
        <w:tc>
          <w:tcPr>
            <w:tcW w:w="0" w:type="auto"/>
            <w:shd w:val="clear" w:color="auto" w:fill="CCFFCC"/>
            <w:hideMark/>
          </w:tcPr>
          <w:p w:rsidR="00000000" w:rsidRDefault="008D0E70">
            <w:pPr>
              <w:jc w:val="right"/>
              <w:rPr>
                <w:rFonts w:eastAsia="Times New Roman"/>
              </w:rPr>
            </w:pPr>
            <w:r>
              <w:rPr>
                <w:rFonts w:eastAsia="Times New Roman"/>
                <w:sz w:val="20"/>
                <w:szCs w:val="20"/>
              </w:rPr>
              <w:t>1,211</w:t>
            </w:r>
          </w:p>
        </w:tc>
        <w:tc>
          <w:tcPr>
            <w:tcW w:w="0" w:type="auto"/>
            <w:shd w:val="clear" w:color="auto" w:fill="CCFFCC"/>
            <w:hideMark/>
          </w:tcPr>
          <w:p w:rsidR="00000000" w:rsidRDefault="008D0E70">
            <w:pPr>
              <w:jc w:val="right"/>
              <w:rPr>
                <w:rFonts w:eastAsia="Times New Roman"/>
              </w:rPr>
            </w:pPr>
            <w:r>
              <w:rPr>
                <w:rFonts w:eastAsia="Times New Roman"/>
                <w:sz w:val="20"/>
                <w:szCs w:val="20"/>
              </w:rPr>
              <w:t>3,324</w:t>
            </w:r>
          </w:p>
        </w:tc>
        <w:tc>
          <w:tcPr>
            <w:tcW w:w="0" w:type="auto"/>
            <w:shd w:val="clear" w:color="auto" w:fill="CCFFCC"/>
            <w:hideMark/>
          </w:tcPr>
          <w:p w:rsidR="00000000" w:rsidRDefault="008D0E70">
            <w:pPr>
              <w:jc w:val="right"/>
              <w:rPr>
                <w:rFonts w:eastAsia="Times New Roman"/>
              </w:rPr>
            </w:pPr>
            <w:r>
              <w:rPr>
                <w:rFonts w:eastAsia="Times New Roman"/>
                <w:sz w:val="20"/>
                <w:szCs w:val="20"/>
              </w:rPr>
              <w:t>3,877</w:t>
            </w:r>
          </w:p>
        </w:tc>
        <w:tc>
          <w:tcPr>
            <w:tcW w:w="0" w:type="auto"/>
            <w:shd w:val="clear" w:color="auto" w:fill="CCFFCC"/>
            <w:hideMark/>
          </w:tcPr>
          <w:p w:rsidR="00000000" w:rsidRDefault="008D0E70">
            <w:pPr>
              <w:jc w:val="right"/>
              <w:rPr>
                <w:rFonts w:eastAsia="Times New Roman"/>
              </w:rPr>
            </w:pPr>
            <w:r>
              <w:rPr>
                <w:rFonts w:eastAsia="Times New Roman"/>
                <w:sz w:val="20"/>
                <w:szCs w:val="20"/>
              </w:rPr>
              <w:t>4,772</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General &amp; Administrative</w:t>
            </w:r>
          </w:p>
        </w:tc>
        <w:tc>
          <w:tcPr>
            <w:tcW w:w="0" w:type="auto"/>
            <w:shd w:val="clear" w:color="auto" w:fill="FFFFFF"/>
            <w:hideMark/>
          </w:tcPr>
          <w:p w:rsidR="00000000" w:rsidRDefault="008D0E70">
            <w:pPr>
              <w:jc w:val="right"/>
              <w:rPr>
                <w:rFonts w:eastAsia="Times New Roman"/>
              </w:rPr>
            </w:pPr>
            <w:r>
              <w:rPr>
                <w:rFonts w:eastAsia="Times New Roman"/>
                <w:sz w:val="20"/>
                <w:szCs w:val="20"/>
              </w:rPr>
              <w:t>3,071</w:t>
            </w:r>
          </w:p>
        </w:tc>
        <w:tc>
          <w:tcPr>
            <w:tcW w:w="0" w:type="auto"/>
            <w:shd w:val="clear" w:color="auto" w:fill="FFFFFF"/>
            <w:hideMark/>
          </w:tcPr>
          <w:p w:rsidR="00000000" w:rsidRDefault="008D0E70">
            <w:pPr>
              <w:jc w:val="right"/>
              <w:rPr>
                <w:rFonts w:eastAsia="Times New Roman"/>
              </w:rPr>
            </w:pPr>
            <w:r>
              <w:rPr>
                <w:rFonts w:eastAsia="Times New Roman"/>
                <w:sz w:val="20"/>
                <w:szCs w:val="20"/>
              </w:rPr>
              <w:t>1,261</w:t>
            </w:r>
          </w:p>
        </w:tc>
        <w:tc>
          <w:tcPr>
            <w:tcW w:w="0" w:type="auto"/>
            <w:shd w:val="clear" w:color="auto" w:fill="FFFFFF"/>
            <w:hideMark/>
          </w:tcPr>
          <w:p w:rsidR="00000000" w:rsidRDefault="008D0E70">
            <w:pPr>
              <w:jc w:val="right"/>
              <w:rPr>
                <w:rFonts w:eastAsia="Times New Roman"/>
              </w:rPr>
            </w:pPr>
            <w:r>
              <w:rPr>
                <w:rFonts w:eastAsia="Times New Roman"/>
                <w:sz w:val="20"/>
                <w:szCs w:val="20"/>
              </w:rPr>
              <w:t>12,110</w:t>
            </w:r>
          </w:p>
        </w:tc>
        <w:tc>
          <w:tcPr>
            <w:tcW w:w="0" w:type="auto"/>
            <w:shd w:val="clear" w:color="auto" w:fill="FFFFFF"/>
            <w:hideMark/>
          </w:tcPr>
          <w:p w:rsidR="00000000" w:rsidRDefault="008D0E70">
            <w:pPr>
              <w:jc w:val="right"/>
              <w:rPr>
                <w:rFonts w:eastAsia="Times New Roman"/>
              </w:rPr>
            </w:pPr>
            <w:r>
              <w:rPr>
                <w:rFonts w:eastAsia="Times New Roman"/>
                <w:sz w:val="20"/>
                <w:szCs w:val="20"/>
              </w:rPr>
              <w:t>7,317</w:t>
            </w:r>
          </w:p>
        </w:tc>
        <w:tc>
          <w:tcPr>
            <w:tcW w:w="0" w:type="auto"/>
            <w:shd w:val="clear" w:color="auto" w:fill="FFFFFF"/>
            <w:hideMark/>
          </w:tcPr>
          <w:p w:rsidR="00000000" w:rsidRDefault="008D0E70">
            <w:pPr>
              <w:jc w:val="right"/>
              <w:rPr>
                <w:rFonts w:eastAsia="Times New Roman"/>
              </w:rPr>
            </w:pPr>
            <w:r>
              <w:rPr>
                <w:rFonts w:eastAsia="Times New Roman"/>
                <w:sz w:val="20"/>
                <w:szCs w:val="20"/>
              </w:rPr>
              <w:t>7,842</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Taxes</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2,455</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Transfer Agent Expenses</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r>
      <w:tr w:rsidR="00000000">
        <w:trPr>
          <w:tblCellSpacing w:w="0" w:type="dxa"/>
        </w:trPr>
        <w:tc>
          <w:tcPr>
            <w:tcW w:w="0" w:type="auto"/>
            <w:shd w:val="clear" w:color="auto" w:fill="CCFFCC"/>
            <w:hideMark/>
          </w:tcPr>
          <w:p w:rsidR="00000000" w:rsidRDefault="008D0E70">
            <w:pPr>
              <w:rPr>
                <w:rFonts w:eastAsia="Times New Roman"/>
              </w:rPr>
            </w:pP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Total Expenses</w:t>
            </w:r>
          </w:p>
        </w:tc>
        <w:tc>
          <w:tcPr>
            <w:tcW w:w="0" w:type="auto"/>
            <w:shd w:val="clear" w:color="auto" w:fill="FFFFFF"/>
            <w:hideMark/>
          </w:tcPr>
          <w:p w:rsidR="00000000" w:rsidRDefault="008D0E70">
            <w:pPr>
              <w:jc w:val="right"/>
              <w:rPr>
                <w:rFonts w:eastAsia="Times New Roman"/>
              </w:rPr>
            </w:pPr>
            <w:r>
              <w:rPr>
                <w:rFonts w:eastAsia="Times New Roman"/>
                <w:sz w:val="20"/>
                <w:szCs w:val="20"/>
              </w:rPr>
              <w:t>6,220</w:t>
            </w:r>
          </w:p>
        </w:tc>
        <w:tc>
          <w:tcPr>
            <w:tcW w:w="0" w:type="auto"/>
            <w:shd w:val="clear" w:color="auto" w:fill="FFFFFF"/>
            <w:hideMark/>
          </w:tcPr>
          <w:p w:rsidR="00000000" w:rsidRDefault="008D0E70">
            <w:pPr>
              <w:jc w:val="right"/>
              <w:rPr>
                <w:rFonts w:eastAsia="Times New Roman"/>
              </w:rPr>
            </w:pPr>
            <w:r>
              <w:rPr>
                <w:rFonts w:eastAsia="Times New Roman"/>
                <w:sz w:val="20"/>
                <w:szCs w:val="20"/>
              </w:rPr>
              <w:t>4,572</w:t>
            </w:r>
          </w:p>
        </w:tc>
        <w:tc>
          <w:tcPr>
            <w:tcW w:w="0" w:type="auto"/>
            <w:shd w:val="clear" w:color="auto" w:fill="FFFFFF"/>
            <w:hideMark/>
          </w:tcPr>
          <w:p w:rsidR="00000000" w:rsidRDefault="008D0E70">
            <w:pPr>
              <w:jc w:val="right"/>
              <w:rPr>
                <w:rFonts w:eastAsia="Times New Roman"/>
              </w:rPr>
            </w:pPr>
            <w:r>
              <w:rPr>
                <w:rFonts w:eastAsia="Times New Roman"/>
                <w:sz w:val="20"/>
                <w:szCs w:val="20"/>
              </w:rPr>
              <w:t>29,810</w:t>
            </w:r>
          </w:p>
        </w:tc>
        <w:tc>
          <w:tcPr>
            <w:tcW w:w="0" w:type="auto"/>
            <w:shd w:val="clear" w:color="auto" w:fill="FFFFFF"/>
            <w:hideMark/>
          </w:tcPr>
          <w:p w:rsidR="00000000" w:rsidRDefault="008D0E70">
            <w:pPr>
              <w:jc w:val="right"/>
              <w:rPr>
                <w:rFonts w:eastAsia="Times New Roman"/>
              </w:rPr>
            </w:pPr>
            <w:r>
              <w:rPr>
                <w:rFonts w:eastAsia="Times New Roman"/>
                <w:sz w:val="20"/>
                <w:szCs w:val="20"/>
              </w:rPr>
              <w:t>20,841</w:t>
            </w:r>
          </w:p>
        </w:tc>
        <w:tc>
          <w:tcPr>
            <w:tcW w:w="0" w:type="auto"/>
            <w:shd w:val="clear" w:color="auto" w:fill="FFFFFF"/>
            <w:hideMark/>
          </w:tcPr>
          <w:p w:rsidR="00000000" w:rsidRDefault="008D0E70">
            <w:pPr>
              <w:jc w:val="right"/>
              <w:rPr>
                <w:rFonts w:eastAsia="Times New Roman"/>
              </w:rPr>
            </w:pPr>
            <w:r>
              <w:rPr>
                <w:rFonts w:eastAsia="Times New Roman"/>
                <w:sz w:val="20"/>
                <w:szCs w:val="20"/>
              </w:rPr>
              <w:t>22,261</w:t>
            </w:r>
          </w:p>
        </w:tc>
      </w:tr>
      <w:tr w:rsidR="00000000">
        <w:trPr>
          <w:tblCellSpacing w:w="0" w:type="dxa"/>
        </w:trPr>
        <w:tc>
          <w:tcPr>
            <w:tcW w:w="0" w:type="auto"/>
            <w:shd w:val="clear" w:color="auto" w:fill="CCFFCC"/>
            <w:vAlign w:val="center"/>
            <w:hideMark/>
          </w:tcPr>
          <w:p w:rsidR="00000000" w:rsidRDefault="008D0E70">
            <w:pPr>
              <w:rPr>
                <w:rFonts w:eastAsia="Times New Roman"/>
              </w:rPr>
            </w:pP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8D0E70">
            <w:pPr>
              <w:rPr>
                <w:rFonts w:eastAsia="Times New Roman"/>
              </w:rPr>
            </w:pPr>
            <w:r>
              <w:rPr>
                <w:rFonts w:eastAsia="Times New Roman"/>
                <w:b/>
                <w:bCs/>
                <w:sz w:val="20"/>
                <w:szCs w:val="20"/>
              </w:rPr>
              <w:t>Income (loss) from Operations</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4,292</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5,248</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17450</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9,825</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35,584</w:t>
            </w:r>
          </w:p>
        </w:tc>
      </w:tr>
      <w:tr w:rsidR="00000000">
        <w:trPr>
          <w:tblCellSpacing w:w="0" w:type="dxa"/>
        </w:trPr>
        <w:tc>
          <w:tcPr>
            <w:tcW w:w="0" w:type="auto"/>
            <w:shd w:val="clear" w:color="auto" w:fill="CCFFCC"/>
            <w:vAlign w:val="center"/>
            <w:hideMark/>
          </w:tcPr>
          <w:p w:rsidR="00000000" w:rsidRDefault="008D0E70">
            <w:pPr>
              <w:rPr>
                <w:rFonts w:eastAsia="Times New Roman"/>
              </w:rPr>
            </w:pPr>
            <w:r>
              <w:rPr>
                <w:rFonts w:eastAsia="Times New Roman"/>
                <w:sz w:val="20"/>
                <w:szCs w:val="20"/>
              </w:rPr>
              <w:t>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r>
      <w:tr w:rsidR="00000000">
        <w:trPr>
          <w:tblCellSpacing w:w="0" w:type="dxa"/>
        </w:trPr>
        <w:tc>
          <w:tcPr>
            <w:tcW w:w="0" w:type="auto"/>
            <w:shd w:val="clear" w:color="auto" w:fill="FFFFFF"/>
            <w:vAlign w:val="center"/>
            <w:hideMark/>
          </w:tcPr>
          <w:p w:rsidR="00000000" w:rsidRDefault="008D0E70">
            <w:pPr>
              <w:rPr>
                <w:rFonts w:eastAsia="Times New Roman"/>
              </w:rPr>
            </w:pPr>
            <w:r>
              <w:rPr>
                <w:rFonts w:eastAsia="Times New Roman"/>
                <w:sz w:val="20"/>
                <w:szCs w:val="20"/>
              </w:rPr>
              <w:t>Other Income (Expense)</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r>
      <w:tr w:rsidR="00000000">
        <w:trPr>
          <w:tblCellSpacing w:w="0" w:type="dxa"/>
        </w:trPr>
        <w:tc>
          <w:tcPr>
            <w:tcW w:w="0" w:type="auto"/>
            <w:shd w:val="clear" w:color="auto" w:fill="CCFFCC"/>
            <w:vAlign w:val="center"/>
            <w:hideMark/>
          </w:tcPr>
          <w:p w:rsidR="00000000" w:rsidRDefault="008D0E70">
            <w:pPr>
              <w:rPr>
                <w:rFonts w:eastAsia="Times New Roman"/>
              </w:rPr>
            </w:pPr>
            <w:r>
              <w:rPr>
                <w:rFonts w:eastAsia="Times New Roman"/>
                <w:sz w:val="20"/>
                <w:szCs w:val="20"/>
              </w:rPr>
              <w:t>Interest Income</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10</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56</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42</w:t>
            </w:r>
          </w:p>
        </w:tc>
      </w:tr>
      <w:tr w:rsidR="00000000">
        <w:trPr>
          <w:tblCellSpacing w:w="0" w:type="dxa"/>
        </w:trPr>
        <w:tc>
          <w:tcPr>
            <w:tcW w:w="0" w:type="auto"/>
            <w:shd w:val="clear" w:color="auto" w:fill="FFFFFF"/>
            <w:vAlign w:val="center"/>
            <w:hideMark/>
          </w:tcPr>
          <w:p w:rsidR="00000000" w:rsidRDefault="008D0E70">
            <w:pPr>
              <w:rPr>
                <w:rFonts w:eastAsia="Times New Roman"/>
              </w:rPr>
            </w:pPr>
            <w:r>
              <w:rPr>
                <w:rFonts w:eastAsia="Times New Roman"/>
                <w:sz w:val="20"/>
                <w:szCs w:val="20"/>
              </w:rPr>
              <w:t>Foreign Exchange gain (loss) of Land and Buildings</w:t>
            </w: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(63,319)</w:t>
            </w:r>
          </w:p>
        </w:tc>
      </w:tr>
      <w:tr w:rsidR="00000000">
        <w:trPr>
          <w:tblCellSpacing w:w="0" w:type="dxa"/>
        </w:trPr>
        <w:tc>
          <w:tcPr>
            <w:tcW w:w="0" w:type="auto"/>
            <w:shd w:val="clear" w:color="auto" w:fill="CCFFCC"/>
            <w:vAlign w:val="center"/>
            <w:hideMark/>
          </w:tcPr>
          <w:p w:rsidR="00000000" w:rsidRDefault="008D0E70">
            <w:pPr>
              <w:rPr>
                <w:rFonts w:eastAsia="Times New Roman"/>
              </w:rPr>
            </w:pPr>
            <w:r>
              <w:rPr>
                <w:rFonts w:eastAsia="Times New Roman"/>
                <w:sz w:val="20"/>
                <w:szCs w:val="20"/>
              </w:rPr>
              <w:t>Vendor Debt Write Down</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8,050</w:t>
            </w:r>
          </w:p>
        </w:tc>
      </w:tr>
      <w:tr w:rsidR="00000000">
        <w:trPr>
          <w:tblCellSpacing w:w="0" w:type="dxa"/>
        </w:trPr>
        <w:tc>
          <w:tcPr>
            <w:tcW w:w="0" w:type="auto"/>
            <w:shd w:val="clear" w:color="auto" w:fill="FFFFFF"/>
            <w:vAlign w:val="center"/>
            <w:hideMark/>
          </w:tcPr>
          <w:p w:rsidR="00000000" w:rsidRDefault="008D0E70">
            <w:pPr>
              <w:rPr>
                <w:rFonts w:eastAsia="Times New Roman"/>
              </w:rPr>
            </w:pPr>
            <w:r>
              <w:rPr>
                <w:rFonts w:eastAsia="Times New Roman"/>
                <w:sz w:val="20"/>
                <w:szCs w:val="20"/>
              </w:rPr>
              <w:t>Total Other Income (Expense)</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10</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56</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555,227</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b/>
                <w:bCs/>
                <w:sz w:val="20"/>
                <w:szCs w:val="20"/>
              </w:rPr>
              <w:t>Net Income (Loss)</w:t>
            </w:r>
          </w:p>
        </w:tc>
        <w:tc>
          <w:tcPr>
            <w:tcW w:w="0" w:type="auto"/>
            <w:shd w:val="clear" w:color="auto" w:fill="FFFFFF"/>
            <w:hideMark/>
          </w:tcPr>
          <w:p w:rsidR="00000000" w:rsidRDefault="008D0E70">
            <w:pPr>
              <w:jc w:val="right"/>
              <w:rPr>
                <w:rFonts w:eastAsia="Times New Roman"/>
              </w:rPr>
            </w:pPr>
            <w:r>
              <w:rPr>
                <w:rFonts w:eastAsia="Times New Roman"/>
                <w:b/>
                <w:bCs/>
                <w:sz w:val="20"/>
                <w:szCs w:val="20"/>
              </w:rPr>
              <w:t>4,292</w:t>
            </w:r>
          </w:p>
        </w:tc>
        <w:tc>
          <w:tcPr>
            <w:tcW w:w="0" w:type="auto"/>
            <w:shd w:val="clear" w:color="auto" w:fill="FFFFFF"/>
            <w:hideMark/>
          </w:tcPr>
          <w:p w:rsidR="00000000" w:rsidRDefault="008D0E70">
            <w:pPr>
              <w:jc w:val="right"/>
              <w:rPr>
                <w:rFonts w:eastAsia="Times New Roman"/>
              </w:rPr>
            </w:pPr>
            <w:r>
              <w:rPr>
                <w:rFonts w:eastAsia="Times New Roman"/>
                <w:b/>
                <w:bCs/>
                <w:sz w:val="20"/>
                <w:szCs w:val="20"/>
              </w:rPr>
              <w:t>5,258</w:t>
            </w:r>
          </w:p>
        </w:tc>
        <w:tc>
          <w:tcPr>
            <w:tcW w:w="0" w:type="auto"/>
            <w:shd w:val="clear" w:color="auto" w:fill="FFFFFF"/>
            <w:hideMark/>
          </w:tcPr>
          <w:p w:rsidR="00000000" w:rsidRDefault="008D0E70">
            <w:pPr>
              <w:jc w:val="right"/>
              <w:rPr>
                <w:rFonts w:eastAsia="Times New Roman"/>
              </w:rPr>
            </w:pPr>
            <w:r>
              <w:rPr>
                <w:rFonts w:eastAsia="Times New Roman"/>
                <w:b/>
                <w:bCs/>
                <w:sz w:val="20"/>
                <w:szCs w:val="20"/>
              </w:rPr>
              <w:t>17,450</w:t>
            </w:r>
          </w:p>
        </w:tc>
        <w:tc>
          <w:tcPr>
            <w:tcW w:w="0" w:type="auto"/>
            <w:shd w:val="clear" w:color="auto" w:fill="FFFFFF"/>
            <w:hideMark/>
          </w:tcPr>
          <w:p w:rsidR="00000000" w:rsidRDefault="008D0E70">
            <w:pPr>
              <w:jc w:val="right"/>
              <w:rPr>
                <w:rFonts w:eastAsia="Times New Roman"/>
              </w:rPr>
            </w:pPr>
            <w:r>
              <w:rPr>
                <w:rFonts w:eastAsia="Times New Roman"/>
                <w:b/>
                <w:bCs/>
                <w:sz w:val="20"/>
                <w:szCs w:val="20"/>
              </w:rPr>
              <w:t>9,881</w:t>
            </w:r>
          </w:p>
        </w:tc>
        <w:tc>
          <w:tcPr>
            <w:tcW w:w="0" w:type="auto"/>
            <w:shd w:val="clear" w:color="auto" w:fill="FFFFFF"/>
            <w:hideMark/>
          </w:tcPr>
          <w:p w:rsidR="00000000" w:rsidRDefault="008D0E70">
            <w:pPr>
              <w:jc w:val="right"/>
              <w:rPr>
                <w:rFonts w:eastAsia="Times New Roman"/>
              </w:rPr>
            </w:pPr>
            <w:r>
              <w:rPr>
                <w:rFonts w:eastAsia="Times New Roman"/>
                <w:b/>
                <w:bCs/>
                <w:sz w:val="20"/>
                <w:szCs w:val="20"/>
              </w:rPr>
              <w:t>(19,643)</w:t>
            </w: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Accumulated Deficit</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0" w:type="dxa"/>
        </w:trPr>
        <w:tc>
          <w:tcPr>
            <w:tcW w:w="0" w:type="auto"/>
            <w:shd w:val="clear" w:color="auto" w:fill="CCFFCC"/>
            <w:hideMark/>
          </w:tcPr>
          <w:p w:rsidR="00000000" w:rsidRDefault="008D0E70">
            <w:pPr>
              <w:rPr>
                <w:rFonts w:eastAsia="Times New Roman"/>
              </w:rPr>
            </w:pPr>
            <w:r>
              <w:rPr>
                <w:rFonts w:eastAsia="Times New Roman"/>
                <w:sz w:val="20"/>
                <w:szCs w:val="20"/>
              </w:rPr>
              <w:t>Beginning of Period</w:t>
            </w:r>
          </w:p>
        </w:tc>
        <w:tc>
          <w:tcPr>
            <w:tcW w:w="0" w:type="auto"/>
            <w:shd w:val="clear" w:color="auto" w:fill="CCFFCC"/>
            <w:hideMark/>
          </w:tcPr>
          <w:p w:rsidR="00000000" w:rsidRDefault="008D0E70">
            <w:pPr>
              <w:jc w:val="right"/>
              <w:rPr>
                <w:rFonts w:eastAsia="Times New Roman"/>
              </w:rPr>
            </w:pPr>
            <w:r>
              <w:rPr>
                <w:rFonts w:eastAsia="Times New Roman"/>
                <w:sz w:val="20"/>
                <w:szCs w:val="20"/>
              </w:rPr>
              <w:t>(20,724,778)</w:t>
            </w:r>
          </w:p>
        </w:tc>
        <w:tc>
          <w:tcPr>
            <w:tcW w:w="0" w:type="auto"/>
            <w:shd w:val="clear" w:color="auto" w:fill="CCFFCC"/>
            <w:hideMark/>
          </w:tcPr>
          <w:p w:rsidR="00000000" w:rsidRDefault="008D0E70">
            <w:pPr>
              <w:jc w:val="right"/>
              <w:rPr>
                <w:rFonts w:eastAsia="Times New Roman"/>
              </w:rPr>
            </w:pPr>
            <w:r>
              <w:rPr>
                <w:rFonts w:eastAsia="Times New Roman"/>
                <w:sz w:val="20"/>
                <w:szCs w:val="20"/>
              </w:rPr>
              <w:t>(20,713,669)</w:t>
            </w:r>
          </w:p>
        </w:tc>
        <w:tc>
          <w:tcPr>
            <w:tcW w:w="0" w:type="auto"/>
            <w:shd w:val="clear" w:color="auto" w:fill="CCFFCC"/>
            <w:hideMark/>
          </w:tcPr>
          <w:p w:rsidR="00000000" w:rsidRDefault="008D0E70">
            <w:pPr>
              <w:jc w:val="right"/>
              <w:rPr>
                <w:rFonts w:eastAsia="Times New Roman"/>
              </w:rPr>
            </w:pPr>
            <w:r>
              <w:rPr>
                <w:rFonts w:eastAsia="Times New Roman"/>
                <w:sz w:val="20"/>
                <w:szCs w:val="20"/>
              </w:rPr>
              <w:t>(20,737,935)</w:t>
            </w:r>
          </w:p>
        </w:tc>
        <w:tc>
          <w:tcPr>
            <w:tcW w:w="0" w:type="auto"/>
            <w:shd w:val="clear" w:color="auto" w:fill="CCFFCC"/>
            <w:hideMark/>
          </w:tcPr>
          <w:p w:rsidR="00000000" w:rsidRDefault="008D0E70">
            <w:pPr>
              <w:jc w:val="right"/>
              <w:rPr>
                <w:rFonts w:eastAsia="Times New Roman"/>
              </w:rPr>
            </w:pPr>
            <w:r>
              <w:rPr>
                <w:rFonts w:eastAsia="Times New Roman"/>
                <w:sz w:val="20"/>
                <w:szCs w:val="20"/>
              </w:rPr>
              <w:t>(20,718,292)</w:t>
            </w:r>
          </w:p>
        </w:tc>
        <w:tc>
          <w:tcPr>
            <w:tcW w:w="0" w:type="auto"/>
            <w:shd w:val="clear" w:color="auto" w:fill="CCFFCC"/>
            <w:hideMark/>
          </w:tcPr>
          <w:p w:rsidR="00000000" w:rsidRDefault="008D0E70">
            <w:pPr>
              <w:jc w:val="right"/>
              <w:rPr>
                <w:rFonts w:eastAsia="Times New Roman"/>
              </w:rPr>
            </w:pPr>
            <w:r>
              <w:rPr>
                <w:rFonts w:eastAsia="Times New Roman"/>
                <w:sz w:val="20"/>
                <w:szCs w:val="20"/>
              </w:rPr>
              <w:t>(20,718,292)</w:t>
            </w:r>
          </w:p>
        </w:tc>
      </w:tr>
      <w:tr w:rsidR="00000000">
        <w:trPr>
          <w:tblCellSpacing w:w="0" w:type="dxa"/>
        </w:trPr>
        <w:tc>
          <w:tcPr>
            <w:tcW w:w="0" w:type="auto"/>
            <w:shd w:val="clear" w:color="auto" w:fill="FFFFFF"/>
            <w:hideMark/>
          </w:tcPr>
          <w:p w:rsidR="00000000" w:rsidRDefault="008D0E70">
            <w:pPr>
              <w:rPr>
                <w:rFonts w:eastAsia="Times New Roman"/>
              </w:rPr>
            </w:pPr>
            <w:r>
              <w:rPr>
                <w:rFonts w:eastAsia="Times New Roman"/>
                <w:sz w:val="20"/>
                <w:szCs w:val="20"/>
              </w:rPr>
              <w:t>End of Period</w:t>
            </w:r>
          </w:p>
        </w:tc>
        <w:tc>
          <w:tcPr>
            <w:tcW w:w="0" w:type="auto"/>
            <w:shd w:val="clear" w:color="auto" w:fill="FFFFFF"/>
            <w:hideMark/>
          </w:tcPr>
          <w:p w:rsidR="00000000" w:rsidRDefault="008D0E70">
            <w:pPr>
              <w:jc w:val="right"/>
              <w:rPr>
                <w:rFonts w:eastAsia="Times New Roman"/>
              </w:rPr>
            </w:pPr>
            <w:r>
              <w:rPr>
                <w:rFonts w:eastAsia="Times New Roman"/>
                <w:sz w:val="20"/>
                <w:szCs w:val="20"/>
              </w:rPr>
              <w:t>(20,720,485)</w:t>
            </w:r>
          </w:p>
        </w:tc>
        <w:tc>
          <w:tcPr>
            <w:tcW w:w="0" w:type="auto"/>
            <w:shd w:val="clear" w:color="auto" w:fill="FFFFFF"/>
            <w:hideMark/>
          </w:tcPr>
          <w:p w:rsidR="00000000" w:rsidRDefault="008D0E70">
            <w:pPr>
              <w:jc w:val="right"/>
              <w:rPr>
                <w:rFonts w:eastAsia="Times New Roman"/>
              </w:rPr>
            </w:pPr>
            <w:r>
              <w:rPr>
                <w:rFonts w:eastAsia="Times New Roman"/>
                <w:sz w:val="20"/>
                <w:szCs w:val="20"/>
              </w:rPr>
              <w:t>(20,708,411)</w:t>
            </w:r>
          </w:p>
        </w:tc>
        <w:tc>
          <w:tcPr>
            <w:tcW w:w="0" w:type="auto"/>
            <w:shd w:val="clear" w:color="auto" w:fill="FFFFFF"/>
            <w:hideMark/>
          </w:tcPr>
          <w:p w:rsidR="00000000" w:rsidRDefault="008D0E70">
            <w:pPr>
              <w:jc w:val="right"/>
              <w:rPr>
                <w:rFonts w:eastAsia="Times New Roman"/>
              </w:rPr>
            </w:pPr>
            <w:r>
              <w:rPr>
                <w:rFonts w:eastAsia="Times New Roman"/>
                <w:sz w:val="20"/>
                <w:szCs w:val="20"/>
              </w:rPr>
              <w:t>(20,720,485)</w:t>
            </w:r>
          </w:p>
        </w:tc>
        <w:tc>
          <w:tcPr>
            <w:tcW w:w="0" w:type="auto"/>
            <w:shd w:val="clear" w:color="auto" w:fill="FFFFFF"/>
            <w:hideMark/>
          </w:tcPr>
          <w:p w:rsidR="00000000" w:rsidRDefault="008D0E70">
            <w:pPr>
              <w:jc w:val="right"/>
              <w:rPr>
                <w:rFonts w:eastAsia="Times New Roman"/>
              </w:rPr>
            </w:pPr>
            <w:r>
              <w:rPr>
                <w:rFonts w:eastAsia="Times New Roman"/>
                <w:sz w:val="20"/>
                <w:szCs w:val="20"/>
              </w:rPr>
              <w:t>(20,708,411)</w:t>
            </w:r>
          </w:p>
        </w:tc>
        <w:tc>
          <w:tcPr>
            <w:tcW w:w="0" w:type="auto"/>
            <w:shd w:val="clear" w:color="auto" w:fill="FFFFFF"/>
            <w:hideMark/>
          </w:tcPr>
          <w:p w:rsidR="00000000" w:rsidRDefault="008D0E70">
            <w:pPr>
              <w:jc w:val="right"/>
              <w:rPr>
                <w:rFonts w:eastAsia="Times New Roman"/>
              </w:rPr>
            </w:pPr>
            <w:r>
              <w:rPr>
                <w:rFonts w:eastAsia="Times New Roman"/>
                <w:sz w:val="20"/>
                <w:szCs w:val="20"/>
              </w:rPr>
              <w:t>(20,737,935)</w:t>
            </w:r>
          </w:p>
        </w:tc>
      </w:tr>
      <w:tr w:rsidR="00000000">
        <w:trPr>
          <w:tblCellSpacing w:w="0" w:type="dxa"/>
        </w:trPr>
        <w:tc>
          <w:tcPr>
            <w:tcW w:w="0" w:type="auto"/>
            <w:shd w:val="clear" w:color="auto" w:fill="CCFFCC"/>
            <w:vAlign w:val="center"/>
            <w:hideMark/>
          </w:tcPr>
          <w:p w:rsidR="00000000" w:rsidRDefault="008D0E70">
            <w:pPr>
              <w:rPr>
                <w:rFonts w:eastAsia="Times New Roman"/>
              </w:rPr>
            </w:pPr>
            <w:r>
              <w:rPr>
                <w:rFonts w:eastAsia="Times New Roman"/>
                <w:sz w:val="20"/>
                <w:szCs w:val="20"/>
              </w:rPr>
              <w:t> </w:t>
            </w: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c>
          <w:tcPr>
            <w:tcW w:w="0" w:type="auto"/>
            <w:shd w:val="clear" w:color="auto" w:fill="CCFFCC"/>
            <w:vAlign w:val="center"/>
            <w:hideMark/>
          </w:tcPr>
          <w:p w:rsidR="00000000" w:rsidRDefault="008D0E70">
            <w:pPr>
              <w:jc w:val="right"/>
              <w:rPr>
                <w:rFonts w:eastAsia="Times New Roman"/>
              </w:rPr>
            </w:pPr>
          </w:p>
        </w:tc>
      </w:tr>
      <w:tr w:rsidR="00000000">
        <w:trPr>
          <w:tblCellSpacing w:w="0" w:type="dxa"/>
        </w:trPr>
        <w:tc>
          <w:tcPr>
            <w:tcW w:w="0" w:type="auto"/>
            <w:shd w:val="clear" w:color="auto" w:fill="FFFFFF"/>
            <w:vAlign w:val="center"/>
            <w:hideMark/>
          </w:tcPr>
          <w:p w:rsidR="00000000" w:rsidRDefault="008D0E70">
            <w:pPr>
              <w:rPr>
                <w:rFonts w:eastAsia="Times New Roman"/>
              </w:rPr>
            </w:pPr>
            <w:r>
              <w:rPr>
                <w:rFonts w:eastAsia="Times New Roman"/>
                <w:sz w:val="20"/>
                <w:szCs w:val="20"/>
              </w:rPr>
              <w:t>Earnings per Share</w:t>
            </w:r>
          </w:p>
        </w:tc>
        <w:tc>
          <w:tcPr>
            <w:tcW w:w="0" w:type="auto"/>
            <w:shd w:val="clear" w:color="auto" w:fill="FFFFFF"/>
            <w:vAlign w:val="center"/>
            <w:hideMark/>
          </w:tcPr>
          <w:p w:rsidR="00000000" w:rsidRDefault="008D0E70">
            <w:pPr>
              <w:pStyle w:val="NormalWeb"/>
              <w:jc w:val="right"/>
            </w:pPr>
            <w:r>
              <w:rPr>
                <w:sz w:val="20"/>
                <w:szCs w:val="20"/>
              </w:rPr>
              <w:t>0.000</w:t>
            </w:r>
          </w:p>
        </w:tc>
        <w:tc>
          <w:tcPr>
            <w:tcW w:w="0" w:type="auto"/>
            <w:shd w:val="clear" w:color="auto" w:fill="FFFFFF"/>
            <w:vAlign w:val="center"/>
            <w:hideMark/>
          </w:tcPr>
          <w:p w:rsidR="00000000" w:rsidRDefault="008D0E70">
            <w:pPr>
              <w:pStyle w:val="NormalWeb"/>
              <w:jc w:val="right"/>
            </w:pPr>
            <w:r>
              <w:rPr>
                <w:sz w:val="20"/>
                <w:szCs w:val="20"/>
              </w:rPr>
              <w:t>0.000</w:t>
            </w:r>
          </w:p>
        </w:tc>
        <w:tc>
          <w:tcPr>
            <w:tcW w:w="0" w:type="auto"/>
            <w:shd w:val="clear" w:color="auto" w:fill="FFFFFF"/>
            <w:vAlign w:val="center"/>
            <w:hideMark/>
          </w:tcPr>
          <w:p w:rsidR="00000000" w:rsidRDefault="008D0E70">
            <w:pPr>
              <w:pStyle w:val="NormalWeb"/>
              <w:jc w:val="right"/>
            </w:pPr>
            <w:r>
              <w:rPr>
                <w:sz w:val="20"/>
                <w:szCs w:val="20"/>
              </w:rPr>
              <w:t>0.000</w:t>
            </w:r>
          </w:p>
        </w:tc>
        <w:tc>
          <w:tcPr>
            <w:tcW w:w="0" w:type="auto"/>
            <w:shd w:val="clear" w:color="auto" w:fill="FFFFFF"/>
            <w:vAlign w:val="center"/>
            <w:hideMark/>
          </w:tcPr>
          <w:p w:rsidR="00000000" w:rsidRDefault="008D0E70">
            <w:pPr>
              <w:pStyle w:val="NormalWeb"/>
              <w:jc w:val="right"/>
            </w:pPr>
            <w:r>
              <w:rPr>
                <w:sz w:val="20"/>
                <w:szCs w:val="20"/>
              </w:rPr>
              <w:t>0.000</w:t>
            </w:r>
          </w:p>
        </w:tc>
        <w:tc>
          <w:tcPr>
            <w:tcW w:w="0" w:type="auto"/>
            <w:shd w:val="clear" w:color="auto" w:fill="FFFFFF"/>
            <w:vAlign w:val="center"/>
            <w:hideMark/>
          </w:tcPr>
          <w:p w:rsidR="00000000" w:rsidRDefault="008D0E70">
            <w:pPr>
              <w:pStyle w:val="NormalWeb"/>
              <w:jc w:val="right"/>
            </w:pPr>
            <w:r>
              <w:rPr>
                <w:sz w:val="20"/>
                <w:szCs w:val="20"/>
              </w:rPr>
              <w:t>(0.0004)</w:t>
            </w:r>
          </w:p>
        </w:tc>
      </w:tr>
      <w:tr w:rsidR="00000000">
        <w:trPr>
          <w:tblCellSpacing w:w="0" w:type="dxa"/>
        </w:trPr>
        <w:tc>
          <w:tcPr>
            <w:tcW w:w="0" w:type="auto"/>
            <w:gridSpan w:val="5"/>
            <w:shd w:val="clear" w:color="auto" w:fill="CCFFCC"/>
            <w:vAlign w:val="center"/>
            <w:hideMark/>
          </w:tcPr>
          <w:p w:rsidR="00000000" w:rsidRDefault="008D0E70">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000000" w:rsidRDefault="008D0E70">
            <w:pPr>
              <w:rPr>
                <w:rFonts w:eastAsia="Times New Roman"/>
              </w:rPr>
            </w:pPr>
          </w:p>
        </w:tc>
      </w:tr>
    </w:tbl>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34" style="width:0;height:3pt" o:hralign="center" o:hrstd="t" o:hrnoshade="t" o:hr="t" fillcolor="black" stroked="f"/>
        </w:pict>
      </w:r>
    </w:p>
    <w:p w:rsidR="00FC32F9" w:rsidRDefault="00FC32F9">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916"/>
        <w:gridCol w:w="1497"/>
        <w:gridCol w:w="1497"/>
        <w:gridCol w:w="1512"/>
      </w:tblGrid>
      <w:tr w:rsidR="00000000">
        <w:trPr>
          <w:tblCellSpacing w:w="15" w:type="dxa"/>
        </w:trPr>
        <w:tc>
          <w:tcPr>
            <w:tcW w:w="0" w:type="auto"/>
            <w:gridSpan w:val="4"/>
            <w:shd w:val="clear" w:color="auto" w:fill="CCFFCC"/>
            <w:vAlign w:val="bottom"/>
            <w:hideMark/>
          </w:tcPr>
          <w:p w:rsidR="00000000" w:rsidRDefault="008D0E70">
            <w:pPr>
              <w:pStyle w:val="NormalWeb"/>
              <w:jc w:val="center"/>
            </w:pPr>
            <w:r>
              <w:rPr>
                <w:b/>
                <w:bCs/>
                <w:sz w:val="20"/>
                <w:szCs w:val="20"/>
              </w:rPr>
              <w:lastRenderedPageBreak/>
              <w:t>ADVANCED OXYGEN TECHNOLOGIES, INC.</w:t>
            </w:r>
          </w:p>
          <w:p w:rsidR="00000000" w:rsidRDefault="008D0E70">
            <w:pPr>
              <w:pStyle w:val="NormalWeb"/>
              <w:jc w:val="center"/>
            </w:pPr>
            <w:r>
              <w:rPr>
                <w:b/>
                <w:bCs/>
                <w:sz w:val="20"/>
                <w:szCs w:val="20"/>
              </w:rPr>
              <w:t>AND SUBSIDIARY</w:t>
            </w:r>
          </w:p>
          <w:p w:rsidR="00000000" w:rsidRDefault="008D0E70">
            <w:pPr>
              <w:pStyle w:val="NormalWeb"/>
              <w:jc w:val="center"/>
            </w:pPr>
            <w:r>
              <w:rPr>
                <w:b/>
                <w:bCs/>
                <w:sz w:val="20"/>
                <w:szCs w:val="20"/>
              </w:rPr>
              <w:t>CONSOLIDATED STATEMENTS OF STOCKHOLDERS' EQUITY (DEFICIENCY)</w:t>
            </w:r>
          </w:p>
        </w:tc>
      </w:tr>
      <w:tr w:rsidR="00000000" w:rsidTr="00FC32F9">
        <w:trPr>
          <w:tblCellSpacing w:w="15" w:type="dxa"/>
        </w:trPr>
        <w:tc>
          <w:tcPr>
            <w:tcW w:w="2817" w:type="pct"/>
            <w:shd w:val="clear" w:color="auto" w:fill="FFFFFF"/>
            <w:vAlign w:val="bottom"/>
            <w:hideMark/>
          </w:tcPr>
          <w:p w:rsidR="00000000" w:rsidRDefault="008D0E70">
            <w:pPr>
              <w:rPr>
                <w:rFonts w:eastAsia="Times New Roman"/>
              </w:rPr>
            </w:pPr>
            <w:r>
              <w:rPr>
                <w:rFonts w:eastAsia="Times New Roman"/>
                <w:b/>
                <w:bCs/>
                <w:sz w:val="20"/>
                <w:szCs w:val="20"/>
              </w:rPr>
              <w:t> </w:t>
            </w:r>
          </w:p>
        </w:tc>
        <w:tc>
          <w:tcPr>
            <w:tcW w:w="704" w:type="pct"/>
            <w:shd w:val="clear" w:color="auto" w:fill="FFFFFF"/>
            <w:vAlign w:val="bottom"/>
            <w:hideMark/>
          </w:tcPr>
          <w:p w:rsidR="00000000" w:rsidRDefault="008D0E70">
            <w:pPr>
              <w:rPr>
                <w:rFonts w:eastAsia="Times New Roman"/>
              </w:rPr>
            </w:pPr>
          </w:p>
        </w:tc>
        <w:tc>
          <w:tcPr>
            <w:tcW w:w="704" w:type="pct"/>
            <w:shd w:val="clear" w:color="auto" w:fill="FFFFFF"/>
            <w:vAlign w:val="bottom"/>
            <w:hideMark/>
          </w:tcPr>
          <w:p w:rsidR="00000000" w:rsidRDefault="008D0E70">
            <w:pPr>
              <w:rPr>
                <w:rFonts w:eastAsia="Times New Roman"/>
              </w:rPr>
            </w:pPr>
          </w:p>
        </w:tc>
        <w:tc>
          <w:tcPr>
            <w:tcW w:w="704" w:type="pct"/>
            <w:shd w:val="clear" w:color="auto" w:fill="FFFFFF"/>
            <w:vAlign w:val="bottom"/>
            <w:hideMark/>
          </w:tcPr>
          <w:p w:rsidR="00000000" w:rsidRDefault="008D0E70">
            <w:pPr>
              <w:rPr>
                <w:rFonts w:eastAsia="Times New Roman"/>
              </w:rPr>
            </w:pPr>
            <w:r>
              <w:rPr>
                <w:rFonts w:eastAsia="Times New Roman"/>
                <w:b/>
                <w:bCs/>
                <w:sz w:val="20"/>
                <w:szCs w:val="20"/>
              </w:rPr>
              <w:t> </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 </w:t>
            </w:r>
          </w:p>
        </w:tc>
        <w:tc>
          <w:tcPr>
            <w:tcW w:w="0" w:type="auto"/>
            <w:gridSpan w:val="2"/>
            <w:shd w:val="clear" w:color="auto" w:fill="CCFFCC"/>
            <w:vAlign w:val="bottom"/>
            <w:hideMark/>
          </w:tcPr>
          <w:p w:rsidR="00000000" w:rsidRDefault="008D0E70">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000000" w:rsidRDefault="008D0E70">
            <w:pPr>
              <w:jc w:val="center"/>
              <w:rPr>
                <w:rFonts w:eastAsia="Times New Roman"/>
              </w:rPr>
            </w:pPr>
            <w:r>
              <w:rPr>
                <w:rFonts w:eastAsia="Times New Roman"/>
                <w:b/>
                <w:bCs/>
                <w:sz w:val="20"/>
                <w:szCs w:val="20"/>
              </w:rPr>
              <w:t xml:space="preserve">Year Ending </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rPr>
              <w:t> </w:t>
            </w:r>
          </w:p>
        </w:tc>
        <w:tc>
          <w:tcPr>
            <w:tcW w:w="0" w:type="auto"/>
            <w:gridSpan w:val="2"/>
            <w:shd w:val="clear" w:color="auto" w:fill="FFFFFF"/>
            <w:vAlign w:val="bottom"/>
            <w:hideMark/>
          </w:tcPr>
          <w:p w:rsidR="00000000" w:rsidRDefault="008D0E70">
            <w:pPr>
              <w:jc w:val="center"/>
              <w:rPr>
                <w:rFonts w:eastAsia="Times New Roman"/>
              </w:rPr>
            </w:pPr>
            <w:r>
              <w:rPr>
                <w:rFonts w:eastAsia="Times New Roman"/>
                <w:b/>
                <w:bCs/>
                <w:sz w:val="20"/>
                <w:szCs w:val="20"/>
              </w:rPr>
              <w:t>March 31,</w:t>
            </w:r>
          </w:p>
        </w:tc>
        <w:tc>
          <w:tcPr>
            <w:tcW w:w="0" w:type="auto"/>
            <w:shd w:val="clear" w:color="auto" w:fill="FFFFFF"/>
            <w:vAlign w:val="bottom"/>
            <w:hideMark/>
          </w:tcPr>
          <w:p w:rsidR="00000000" w:rsidRDefault="008D0E70">
            <w:pPr>
              <w:jc w:val="center"/>
              <w:rPr>
                <w:rFonts w:eastAsia="Times New Roman"/>
              </w:rPr>
            </w:pPr>
            <w:r>
              <w:rPr>
                <w:rFonts w:eastAsia="Times New Roman"/>
                <w:b/>
                <w:bCs/>
                <w:sz w:val="20"/>
                <w:szCs w:val="20"/>
              </w:rPr>
              <w:t xml:space="preserve">June 30, </w:t>
            </w:r>
          </w:p>
        </w:tc>
      </w:tr>
      <w:tr w:rsidR="00000000">
        <w:trPr>
          <w:tblCellSpacing w:w="15" w:type="dxa"/>
        </w:trPr>
        <w:tc>
          <w:tcPr>
            <w:tcW w:w="0" w:type="auto"/>
            <w:shd w:val="clear" w:color="auto" w:fill="CCFFCC"/>
            <w:vAlign w:val="bottom"/>
            <w:hideMark/>
          </w:tcPr>
          <w:p w:rsidR="00000000" w:rsidRDefault="008D0E70">
            <w:pPr>
              <w:rPr>
                <w:rFonts w:eastAsia="Times New Roman"/>
              </w:rPr>
            </w:pPr>
          </w:p>
        </w:tc>
        <w:tc>
          <w:tcPr>
            <w:tcW w:w="0" w:type="auto"/>
            <w:shd w:val="clear" w:color="auto" w:fill="CCFFCC"/>
            <w:vAlign w:val="bottom"/>
            <w:hideMark/>
          </w:tcPr>
          <w:p w:rsidR="00000000" w:rsidRDefault="008D0E70">
            <w:pPr>
              <w:jc w:val="center"/>
              <w:rPr>
                <w:rFonts w:eastAsia="Times New Roman"/>
              </w:rPr>
            </w:pPr>
            <w:r>
              <w:rPr>
                <w:rFonts w:eastAsia="Times New Roman"/>
                <w:b/>
                <w:bCs/>
                <w:sz w:val="20"/>
                <w:szCs w:val="20"/>
              </w:rPr>
              <w:t>2013</w:t>
            </w:r>
          </w:p>
        </w:tc>
        <w:tc>
          <w:tcPr>
            <w:tcW w:w="0" w:type="auto"/>
            <w:shd w:val="clear" w:color="auto" w:fill="CCFFCC"/>
            <w:vAlign w:val="bottom"/>
            <w:hideMark/>
          </w:tcPr>
          <w:p w:rsidR="00000000" w:rsidRDefault="008D0E70">
            <w:pPr>
              <w:jc w:val="center"/>
              <w:rPr>
                <w:rFonts w:eastAsia="Times New Roman"/>
              </w:rPr>
            </w:pPr>
            <w:r>
              <w:rPr>
                <w:rFonts w:eastAsia="Times New Roman"/>
                <w:b/>
                <w:bCs/>
                <w:sz w:val="20"/>
                <w:szCs w:val="20"/>
              </w:rPr>
              <w:t>2012</w:t>
            </w:r>
          </w:p>
        </w:tc>
        <w:tc>
          <w:tcPr>
            <w:tcW w:w="0" w:type="auto"/>
            <w:shd w:val="clear" w:color="auto" w:fill="CCFFCC"/>
            <w:vAlign w:val="bottom"/>
            <w:hideMark/>
          </w:tcPr>
          <w:p w:rsidR="00000000" w:rsidRDefault="008D0E70">
            <w:pPr>
              <w:jc w:val="center"/>
              <w:rPr>
                <w:rFonts w:eastAsia="Times New Roman"/>
              </w:rPr>
            </w:pPr>
            <w:r>
              <w:rPr>
                <w:rFonts w:eastAsia="Times New Roman"/>
                <w:b/>
                <w:bCs/>
                <w:sz w:val="20"/>
                <w:szCs w:val="20"/>
              </w:rPr>
              <w:t>2012</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gridSpan w:val="2"/>
            <w:shd w:val="clear" w:color="auto" w:fill="CCFFCC"/>
            <w:vAlign w:val="bottom"/>
            <w:hideMark/>
          </w:tcPr>
          <w:p w:rsidR="00000000" w:rsidRDefault="008D0E70">
            <w:pPr>
              <w:jc w:val="center"/>
              <w:rPr>
                <w:rFonts w:eastAsia="Times New Roman"/>
              </w:rPr>
            </w:pPr>
            <w:r>
              <w:rPr>
                <w:rFonts w:eastAsia="Times New Roman"/>
                <w:b/>
                <w:bCs/>
                <w:sz w:val="20"/>
                <w:szCs w:val="20"/>
              </w:rPr>
              <w:t>Unaudited</w:t>
            </w:r>
          </w:p>
          <w:p w:rsidR="00000000" w:rsidRDefault="000D47D3">
            <w:pPr>
              <w:jc w:val="center"/>
              <w:rPr>
                <w:rFonts w:eastAsia="Times New Roman"/>
              </w:rPr>
            </w:pPr>
            <w:r>
              <w:rPr>
                <w:rFonts w:eastAsia="Times New Roman"/>
              </w:rPr>
              <w:pict>
                <v:rect id="_x0000_i1035" style="width:0;height:1.5pt" o:hralign="center" o:hrstd="t" o:hr="t" fillcolor="#aca899" stroked="f"/>
              </w:pict>
            </w:r>
          </w:p>
        </w:tc>
        <w:tc>
          <w:tcPr>
            <w:tcW w:w="0" w:type="auto"/>
            <w:shd w:val="clear" w:color="auto" w:fill="CCFFCC"/>
            <w:vAlign w:val="bottom"/>
            <w:hideMark/>
          </w:tcPr>
          <w:p w:rsidR="00000000" w:rsidRDefault="008D0E70">
            <w:pPr>
              <w:jc w:val="center"/>
              <w:rPr>
                <w:rFonts w:eastAsia="Times New Roman"/>
              </w:rPr>
            </w:pPr>
            <w:r>
              <w:rPr>
                <w:rFonts w:eastAsia="Times New Roman"/>
                <w:b/>
                <w:bCs/>
                <w:sz w:val="20"/>
                <w:szCs w:val="20"/>
              </w:rPr>
              <w:t>Audited</w:t>
            </w:r>
          </w:p>
          <w:p w:rsidR="00000000" w:rsidRDefault="000D47D3">
            <w:pPr>
              <w:jc w:val="center"/>
              <w:rPr>
                <w:rFonts w:eastAsia="Times New Roman"/>
              </w:rPr>
            </w:pPr>
            <w:r>
              <w:rPr>
                <w:rFonts w:eastAsia="Times New Roman"/>
              </w:rPr>
              <w:pict>
                <v:rect id="_x0000_i1036" style="width:0;height:1.5pt" o:hralign="center" o:hrstd="t" o:hr="t" fillcolor="#aca899" stroked="f"/>
              </w:pic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r>
              <w:rPr>
                <w:rFonts w:eastAsia="Times New Roman"/>
                <w:sz w:val="20"/>
                <w:szCs w:val="20"/>
              </w:rPr>
              <w:t>Balance at beginning and end of period 46,973,585</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469,736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469,736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469,736</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20,497,769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20,497,769</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20,497,769</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Accumulated deficit:</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(20,724,778)</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(20,713,669)</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(20,718,292)</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4,292</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5,258</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(19,643)</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Balance at end of period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(20,720,485)</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(20,708,411)</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(20,737,935)</w:t>
            </w:r>
          </w:p>
        </w:tc>
      </w:tr>
      <w:tr w:rsidR="00000000">
        <w:trPr>
          <w:tblCellSpacing w:w="15" w:type="dxa"/>
        </w:trPr>
        <w:tc>
          <w:tcPr>
            <w:tcW w:w="0" w:type="auto"/>
            <w:shd w:val="clear" w:color="auto" w:fill="FFFFFF"/>
            <w:vAlign w:val="bottom"/>
            <w:hideMark/>
          </w:tcPr>
          <w:p w:rsidR="00000000" w:rsidRDefault="008D0E70">
            <w:pPr>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c>
          <w:tcPr>
            <w:tcW w:w="0" w:type="auto"/>
            <w:shd w:val="clear" w:color="auto" w:fill="FFFFFF"/>
            <w:vAlign w:val="bottom"/>
            <w:hideMark/>
          </w:tcPr>
          <w:p w:rsidR="00000000" w:rsidRDefault="008D0E70">
            <w:pPr>
              <w:jc w:val="right"/>
              <w:rPr>
                <w:rFonts w:eastAsia="Times New Roman"/>
              </w:rPr>
            </w:pP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Rounding:</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(1)</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9,466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9,466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  9,466</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vAlign w:val="bottom"/>
            <w:hideMark/>
          </w:tcPr>
          <w:p w:rsidR="00000000" w:rsidRDefault="008D0E70">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256,486</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268,560</w:t>
            </w:r>
          </w:p>
        </w:tc>
        <w:tc>
          <w:tcPr>
            <w:tcW w:w="0" w:type="auto"/>
            <w:shd w:val="clear" w:color="auto" w:fill="FFFFFF"/>
            <w:vAlign w:val="bottom"/>
            <w:hideMark/>
          </w:tcPr>
          <w:p w:rsidR="00000000" w:rsidRDefault="008D0E70">
            <w:pPr>
              <w:jc w:val="right"/>
              <w:rPr>
                <w:rFonts w:eastAsia="Times New Roman"/>
              </w:rPr>
            </w:pPr>
            <w:r>
              <w:rPr>
                <w:rFonts w:eastAsia="Times New Roman"/>
                <w:sz w:val="20"/>
                <w:szCs w:val="20"/>
              </w:rPr>
              <w:t>258,679</w:t>
            </w:r>
          </w:p>
        </w:tc>
      </w:tr>
      <w:tr w:rsidR="00000000">
        <w:trPr>
          <w:tblCellSpacing w:w="15" w:type="dxa"/>
        </w:trPr>
        <w:tc>
          <w:tcPr>
            <w:tcW w:w="0" w:type="auto"/>
            <w:shd w:val="clear" w:color="auto" w:fill="CCFFCC"/>
            <w:vAlign w:val="bottom"/>
            <w:hideMark/>
          </w:tcPr>
          <w:p w:rsidR="00000000" w:rsidRDefault="008D0E70">
            <w:pPr>
              <w:rPr>
                <w:rFonts w:eastAsia="Times New Roman"/>
              </w:rPr>
            </w:pPr>
            <w:r>
              <w:rPr>
                <w:rFonts w:eastAsia="Times New Roman"/>
                <w:sz w:val="20"/>
                <w:szCs w:val="20"/>
              </w:rPr>
              <w:t> </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gridSpan w:val="4"/>
            <w:shd w:val="clear" w:color="auto" w:fill="FFFFFF"/>
            <w:vAlign w:val="bottom"/>
            <w:hideMark/>
          </w:tcPr>
          <w:p w:rsidR="00000000" w:rsidRDefault="008D0E70">
            <w:pPr>
              <w:jc w:val="center"/>
              <w:rPr>
                <w:rFonts w:eastAsia="Times New Roman"/>
              </w:rPr>
            </w:pPr>
            <w:r>
              <w:rPr>
                <w:rFonts w:eastAsia="Times New Roman"/>
                <w:b/>
                <w:bCs/>
                <w:sz w:val="20"/>
                <w:szCs w:val="20"/>
              </w:rPr>
              <w:t>See accompanying notes to financial statements.</w:t>
            </w:r>
          </w:p>
        </w:tc>
      </w:tr>
    </w:tbl>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37" style="width:0;height:3pt" o:hralign="center" o:hrstd="t" o:hrnoshade="t" o:hr="t" fillcolor="black" stroked="f"/>
        </w:pict>
      </w:r>
    </w:p>
    <w:p w:rsidR="00FC32F9" w:rsidRDefault="00FC32F9">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6191"/>
        <w:gridCol w:w="1054"/>
        <w:gridCol w:w="1054"/>
        <w:gridCol w:w="1054"/>
        <w:gridCol w:w="1069"/>
      </w:tblGrid>
      <w:tr w:rsidR="00000000">
        <w:trPr>
          <w:tblCellSpacing w:w="15" w:type="dxa"/>
        </w:trPr>
        <w:tc>
          <w:tcPr>
            <w:tcW w:w="0" w:type="auto"/>
            <w:gridSpan w:val="5"/>
            <w:shd w:val="clear" w:color="auto" w:fill="CCFFCC"/>
            <w:hideMark/>
          </w:tcPr>
          <w:p w:rsidR="00000000" w:rsidRDefault="008D0E70">
            <w:pPr>
              <w:pStyle w:val="NormalWeb"/>
              <w:jc w:val="center"/>
            </w:pPr>
            <w:r>
              <w:rPr>
                <w:b/>
                <w:bCs/>
                <w:sz w:val="20"/>
                <w:szCs w:val="20"/>
              </w:rPr>
              <w:lastRenderedPageBreak/>
              <w:t>ADVANCED OXYGEN TECHNOLOGIES, INC.</w:t>
            </w:r>
          </w:p>
        </w:tc>
      </w:tr>
      <w:tr w:rsidR="00000000">
        <w:trPr>
          <w:tblCellSpacing w:w="15" w:type="dxa"/>
        </w:trPr>
        <w:tc>
          <w:tcPr>
            <w:tcW w:w="0" w:type="auto"/>
            <w:gridSpan w:val="5"/>
            <w:shd w:val="clear" w:color="auto" w:fill="FFFFFF"/>
            <w:hideMark/>
          </w:tcPr>
          <w:p w:rsidR="00000000" w:rsidRDefault="008D0E70">
            <w:pPr>
              <w:jc w:val="center"/>
              <w:rPr>
                <w:rFonts w:eastAsia="Times New Roman"/>
              </w:rPr>
            </w:pPr>
            <w:r>
              <w:rPr>
                <w:rFonts w:eastAsia="Times New Roman"/>
                <w:b/>
                <w:bCs/>
                <w:sz w:val="20"/>
                <w:szCs w:val="20"/>
              </w:rPr>
              <w:t xml:space="preserve">Consolidated Statement of Cash </w:t>
            </w:r>
            <w:r>
              <w:rPr>
                <w:rFonts w:eastAsia="Times New Roman"/>
                <w:b/>
                <w:bCs/>
                <w:sz w:val="20"/>
                <w:szCs w:val="20"/>
              </w:rPr>
              <w:t>Flow </w:t>
            </w:r>
          </w:p>
        </w:tc>
      </w:tr>
      <w:tr w:rsidR="00000000" w:rsidTr="00FC32F9">
        <w:trPr>
          <w:tblCellSpacing w:w="15" w:type="dxa"/>
        </w:trPr>
        <w:tc>
          <w:tcPr>
            <w:tcW w:w="2949" w:type="pct"/>
            <w:shd w:val="clear" w:color="auto" w:fill="CCFFCC"/>
            <w:hideMark/>
          </w:tcPr>
          <w:p w:rsidR="00000000" w:rsidRDefault="008D0E70">
            <w:pPr>
              <w:rPr>
                <w:rFonts w:eastAsia="Times New Roman"/>
              </w:rPr>
            </w:pPr>
          </w:p>
        </w:tc>
        <w:tc>
          <w:tcPr>
            <w:tcW w:w="491" w:type="pct"/>
            <w:shd w:val="clear" w:color="auto" w:fill="CCFFCC"/>
            <w:hideMark/>
          </w:tcPr>
          <w:p w:rsidR="00000000" w:rsidRDefault="008D0E70">
            <w:pPr>
              <w:rPr>
                <w:rFonts w:eastAsia="Times New Roman"/>
              </w:rPr>
            </w:pPr>
          </w:p>
        </w:tc>
        <w:tc>
          <w:tcPr>
            <w:tcW w:w="491" w:type="pct"/>
            <w:shd w:val="clear" w:color="auto" w:fill="CCFFCC"/>
            <w:hideMark/>
          </w:tcPr>
          <w:p w:rsidR="00000000" w:rsidRDefault="008D0E70">
            <w:pPr>
              <w:rPr>
                <w:rFonts w:eastAsia="Times New Roman"/>
              </w:rPr>
            </w:pPr>
          </w:p>
        </w:tc>
        <w:tc>
          <w:tcPr>
            <w:tcW w:w="491" w:type="pct"/>
            <w:shd w:val="clear" w:color="auto" w:fill="CCFFCC"/>
            <w:hideMark/>
          </w:tcPr>
          <w:p w:rsidR="00000000" w:rsidRDefault="008D0E70">
            <w:pPr>
              <w:rPr>
                <w:rFonts w:eastAsia="Times New Roman"/>
              </w:rPr>
            </w:pPr>
          </w:p>
        </w:tc>
        <w:tc>
          <w:tcPr>
            <w:tcW w:w="491" w:type="pct"/>
            <w:shd w:val="clear" w:color="auto" w:fill="CCFFCC"/>
            <w:hideMark/>
          </w:tcPr>
          <w:p w:rsidR="00000000" w:rsidRDefault="008D0E70">
            <w:pPr>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p>
        </w:tc>
        <w:tc>
          <w:tcPr>
            <w:tcW w:w="0" w:type="auto"/>
            <w:gridSpan w:val="2"/>
            <w:shd w:val="clear" w:color="auto" w:fill="FFFFFF"/>
            <w:hideMark/>
          </w:tcPr>
          <w:p w:rsidR="00000000" w:rsidRDefault="008D0E70">
            <w:pPr>
              <w:pStyle w:val="NormalWeb"/>
              <w:jc w:val="center"/>
            </w:pPr>
            <w:r>
              <w:rPr>
                <w:sz w:val="20"/>
                <w:szCs w:val="20"/>
              </w:rPr>
              <w:t>3 Month Period Ending March 31,</w:t>
            </w:r>
          </w:p>
        </w:tc>
        <w:tc>
          <w:tcPr>
            <w:tcW w:w="0" w:type="auto"/>
            <w:gridSpan w:val="2"/>
            <w:shd w:val="clear" w:color="auto" w:fill="FFFFFF"/>
            <w:hideMark/>
          </w:tcPr>
          <w:p w:rsidR="00000000" w:rsidRDefault="008D0E70">
            <w:pPr>
              <w:pStyle w:val="NormalWeb"/>
              <w:jc w:val="center"/>
            </w:pPr>
            <w:r>
              <w:rPr>
                <w:sz w:val="20"/>
                <w:szCs w:val="20"/>
              </w:rPr>
              <w:t>9 Month Period Ending March 31,</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gridSpan w:val="2"/>
            <w:shd w:val="clear" w:color="auto" w:fill="CCFFCC"/>
            <w:hideMark/>
          </w:tcPr>
          <w:p w:rsidR="00000000" w:rsidRDefault="008D0E70">
            <w:pPr>
              <w:pStyle w:val="NormalWeb"/>
              <w:jc w:val="center"/>
            </w:pPr>
            <w:r>
              <w:rPr>
                <w:b/>
                <w:bCs/>
                <w:sz w:val="20"/>
                <w:szCs w:val="20"/>
              </w:rPr>
              <w:t xml:space="preserve">(unaudited) </w:t>
            </w:r>
          </w:p>
        </w:tc>
        <w:tc>
          <w:tcPr>
            <w:tcW w:w="0" w:type="auto"/>
            <w:gridSpan w:val="2"/>
            <w:shd w:val="clear" w:color="auto" w:fill="CCFFCC"/>
            <w:hideMark/>
          </w:tcPr>
          <w:p w:rsidR="00000000" w:rsidRDefault="008D0E70">
            <w:pPr>
              <w:pStyle w:val="NormalWeb"/>
              <w:jc w:val="center"/>
            </w:pPr>
            <w:r>
              <w:rPr>
                <w:b/>
                <w:bCs/>
                <w:sz w:val="20"/>
                <w:szCs w:val="20"/>
              </w:rPr>
              <w:t xml:space="preserve">(unaudited) </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pStyle w:val="NormalWeb"/>
              <w:jc w:val="right"/>
            </w:pPr>
            <w:r>
              <w:rPr>
                <w:b/>
                <w:bCs/>
                <w:sz w:val="20"/>
                <w:szCs w:val="20"/>
              </w:rPr>
              <w:t>2013</w:t>
            </w:r>
          </w:p>
        </w:tc>
        <w:tc>
          <w:tcPr>
            <w:tcW w:w="0" w:type="auto"/>
            <w:shd w:val="clear" w:color="auto" w:fill="FFFFFF"/>
            <w:hideMark/>
          </w:tcPr>
          <w:p w:rsidR="00000000" w:rsidRDefault="008D0E70">
            <w:pPr>
              <w:pStyle w:val="NormalWeb"/>
              <w:jc w:val="right"/>
            </w:pPr>
            <w:r>
              <w:rPr>
                <w:b/>
                <w:bCs/>
                <w:sz w:val="20"/>
                <w:szCs w:val="20"/>
              </w:rPr>
              <w:t>2012</w:t>
            </w:r>
          </w:p>
        </w:tc>
        <w:tc>
          <w:tcPr>
            <w:tcW w:w="0" w:type="auto"/>
            <w:shd w:val="clear" w:color="auto" w:fill="FFFFFF"/>
            <w:hideMark/>
          </w:tcPr>
          <w:p w:rsidR="00000000" w:rsidRDefault="008D0E70">
            <w:pPr>
              <w:pStyle w:val="NormalWeb"/>
              <w:jc w:val="right"/>
            </w:pPr>
            <w:r>
              <w:rPr>
                <w:b/>
                <w:bCs/>
                <w:sz w:val="20"/>
                <w:szCs w:val="20"/>
              </w:rPr>
              <w:t>2013</w:t>
            </w:r>
          </w:p>
        </w:tc>
        <w:tc>
          <w:tcPr>
            <w:tcW w:w="0" w:type="auto"/>
            <w:shd w:val="clear" w:color="auto" w:fill="FFFFFF"/>
            <w:hideMark/>
          </w:tcPr>
          <w:p w:rsidR="00000000" w:rsidRDefault="008D0E70">
            <w:pPr>
              <w:pStyle w:val="NormalWeb"/>
              <w:jc w:val="right"/>
            </w:pPr>
            <w:r>
              <w:rPr>
                <w:b/>
                <w:bCs/>
                <w:sz w:val="20"/>
                <w:szCs w:val="20"/>
              </w:rPr>
              <w:t>2012</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b/>
                <w:bCs/>
                <w:sz w:val="20"/>
                <w:szCs w:val="20"/>
              </w:rPr>
              <w:t>Cash flow from operating activities</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Net Income (Loss)</w:t>
            </w:r>
          </w:p>
        </w:tc>
        <w:tc>
          <w:tcPr>
            <w:tcW w:w="0" w:type="auto"/>
            <w:shd w:val="clear" w:color="auto" w:fill="FFFFFF"/>
            <w:hideMark/>
          </w:tcPr>
          <w:p w:rsidR="00000000" w:rsidRDefault="008D0E70">
            <w:pPr>
              <w:jc w:val="right"/>
              <w:rPr>
                <w:rFonts w:eastAsia="Times New Roman"/>
              </w:rPr>
            </w:pPr>
            <w:r>
              <w:rPr>
                <w:rFonts w:eastAsia="Times New Roman"/>
                <w:sz w:val="20"/>
                <w:szCs w:val="20"/>
              </w:rPr>
              <w:t>4,292</w:t>
            </w:r>
          </w:p>
        </w:tc>
        <w:tc>
          <w:tcPr>
            <w:tcW w:w="0" w:type="auto"/>
            <w:shd w:val="clear" w:color="auto" w:fill="FFFFFF"/>
            <w:hideMark/>
          </w:tcPr>
          <w:p w:rsidR="00000000" w:rsidRDefault="008D0E70">
            <w:pPr>
              <w:jc w:val="right"/>
              <w:rPr>
                <w:rFonts w:eastAsia="Times New Roman"/>
              </w:rPr>
            </w:pPr>
            <w:r>
              <w:rPr>
                <w:rFonts w:eastAsia="Times New Roman"/>
                <w:sz w:val="20"/>
                <w:szCs w:val="20"/>
              </w:rPr>
              <w:t>5,258</w:t>
            </w:r>
          </w:p>
        </w:tc>
        <w:tc>
          <w:tcPr>
            <w:tcW w:w="0" w:type="auto"/>
            <w:shd w:val="clear" w:color="auto" w:fill="FFFFFF"/>
            <w:hideMark/>
          </w:tcPr>
          <w:p w:rsidR="00000000" w:rsidRDefault="008D0E70">
            <w:pPr>
              <w:jc w:val="right"/>
              <w:rPr>
                <w:rFonts w:eastAsia="Times New Roman"/>
              </w:rPr>
            </w:pPr>
            <w:r>
              <w:rPr>
                <w:rFonts w:eastAsia="Times New Roman"/>
                <w:sz w:val="20"/>
                <w:szCs w:val="20"/>
              </w:rPr>
              <w:t>17,450</w:t>
            </w:r>
          </w:p>
        </w:tc>
        <w:tc>
          <w:tcPr>
            <w:tcW w:w="0" w:type="auto"/>
            <w:shd w:val="clear" w:color="auto" w:fill="FFFFFF"/>
            <w:hideMark/>
          </w:tcPr>
          <w:p w:rsidR="00000000" w:rsidRDefault="008D0E70">
            <w:pPr>
              <w:jc w:val="right"/>
              <w:rPr>
                <w:rFonts w:eastAsia="Times New Roman"/>
              </w:rPr>
            </w:pPr>
            <w:r>
              <w:rPr>
                <w:rFonts w:eastAsia="Times New Roman"/>
                <w:sz w:val="20"/>
                <w:szCs w:val="20"/>
              </w:rPr>
              <w:t>9,881</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Note Payable, short term</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3,509</w:t>
            </w:r>
          </w:p>
        </w:tc>
        <w:tc>
          <w:tcPr>
            <w:tcW w:w="0" w:type="auto"/>
            <w:shd w:val="clear" w:color="auto" w:fill="CCFFCC"/>
            <w:hideMark/>
          </w:tcPr>
          <w:p w:rsidR="00000000" w:rsidRDefault="008D0E70">
            <w:pPr>
              <w:jc w:val="right"/>
              <w:rPr>
                <w:rFonts w:eastAsia="Times New Roman"/>
              </w:rPr>
            </w:pPr>
            <w:r>
              <w:rPr>
                <w:rFonts w:eastAsia="Times New Roman"/>
                <w:sz w:val="20"/>
                <w:szCs w:val="20"/>
              </w:rPr>
              <w:t>(17,181)</w:t>
            </w:r>
          </w:p>
        </w:tc>
        <w:tc>
          <w:tcPr>
            <w:tcW w:w="0" w:type="auto"/>
            <w:shd w:val="clear" w:color="auto" w:fill="CCFFCC"/>
            <w:hideMark/>
          </w:tcPr>
          <w:p w:rsidR="00000000" w:rsidRDefault="008D0E70">
            <w:pPr>
              <w:jc w:val="right"/>
              <w:rPr>
                <w:rFonts w:eastAsia="Times New Roman"/>
              </w:rPr>
            </w:pPr>
            <w:r>
              <w:rPr>
                <w:rFonts w:eastAsia="Times New Roman"/>
                <w:sz w:val="20"/>
                <w:szCs w:val="20"/>
              </w:rPr>
              <w:t>3,508</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w:t>
            </w:r>
          </w:p>
        </w:tc>
        <w:tc>
          <w:tcPr>
            <w:tcW w:w="0" w:type="auto"/>
            <w:shd w:val="clear" w:color="auto" w:fill="CCFFCC"/>
            <w:hideMark/>
          </w:tcPr>
          <w:p w:rsidR="00000000" w:rsidRDefault="008D0E70">
            <w:pPr>
              <w:jc w:val="right"/>
              <w:rPr>
                <w:rFonts w:eastAsia="Times New Roman"/>
              </w:rPr>
            </w:pPr>
            <w:r>
              <w:rPr>
                <w:rFonts w:eastAsia="Times New Roman"/>
                <w:sz w:val="20"/>
                <w:szCs w:val="20"/>
              </w:rPr>
              <w:t>7,547</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Accounts Payable and Accrued Expenses</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2,100</w:t>
            </w:r>
          </w:p>
        </w:tc>
        <w:tc>
          <w:tcPr>
            <w:tcW w:w="0" w:type="auto"/>
            <w:shd w:val="clear" w:color="auto" w:fill="FFFFFF"/>
            <w:hideMark/>
          </w:tcPr>
          <w:p w:rsidR="00000000" w:rsidRDefault="008D0E70">
            <w:pPr>
              <w:jc w:val="right"/>
              <w:rPr>
                <w:rFonts w:eastAsia="Times New Roman"/>
              </w:rPr>
            </w:pPr>
            <w:r>
              <w:rPr>
                <w:rFonts w:eastAsia="Times New Roman"/>
                <w:sz w:val="20"/>
                <w:szCs w:val="20"/>
              </w:rPr>
              <w:t>9,012</w:t>
            </w:r>
          </w:p>
        </w:tc>
        <w:tc>
          <w:tcPr>
            <w:tcW w:w="0" w:type="auto"/>
            <w:shd w:val="clear" w:color="auto" w:fill="FFFFFF"/>
            <w:hideMark/>
          </w:tcPr>
          <w:p w:rsidR="00000000" w:rsidRDefault="008D0E70">
            <w:pPr>
              <w:jc w:val="right"/>
              <w:rPr>
                <w:rFonts w:eastAsia="Times New Roman"/>
              </w:rPr>
            </w:pPr>
            <w:r>
              <w:rPr>
                <w:rFonts w:eastAsia="Times New Roman"/>
                <w:sz w:val="20"/>
                <w:szCs w:val="20"/>
              </w:rPr>
              <w:t>9,674</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Taxes Payable</w:t>
            </w:r>
          </w:p>
        </w:tc>
        <w:tc>
          <w:tcPr>
            <w:tcW w:w="0" w:type="auto"/>
            <w:shd w:val="clear" w:color="auto" w:fill="CCFFCC"/>
            <w:hideMark/>
          </w:tcPr>
          <w:p w:rsidR="00000000" w:rsidRDefault="008D0E70">
            <w:pPr>
              <w:jc w:val="right"/>
              <w:rPr>
                <w:rFonts w:eastAsia="Times New Roman"/>
              </w:rPr>
            </w:pPr>
            <w:r>
              <w:rPr>
                <w:rFonts w:eastAsia="Times New Roman"/>
                <w:sz w:val="20"/>
                <w:szCs w:val="20"/>
              </w:rPr>
              <w:t>292</w:t>
            </w:r>
          </w:p>
        </w:tc>
        <w:tc>
          <w:tcPr>
            <w:tcW w:w="0" w:type="auto"/>
            <w:shd w:val="clear" w:color="auto" w:fill="CCFFCC"/>
            <w:hideMark/>
          </w:tcPr>
          <w:p w:rsidR="00000000" w:rsidRDefault="008D0E70">
            <w:pPr>
              <w:jc w:val="right"/>
              <w:rPr>
                <w:rFonts w:eastAsia="Times New Roman"/>
              </w:rPr>
            </w:pPr>
            <w:r>
              <w:rPr>
                <w:rFonts w:eastAsia="Times New Roman"/>
                <w:sz w:val="20"/>
                <w:szCs w:val="20"/>
              </w:rPr>
              <w:t>(7,894)</w:t>
            </w:r>
          </w:p>
        </w:tc>
        <w:tc>
          <w:tcPr>
            <w:tcW w:w="0" w:type="auto"/>
            <w:shd w:val="clear" w:color="auto" w:fill="CCFFCC"/>
            <w:hideMark/>
          </w:tcPr>
          <w:p w:rsidR="00000000" w:rsidRDefault="008D0E70">
            <w:pPr>
              <w:jc w:val="right"/>
              <w:rPr>
                <w:rFonts w:eastAsia="Times New Roman"/>
              </w:rPr>
            </w:pPr>
            <w:r>
              <w:rPr>
                <w:rFonts w:eastAsia="Times New Roman"/>
                <w:sz w:val="20"/>
                <w:szCs w:val="20"/>
              </w:rPr>
              <w:t>3,358</w:t>
            </w:r>
          </w:p>
        </w:tc>
        <w:tc>
          <w:tcPr>
            <w:tcW w:w="0" w:type="auto"/>
            <w:shd w:val="clear" w:color="auto" w:fill="CCFFCC"/>
            <w:hideMark/>
          </w:tcPr>
          <w:p w:rsidR="00000000" w:rsidRDefault="008D0E70">
            <w:pPr>
              <w:jc w:val="right"/>
              <w:rPr>
                <w:rFonts w:eastAsia="Times New Roman"/>
              </w:rPr>
            </w:pPr>
            <w:r>
              <w:rPr>
                <w:rFonts w:eastAsia="Times New Roman"/>
                <w:sz w:val="20"/>
                <w:szCs w:val="20"/>
              </w:rPr>
              <w:t>(13,275)</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Prepaid Rental Revenues</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(4,386)</w:t>
            </w:r>
          </w:p>
        </w:tc>
        <w:tc>
          <w:tcPr>
            <w:tcW w:w="0" w:type="auto"/>
            <w:shd w:val="clear" w:color="auto" w:fill="FFFFFF"/>
            <w:hideMark/>
          </w:tcPr>
          <w:p w:rsidR="00000000" w:rsidRDefault="008D0E70">
            <w:pPr>
              <w:jc w:val="right"/>
              <w:rPr>
                <w:rFonts w:eastAsia="Times New Roman"/>
              </w:rPr>
            </w:pPr>
            <w:r>
              <w:rPr>
                <w:rFonts w:eastAsia="Times New Roman"/>
                <w:sz w:val="20"/>
                <w:szCs w:val="20"/>
              </w:rPr>
              <w:t>(1,294)</w:t>
            </w:r>
          </w:p>
        </w:tc>
        <w:tc>
          <w:tcPr>
            <w:tcW w:w="0" w:type="auto"/>
            <w:shd w:val="clear" w:color="auto" w:fill="FFFFFF"/>
            <w:hideMark/>
          </w:tcPr>
          <w:p w:rsidR="00000000" w:rsidRDefault="008D0E70">
            <w:pPr>
              <w:jc w:val="right"/>
              <w:rPr>
                <w:rFonts w:eastAsia="Times New Roman"/>
              </w:rPr>
            </w:pPr>
            <w:r>
              <w:rPr>
                <w:rFonts w:eastAsia="Times New Roman"/>
                <w:sz w:val="20"/>
                <w:szCs w:val="20"/>
              </w:rPr>
              <w:t>(4,386)</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Current Portion of Long Term Debt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(29,691)</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Total Adjustments</w:t>
            </w:r>
          </w:p>
        </w:tc>
        <w:tc>
          <w:tcPr>
            <w:tcW w:w="0" w:type="auto"/>
            <w:shd w:val="clear" w:color="auto" w:fill="CCFFCC"/>
            <w:hideMark/>
          </w:tcPr>
          <w:p w:rsidR="00000000" w:rsidRDefault="008D0E70">
            <w:pPr>
              <w:jc w:val="right"/>
              <w:rPr>
                <w:rFonts w:eastAsia="Times New Roman"/>
              </w:rPr>
            </w:pPr>
            <w:r>
              <w:rPr>
                <w:rFonts w:eastAsia="Times New Roman"/>
                <w:sz w:val="20"/>
                <w:szCs w:val="20"/>
              </w:rPr>
              <w:t>2,392</w:t>
            </w:r>
          </w:p>
        </w:tc>
        <w:tc>
          <w:tcPr>
            <w:tcW w:w="0" w:type="auto"/>
            <w:shd w:val="clear" w:color="auto" w:fill="CCFFCC"/>
            <w:hideMark/>
          </w:tcPr>
          <w:p w:rsidR="00000000" w:rsidRDefault="008D0E70">
            <w:pPr>
              <w:jc w:val="right"/>
              <w:rPr>
                <w:rFonts w:eastAsia="Times New Roman"/>
              </w:rPr>
            </w:pPr>
            <w:r>
              <w:rPr>
                <w:rFonts w:eastAsia="Times New Roman"/>
                <w:sz w:val="20"/>
                <w:szCs w:val="20"/>
              </w:rPr>
              <w:t>(6,671)</w:t>
            </w:r>
          </w:p>
        </w:tc>
        <w:tc>
          <w:tcPr>
            <w:tcW w:w="0" w:type="auto"/>
            <w:shd w:val="clear" w:color="auto" w:fill="CCFFCC"/>
            <w:hideMark/>
          </w:tcPr>
          <w:p w:rsidR="00000000" w:rsidRDefault="008D0E70">
            <w:pPr>
              <w:jc w:val="right"/>
              <w:rPr>
                <w:rFonts w:eastAsia="Times New Roman"/>
              </w:rPr>
            </w:pPr>
            <w:r>
              <w:rPr>
                <w:rFonts w:eastAsia="Times New Roman"/>
                <w:sz w:val="20"/>
                <w:szCs w:val="20"/>
              </w:rPr>
              <w:t>(6,105)</w:t>
            </w:r>
          </w:p>
        </w:tc>
        <w:tc>
          <w:tcPr>
            <w:tcW w:w="0" w:type="auto"/>
            <w:shd w:val="clear" w:color="auto" w:fill="CCFFCC"/>
            <w:hideMark/>
          </w:tcPr>
          <w:p w:rsidR="00000000" w:rsidRDefault="008D0E70">
            <w:pPr>
              <w:jc w:val="right"/>
              <w:rPr>
                <w:rFonts w:eastAsia="Times New Roman"/>
              </w:rPr>
            </w:pPr>
            <w:r>
              <w:rPr>
                <w:rFonts w:eastAsia="Times New Roman"/>
                <w:sz w:val="20"/>
                <w:szCs w:val="20"/>
              </w:rPr>
              <w:t>(26,650)</w:t>
            </w:r>
          </w:p>
        </w:tc>
      </w:tr>
      <w:tr w:rsidR="00000000">
        <w:trPr>
          <w:tblCellSpacing w:w="15" w:type="dxa"/>
        </w:trPr>
        <w:tc>
          <w:tcPr>
            <w:tcW w:w="0" w:type="auto"/>
            <w:shd w:val="clear" w:color="auto" w:fill="CCFFCC"/>
            <w:hideMark/>
          </w:tcPr>
          <w:p w:rsidR="00000000" w:rsidRDefault="008D0E70">
            <w:pPr>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Net Cash provided (used) by operations</w:t>
            </w:r>
          </w:p>
        </w:tc>
        <w:tc>
          <w:tcPr>
            <w:tcW w:w="0" w:type="auto"/>
            <w:shd w:val="clear" w:color="auto" w:fill="FFFFFF"/>
            <w:hideMark/>
          </w:tcPr>
          <w:p w:rsidR="00000000" w:rsidRDefault="008D0E70">
            <w:pPr>
              <w:jc w:val="right"/>
              <w:rPr>
                <w:rFonts w:eastAsia="Times New Roman"/>
              </w:rPr>
            </w:pPr>
            <w:r>
              <w:rPr>
                <w:rFonts w:eastAsia="Times New Roman"/>
                <w:sz w:val="20"/>
                <w:szCs w:val="20"/>
              </w:rPr>
              <w:t>6,684</w:t>
            </w:r>
          </w:p>
        </w:tc>
        <w:tc>
          <w:tcPr>
            <w:tcW w:w="0" w:type="auto"/>
            <w:shd w:val="clear" w:color="auto" w:fill="FFFFFF"/>
            <w:hideMark/>
          </w:tcPr>
          <w:p w:rsidR="00000000" w:rsidRDefault="008D0E70">
            <w:pPr>
              <w:jc w:val="right"/>
              <w:rPr>
                <w:rFonts w:eastAsia="Times New Roman"/>
              </w:rPr>
            </w:pPr>
            <w:r>
              <w:rPr>
                <w:rFonts w:eastAsia="Times New Roman"/>
                <w:sz w:val="20"/>
                <w:szCs w:val="20"/>
              </w:rPr>
              <w:t>(1,413)</w:t>
            </w:r>
          </w:p>
        </w:tc>
        <w:tc>
          <w:tcPr>
            <w:tcW w:w="0" w:type="auto"/>
            <w:shd w:val="clear" w:color="auto" w:fill="FFFFFF"/>
            <w:hideMark/>
          </w:tcPr>
          <w:p w:rsidR="00000000" w:rsidRDefault="008D0E70">
            <w:pPr>
              <w:jc w:val="right"/>
              <w:rPr>
                <w:rFonts w:eastAsia="Times New Roman"/>
              </w:rPr>
            </w:pPr>
            <w:r>
              <w:rPr>
                <w:rFonts w:eastAsia="Times New Roman"/>
                <w:sz w:val="20"/>
                <w:szCs w:val="20"/>
              </w:rPr>
              <w:t>11,345</w:t>
            </w:r>
          </w:p>
        </w:tc>
        <w:tc>
          <w:tcPr>
            <w:tcW w:w="0" w:type="auto"/>
            <w:shd w:val="clear" w:color="auto" w:fill="FFFFFF"/>
            <w:hideMark/>
          </w:tcPr>
          <w:p w:rsidR="00000000" w:rsidRDefault="008D0E70">
            <w:pPr>
              <w:jc w:val="right"/>
              <w:rPr>
                <w:rFonts w:eastAsia="Times New Roman"/>
              </w:rPr>
            </w:pPr>
            <w:r>
              <w:rPr>
                <w:rFonts w:eastAsia="Times New Roman"/>
                <w:sz w:val="20"/>
                <w:szCs w:val="20"/>
              </w:rPr>
              <w:t>(16,769)</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b/>
                <w:bCs/>
                <w:sz w:val="20"/>
                <w:szCs w:val="20"/>
              </w:rPr>
              <w:t>Cash Flows from financing activities:</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Proceeds From:</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Note Payable Crossfield:</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c>
          <w:tcPr>
            <w:tcW w:w="0" w:type="auto"/>
            <w:shd w:val="clear" w:color="auto" w:fill="FFFFFF"/>
            <w:hideMark/>
          </w:tcPr>
          <w:p w:rsidR="00000000" w:rsidRDefault="008D0E70">
            <w:pPr>
              <w:jc w:val="right"/>
              <w:rPr>
                <w:rFonts w:eastAsia="Times New Roman"/>
              </w:rPr>
            </w:pPr>
            <w:r>
              <w:rPr>
                <w:rFonts w:eastAsia="Times New Roman"/>
                <w:sz w:val="20"/>
                <w:szCs w:val="20"/>
              </w:rPr>
              <w:t>1,975</w:t>
            </w:r>
          </w:p>
        </w:tc>
        <w:tc>
          <w:tcPr>
            <w:tcW w:w="0" w:type="auto"/>
            <w:shd w:val="clear" w:color="auto" w:fill="FFFFFF"/>
            <w:hideMark/>
          </w:tcPr>
          <w:p w:rsidR="00000000" w:rsidRDefault="008D0E70">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Used For:</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Long Term Debt, Subsidiary</w:t>
            </w:r>
          </w:p>
        </w:tc>
        <w:tc>
          <w:tcPr>
            <w:tcW w:w="0" w:type="auto"/>
            <w:shd w:val="clear" w:color="auto" w:fill="FFFFFF"/>
            <w:hideMark/>
          </w:tcPr>
          <w:p w:rsidR="00000000" w:rsidRDefault="008D0E70">
            <w:pPr>
              <w:jc w:val="right"/>
              <w:rPr>
                <w:rFonts w:eastAsia="Times New Roman"/>
              </w:rPr>
            </w:pPr>
            <w:r>
              <w:rPr>
                <w:rFonts w:eastAsia="Times New Roman"/>
                <w:sz w:val="20"/>
                <w:szCs w:val="20"/>
              </w:rPr>
              <w:t>(2,276)</w:t>
            </w:r>
          </w:p>
        </w:tc>
        <w:tc>
          <w:tcPr>
            <w:tcW w:w="0" w:type="auto"/>
            <w:shd w:val="clear" w:color="auto" w:fill="FFFFFF"/>
            <w:hideMark/>
          </w:tcPr>
          <w:p w:rsidR="00000000" w:rsidRDefault="008D0E70">
            <w:pPr>
              <w:jc w:val="right"/>
              <w:rPr>
                <w:rFonts w:eastAsia="Times New Roman"/>
              </w:rPr>
            </w:pPr>
            <w:r>
              <w:rPr>
                <w:rFonts w:eastAsia="Times New Roman"/>
                <w:sz w:val="20"/>
                <w:szCs w:val="20"/>
              </w:rPr>
              <w:t>(2,113)</w:t>
            </w:r>
          </w:p>
        </w:tc>
        <w:tc>
          <w:tcPr>
            <w:tcW w:w="0" w:type="auto"/>
            <w:shd w:val="clear" w:color="auto" w:fill="FFFFFF"/>
            <w:hideMark/>
          </w:tcPr>
          <w:p w:rsidR="00000000" w:rsidRDefault="008D0E70">
            <w:pPr>
              <w:jc w:val="right"/>
              <w:rPr>
                <w:rFonts w:eastAsia="Times New Roman"/>
              </w:rPr>
            </w:pPr>
            <w:r>
              <w:rPr>
                <w:rFonts w:eastAsia="Times New Roman"/>
                <w:sz w:val="20"/>
                <w:szCs w:val="20"/>
              </w:rPr>
              <w:t>(6,634)</w:t>
            </w:r>
          </w:p>
        </w:tc>
        <w:tc>
          <w:tcPr>
            <w:tcW w:w="0" w:type="auto"/>
            <w:shd w:val="clear" w:color="auto" w:fill="FFFFFF"/>
            <w:hideMark/>
          </w:tcPr>
          <w:p w:rsidR="00000000" w:rsidRDefault="008D0E70">
            <w:pPr>
              <w:jc w:val="right"/>
              <w:rPr>
                <w:rFonts w:eastAsia="Times New Roman"/>
              </w:rPr>
            </w:pPr>
            <w:r>
              <w:rPr>
                <w:rFonts w:eastAsia="Times New Roman"/>
                <w:sz w:val="20"/>
                <w:szCs w:val="20"/>
              </w:rPr>
              <w:t>(6,349)</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000000" w:rsidRDefault="008D0E70">
            <w:pPr>
              <w:jc w:val="right"/>
              <w:rPr>
                <w:rFonts w:eastAsia="Times New Roman"/>
              </w:rPr>
            </w:pPr>
            <w:r>
              <w:rPr>
                <w:rFonts w:eastAsia="Times New Roman"/>
                <w:sz w:val="20"/>
                <w:szCs w:val="20"/>
              </w:rPr>
              <w:t>(2,276)</w:t>
            </w:r>
          </w:p>
        </w:tc>
        <w:tc>
          <w:tcPr>
            <w:tcW w:w="0" w:type="auto"/>
            <w:shd w:val="clear" w:color="auto" w:fill="CCFFCC"/>
            <w:hideMark/>
          </w:tcPr>
          <w:p w:rsidR="00000000" w:rsidRDefault="008D0E70">
            <w:pPr>
              <w:jc w:val="right"/>
              <w:rPr>
                <w:rFonts w:eastAsia="Times New Roman"/>
              </w:rPr>
            </w:pPr>
            <w:r>
              <w:rPr>
                <w:rFonts w:eastAsia="Times New Roman"/>
                <w:sz w:val="20"/>
                <w:szCs w:val="20"/>
              </w:rPr>
              <w:t>(2,113)</w:t>
            </w:r>
          </w:p>
        </w:tc>
        <w:tc>
          <w:tcPr>
            <w:tcW w:w="0" w:type="auto"/>
            <w:shd w:val="clear" w:color="auto" w:fill="CCFFCC"/>
            <w:hideMark/>
          </w:tcPr>
          <w:p w:rsidR="00000000" w:rsidRDefault="008D0E70">
            <w:pPr>
              <w:jc w:val="right"/>
              <w:rPr>
                <w:rFonts w:eastAsia="Times New Roman"/>
              </w:rPr>
            </w:pPr>
            <w:r>
              <w:rPr>
                <w:rFonts w:eastAsia="Times New Roman"/>
                <w:sz w:val="20"/>
                <w:szCs w:val="20"/>
              </w:rPr>
              <w:t>(4,659)</w:t>
            </w:r>
          </w:p>
        </w:tc>
        <w:tc>
          <w:tcPr>
            <w:tcW w:w="0" w:type="auto"/>
            <w:shd w:val="clear" w:color="auto" w:fill="CCFFCC"/>
            <w:hideMark/>
          </w:tcPr>
          <w:p w:rsidR="00000000" w:rsidRDefault="008D0E70">
            <w:pPr>
              <w:jc w:val="right"/>
              <w:rPr>
                <w:rFonts w:eastAsia="Times New Roman"/>
              </w:rPr>
            </w:pPr>
            <w:r>
              <w:rPr>
                <w:rFonts w:eastAsia="Times New Roman"/>
                <w:sz w:val="20"/>
                <w:szCs w:val="20"/>
              </w:rPr>
              <w:t>(6,349)</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b/>
                <w:bCs/>
                <w:sz w:val="20"/>
                <w:szCs w:val="20"/>
              </w:rPr>
              <w:t>Net Increase (decrease) in Cash</w:t>
            </w:r>
          </w:p>
        </w:tc>
        <w:tc>
          <w:tcPr>
            <w:tcW w:w="0" w:type="auto"/>
            <w:shd w:val="clear" w:color="auto" w:fill="CCFFCC"/>
            <w:hideMark/>
          </w:tcPr>
          <w:p w:rsidR="00000000" w:rsidRDefault="008D0E70">
            <w:pPr>
              <w:jc w:val="right"/>
              <w:rPr>
                <w:rFonts w:eastAsia="Times New Roman"/>
              </w:rPr>
            </w:pPr>
            <w:r>
              <w:rPr>
                <w:rFonts w:eastAsia="Times New Roman"/>
                <w:b/>
                <w:bCs/>
                <w:sz w:val="20"/>
                <w:szCs w:val="20"/>
              </w:rPr>
              <w:t>4,408</w:t>
            </w:r>
          </w:p>
        </w:tc>
        <w:tc>
          <w:tcPr>
            <w:tcW w:w="0" w:type="auto"/>
            <w:shd w:val="clear" w:color="auto" w:fill="CCFFCC"/>
            <w:hideMark/>
          </w:tcPr>
          <w:p w:rsidR="00000000" w:rsidRDefault="008D0E70">
            <w:pPr>
              <w:jc w:val="right"/>
              <w:rPr>
                <w:rFonts w:eastAsia="Times New Roman"/>
              </w:rPr>
            </w:pPr>
            <w:r>
              <w:rPr>
                <w:rFonts w:eastAsia="Times New Roman"/>
                <w:b/>
                <w:bCs/>
                <w:sz w:val="20"/>
                <w:szCs w:val="20"/>
              </w:rPr>
              <w:t>(3,528)</w:t>
            </w:r>
          </w:p>
        </w:tc>
        <w:tc>
          <w:tcPr>
            <w:tcW w:w="0" w:type="auto"/>
            <w:shd w:val="clear" w:color="auto" w:fill="CCFFCC"/>
            <w:hideMark/>
          </w:tcPr>
          <w:p w:rsidR="00000000" w:rsidRDefault="008D0E70">
            <w:pPr>
              <w:jc w:val="right"/>
              <w:rPr>
                <w:rFonts w:eastAsia="Times New Roman"/>
              </w:rPr>
            </w:pPr>
            <w:r>
              <w:rPr>
                <w:rFonts w:eastAsia="Times New Roman"/>
                <w:b/>
                <w:bCs/>
                <w:sz w:val="20"/>
                <w:szCs w:val="20"/>
              </w:rPr>
              <w:t>6,685</w:t>
            </w:r>
          </w:p>
        </w:tc>
        <w:tc>
          <w:tcPr>
            <w:tcW w:w="0" w:type="auto"/>
            <w:shd w:val="clear" w:color="auto" w:fill="CCFFCC"/>
            <w:hideMark/>
          </w:tcPr>
          <w:p w:rsidR="00000000" w:rsidRDefault="008D0E70">
            <w:pPr>
              <w:jc w:val="right"/>
              <w:rPr>
                <w:rFonts w:eastAsia="Times New Roman"/>
              </w:rPr>
            </w:pPr>
            <w:r>
              <w:rPr>
                <w:rFonts w:eastAsia="Times New Roman"/>
                <w:b/>
                <w:bCs/>
                <w:sz w:val="20"/>
                <w:szCs w:val="20"/>
              </w:rPr>
              <w:t>(23,118)</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sz w:val="20"/>
                <w:szCs w:val="20"/>
              </w:rPr>
              <w:t> </w:t>
            </w: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c>
          <w:tcPr>
            <w:tcW w:w="0" w:type="auto"/>
            <w:shd w:val="clear" w:color="auto" w:fill="FFFFFF"/>
            <w:hideMark/>
          </w:tcPr>
          <w:p w:rsidR="00000000" w:rsidRDefault="008D0E70">
            <w:pPr>
              <w:jc w:val="right"/>
              <w:rPr>
                <w:rFonts w:eastAsia="Times New Roman"/>
              </w:rPr>
            </w:pP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b/>
                <w:bCs/>
                <w:sz w:val="20"/>
                <w:szCs w:val="20"/>
              </w:rPr>
              <w:t>Cash Balance at beginning of Period</w:t>
            </w:r>
          </w:p>
        </w:tc>
        <w:tc>
          <w:tcPr>
            <w:tcW w:w="0" w:type="auto"/>
            <w:shd w:val="clear" w:color="auto" w:fill="CCFFCC"/>
            <w:hideMark/>
          </w:tcPr>
          <w:p w:rsidR="00000000" w:rsidRDefault="008D0E70">
            <w:pPr>
              <w:jc w:val="right"/>
              <w:rPr>
                <w:rFonts w:eastAsia="Times New Roman"/>
              </w:rPr>
            </w:pPr>
            <w:r>
              <w:rPr>
                <w:rFonts w:eastAsia="Times New Roman"/>
                <w:sz w:val="20"/>
                <w:szCs w:val="20"/>
              </w:rPr>
              <w:t>2,277</w:t>
            </w:r>
          </w:p>
        </w:tc>
        <w:tc>
          <w:tcPr>
            <w:tcW w:w="0" w:type="auto"/>
            <w:shd w:val="clear" w:color="auto" w:fill="CCFFCC"/>
            <w:hideMark/>
          </w:tcPr>
          <w:p w:rsidR="00000000" w:rsidRDefault="008D0E70">
            <w:pPr>
              <w:jc w:val="right"/>
              <w:rPr>
                <w:rFonts w:eastAsia="Times New Roman"/>
              </w:rPr>
            </w:pPr>
            <w:r>
              <w:rPr>
                <w:rFonts w:eastAsia="Times New Roman"/>
                <w:sz w:val="20"/>
                <w:szCs w:val="20"/>
              </w:rPr>
              <w:t>1,292</w:t>
            </w:r>
          </w:p>
        </w:tc>
        <w:tc>
          <w:tcPr>
            <w:tcW w:w="0" w:type="auto"/>
            <w:shd w:val="clear" w:color="auto" w:fill="CCFFCC"/>
            <w:hideMark/>
          </w:tcPr>
          <w:p w:rsidR="00000000" w:rsidRDefault="008D0E70">
            <w:pPr>
              <w:jc w:val="right"/>
              <w:rPr>
                <w:rFonts w:eastAsia="Times New Roman"/>
              </w:rPr>
            </w:pPr>
            <w:r>
              <w:rPr>
                <w:rFonts w:eastAsia="Times New Roman"/>
                <w:sz w:val="20"/>
                <w:szCs w:val="20"/>
              </w:rPr>
              <w:t>0</w:t>
            </w:r>
          </w:p>
        </w:tc>
        <w:tc>
          <w:tcPr>
            <w:tcW w:w="0" w:type="auto"/>
            <w:shd w:val="clear" w:color="auto" w:fill="CCFFCC"/>
            <w:hideMark/>
          </w:tcPr>
          <w:p w:rsidR="00000000" w:rsidRDefault="008D0E70">
            <w:pPr>
              <w:jc w:val="right"/>
              <w:rPr>
                <w:rFonts w:eastAsia="Times New Roman"/>
              </w:rPr>
            </w:pPr>
            <w:r>
              <w:rPr>
                <w:rFonts w:eastAsia="Times New Roman"/>
                <w:sz w:val="20"/>
                <w:szCs w:val="20"/>
              </w:rPr>
              <w:t>24,410</w:t>
            </w:r>
          </w:p>
        </w:tc>
      </w:tr>
      <w:tr w:rsidR="00000000">
        <w:trPr>
          <w:tblCellSpacing w:w="15" w:type="dxa"/>
        </w:trPr>
        <w:tc>
          <w:tcPr>
            <w:tcW w:w="0" w:type="auto"/>
            <w:shd w:val="clear" w:color="auto" w:fill="FFFFFF"/>
            <w:hideMark/>
          </w:tcPr>
          <w:p w:rsidR="00000000" w:rsidRDefault="008D0E70">
            <w:pPr>
              <w:rPr>
                <w:rFonts w:eastAsia="Times New Roman"/>
              </w:rPr>
            </w:pPr>
            <w:r>
              <w:rPr>
                <w:rFonts w:eastAsia="Times New Roman"/>
                <w:b/>
                <w:bCs/>
                <w:sz w:val="20"/>
                <w:szCs w:val="20"/>
              </w:rPr>
              <w:t>Cash Balance at End of Period</w:t>
            </w:r>
          </w:p>
        </w:tc>
        <w:tc>
          <w:tcPr>
            <w:tcW w:w="0" w:type="auto"/>
            <w:shd w:val="clear" w:color="auto" w:fill="FFFFFF"/>
            <w:hideMark/>
          </w:tcPr>
          <w:p w:rsidR="00000000" w:rsidRDefault="008D0E70">
            <w:pPr>
              <w:jc w:val="right"/>
              <w:rPr>
                <w:rFonts w:eastAsia="Times New Roman"/>
              </w:rPr>
            </w:pPr>
            <w:r>
              <w:rPr>
                <w:rFonts w:eastAsia="Times New Roman"/>
                <w:sz w:val="20"/>
                <w:szCs w:val="20"/>
              </w:rPr>
              <w:t>6,685</w:t>
            </w:r>
          </w:p>
        </w:tc>
        <w:tc>
          <w:tcPr>
            <w:tcW w:w="0" w:type="auto"/>
            <w:shd w:val="clear" w:color="auto" w:fill="FFFFFF"/>
            <w:hideMark/>
          </w:tcPr>
          <w:p w:rsidR="00000000" w:rsidRDefault="008D0E70">
            <w:pPr>
              <w:jc w:val="right"/>
              <w:rPr>
                <w:rFonts w:eastAsia="Times New Roman"/>
              </w:rPr>
            </w:pPr>
            <w:r>
              <w:rPr>
                <w:rFonts w:eastAsia="Times New Roman"/>
                <w:sz w:val="20"/>
                <w:szCs w:val="20"/>
              </w:rPr>
              <w:t>4,820</w:t>
            </w:r>
          </w:p>
        </w:tc>
        <w:tc>
          <w:tcPr>
            <w:tcW w:w="0" w:type="auto"/>
            <w:shd w:val="clear" w:color="auto" w:fill="FFFFFF"/>
            <w:hideMark/>
          </w:tcPr>
          <w:p w:rsidR="00000000" w:rsidRDefault="008D0E70">
            <w:pPr>
              <w:jc w:val="right"/>
              <w:rPr>
                <w:rFonts w:eastAsia="Times New Roman"/>
              </w:rPr>
            </w:pPr>
            <w:r>
              <w:rPr>
                <w:rFonts w:eastAsia="Times New Roman"/>
                <w:sz w:val="20"/>
                <w:szCs w:val="20"/>
              </w:rPr>
              <w:t>6,685</w:t>
            </w:r>
          </w:p>
        </w:tc>
        <w:tc>
          <w:tcPr>
            <w:tcW w:w="0" w:type="auto"/>
            <w:shd w:val="clear" w:color="auto" w:fill="FFFFFF"/>
            <w:hideMark/>
          </w:tcPr>
          <w:p w:rsidR="00000000" w:rsidRDefault="008D0E70">
            <w:pPr>
              <w:jc w:val="right"/>
              <w:rPr>
                <w:rFonts w:eastAsia="Times New Roman"/>
              </w:rPr>
            </w:pPr>
            <w:r>
              <w:rPr>
                <w:rFonts w:eastAsia="Times New Roman"/>
                <w:sz w:val="20"/>
                <w:szCs w:val="20"/>
              </w:rPr>
              <w:t>1,292</w:t>
            </w:r>
          </w:p>
        </w:tc>
      </w:tr>
      <w:tr w:rsidR="00000000">
        <w:trPr>
          <w:tblCellSpacing w:w="15" w:type="dxa"/>
        </w:trPr>
        <w:tc>
          <w:tcPr>
            <w:tcW w:w="0" w:type="auto"/>
            <w:shd w:val="clear" w:color="auto" w:fill="CCFFCC"/>
            <w:hideMark/>
          </w:tcPr>
          <w:p w:rsidR="00000000" w:rsidRDefault="008D0E70">
            <w:pPr>
              <w:rPr>
                <w:rFonts w:eastAsia="Times New Roman"/>
              </w:rPr>
            </w:pPr>
            <w:r>
              <w:rPr>
                <w:rFonts w:eastAsia="Times New Roman"/>
                <w:sz w:val="20"/>
                <w:szCs w:val="20"/>
              </w:rPr>
              <w:t> </w:t>
            </w: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c>
          <w:tcPr>
            <w:tcW w:w="0" w:type="auto"/>
            <w:shd w:val="clear" w:color="auto" w:fill="CCFFCC"/>
            <w:hideMark/>
          </w:tcPr>
          <w:p w:rsidR="00000000" w:rsidRDefault="008D0E70">
            <w:pPr>
              <w:jc w:val="right"/>
              <w:rPr>
                <w:rFonts w:eastAsia="Times New Roman"/>
              </w:rPr>
            </w:pPr>
          </w:p>
        </w:tc>
      </w:tr>
      <w:tr w:rsidR="00000000">
        <w:trPr>
          <w:tblCellSpacing w:w="15" w:type="dxa"/>
        </w:trPr>
        <w:tc>
          <w:tcPr>
            <w:tcW w:w="0" w:type="auto"/>
            <w:gridSpan w:val="5"/>
            <w:shd w:val="clear" w:color="auto" w:fill="FFFFFF"/>
            <w:hideMark/>
          </w:tcPr>
          <w:p w:rsidR="00000000" w:rsidRDefault="008D0E70">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38"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bookmarkStart w:id="1" w:name="notes"/>
      <w:bookmarkEnd w:id="1"/>
      <w:r>
        <w:rPr>
          <w:b/>
          <w:bCs/>
          <w:sz w:val="20"/>
          <w:szCs w:val="20"/>
        </w:rPr>
        <w:lastRenderedPageBreak/>
        <w:t>NOTE 1- ORGANIZATION AND LINE OF BUSINESS</w:t>
      </w:r>
    </w:p>
    <w:p w:rsidR="00000000" w:rsidRDefault="008D0E70">
      <w:pPr>
        <w:pStyle w:val="NormalWeb"/>
      </w:pPr>
      <w:r>
        <w:rPr>
          <w:b/>
          <w:bCs/>
        </w:rPr>
        <w:t>LINE OF BUSINESS</w:t>
      </w:r>
    </w:p>
    <w:p w:rsidR="00000000" w:rsidRDefault="008D0E70">
      <w:pPr>
        <w:pStyle w:val="NormalWeb"/>
      </w:pPr>
      <w:r>
        <w:rPr>
          <w:sz w:val="20"/>
          <w:szCs w:val="20"/>
        </w:rPr>
        <w:t>Organization:</w:t>
      </w:r>
    </w:p>
    <w:p w:rsidR="00000000" w:rsidRDefault="008D0E70">
      <w:pPr>
        <w:pStyle w:val="NormalWeb"/>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w:t>
      </w:r>
      <w:r>
        <w:rPr>
          <w:sz w:val="20"/>
          <w:szCs w:val="20"/>
        </w:rPr>
        <w:t xml:space="preserve">pany") was originally formed as a specialty materials company in the development stage (as defined by the Financial Accounting Standards Board ("FASB") in Statement of Financial Accounting Standards ("SFAS") no. 7, "Accounting and Reporting by Development </w:t>
      </w:r>
      <w:r>
        <w:rPr>
          <w:sz w:val="20"/>
          <w:szCs w:val="20"/>
        </w:rPr>
        <w:t>Stage Enterprises"). The Company's core technology consisted of a variety of materials, which had a high affinity for oxygen. In 1993 the Company discontinued those operations.</w:t>
      </w:r>
    </w:p>
    <w:p w:rsidR="00000000" w:rsidRDefault="008D0E70">
      <w:pPr>
        <w:pStyle w:val="NormalWeb"/>
      </w:pPr>
      <w:r>
        <w:rPr>
          <w:sz w:val="20"/>
          <w:szCs w:val="20"/>
        </w:rPr>
        <w:t>Lines of Business:</w:t>
      </w:r>
    </w:p>
    <w:p w:rsidR="00000000" w:rsidRDefault="008D0E70">
      <w:pPr>
        <w:pStyle w:val="NormalWeb"/>
      </w:pPr>
      <w:r>
        <w:rPr>
          <w:sz w:val="20"/>
          <w:szCs w:val="20"/>
        </w:rPr>
        <w:t>The Company's operations began again in 1997. The Company, t</w:t>
      </w:r>
      <w:r>
        <w:rPr>
          <w:sz w:val="20"/>
          <w:szCs w:val="20"/>
        </w:rPr>
        <w:t>hrough its wholly owned subsidiary ANV owns income producing commercial real estate leased until 2026. The real estate consists solely of the land with no buildings or improvements ("Land"). All improvements on the Land are those of the tenant.</w:t>
      </w:r>
    </w:p>
    <w:p w:rsidR="00000000" w:rsidRDefault="008D0E70">
      <w:pPr>
        <w:pStyle w:val="NormalWeb"/>
      </w:pPr>
      <w:r>
        <w:rPr>
          <w:b/>
          <w:bCs/>
          <w:sz w:val="20"/>
          <w:szCs w:val="20"/>
        </w:rPr>
        <w:t>NOTE 2 - SU</w:t>
      </w:r>
      <w:r>
        <w:rPr>
          <w:b/>
          <w:bCs/>
          <w:sz w:val="20"/>
          <w:szCs w:val="20"/>
        </w:rPr>
        <w:t>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000000" w:rsidRDefault="008D0E70">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000000" w:rsidRDefault="008D0E70">
      <w:pPr>
        <w:pStyle w:val="NormalWeb"/>
      </w:pPr>
      <w:r>
        <w:rPr>
          <w:i/>
          <w:iCs/>
          <w:sz w:val="20"/>
          <w:szCs w:val="20"/>
        </w:rPr>
        <w:t>Real Estate Accounting Principles</w:t>
      </w:r>
      <w:r>
        <w:rPr>
          <w:sz w:val="20"/>
          <w:szCs w:val="20"/>
        </w:rPr>
        <w:t>: The Comp</w:t>
      </w:r>
      <w:r>
        <w:rPr>
          <w:sz w:val="20"/>
          <w:szCs w:val="20"/>
        </w:rPr>
        <w:t>any treats the valuation of its real estate in accordance with FASB Statement No. 157, Fair Value Measurements, which provides for the companies accounting valuation of real estate. Statement 157 defines fair value as the price that would be received to se</w:t>
      </w:r>
      <w:r>
        <w:rPr>
          <w:sz w:val="20"/>
          <w:szCs w:val="20"/>
        </w:rPr>
        <w:t>ll an asset or paid to transfer a liability in an orderly transaction between market participants at the measurement date. The Company has valued its real estate using the three valuation approaches defined in FASB Statement No. 157: The market approach, w</w:t>
      </w:r>
      <w:r>
        <w:rPr>
          <w:sz w:val="20"/>
          <w:szCs w:val="20"/>
        </w:rPr>
        <w:t>hich uses observable prices and other relevant information derived from market transactions involving identical or comparable assets or liabilities, The income approach, which uses valuation technique to convert future benefits or costs, usually in the for</w:t>
      </w:r>
      <w:r>
        <w:rPr>
          <w:sz w:val="20"/>
          <w:szCs w:val="20"/>
        </w:rPr>
        <w:t>m of cash flows, into a present-value amount. Examples of an income approach include the discounted cash flow method and the direct capitalization method, and the cost approach, which uses estimates of the cost to replace an asset’s service capacity.</w:t>
      </w:r>
    </w:p>
    <w:p w:rsidR="00000000" w:rsidRDefault="008D0E70">
      <w:pPr>
        <w:rPr>
          <w:rFonts w:eastAsia="Times New Roman"/>
        </w:rPr>
      </w:pPr>
      <w:r>
        <w:rPr>
          <w:rFonts w:eastAsia="Times New Roman"/>
          <w:i/>
          <w:iCs/>
          <w:sz w:val="20"/>
          <w:szCs w:val="20"/>
        </w:rPr>
        <w:t>Reven</w:t>
      </w:r>
      <w:r>
        <w:rPr>
          <w:rFonts w:eastAsia="Times New Roman"/>
          <w:i/>
          <w:iCs/>
          <w:sz w:val="20"/>
          <w:szCs w:val="20"/>
        </w:rPr>
        <w:t>ue recognition on the sale of real estate:</w:t>
      </w:r>
      <w:r>
        <w:rPr>
          <w:rFonts w:eastAsia="Times New Roman"/>
        </w:rPr>
        <w:t xml:space="preserve"> </w:t>
      </w:r>
    </w:p>
    <w:p w:rsidR="00000000" w:rsidRDefault="008D0E70">
      <w:pPr>
        <w:pStyle w:val="NormalWeb"/>
      </w:pPr>
      <w:r>
        <w:rPr>
          <w:sz w:val="20"/>
          <w:szCs w:val="20"/>
        </w:rPr>
        <w:t>Sales of real estate are recognized when and to the extent permitted by Statement of Financial Accounting Standards No. 66, “Accounting for Sales of Real Estate” (“SFAS No. 66”</w:t>
      </w:r>
      <w:r>
        <w:rPr>
          <w:sz w:val="20"/>
          <w:szCs w:val="20"/>
        </w:rPr>
        <w:t xml:space="preserve">),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8D0E70">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8D0E70">
      <w:pPr>
        <w:spacing w:before="100" w:beforeAutospacing="1" w:after="240"/>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w:t>
      </w:r>
      <w:r>
        <w:rPr>
          <w:sz w:val="20"/>
          <w:szCs w:val="20"/>
        </w:rPr>
        <w:t>placements and betterments are capitalized. Repair and maintenance costs include all costs that do not extend the useful life of the real estate asset. The Company considers the period of future benefit of an asset to determine its appropriate useful life.</w:t>
      </w:r>
      <w:r>
        <w:rPr>
          <w:sz w:val="20"/>
          <w:szCs w:val="20"/>
        </w:rPr>
        <w:t xml:space="preserve"> The Company anticipates the estimated useful lives of its assets by class to be generally as follows: land improvements: three to 40 years, buildings and building improvements: three to 40 years, and furniture and equipment: one to 20 years.</w:t>
      </w:r>
    </w:p>
    <w:p w:rsidR="00000000" w:rsidRDefault="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FC32F9" w:rsidRDefault="000D47D3">
      <w:pPr>
        <w:rPr>
          <w:rFonts w:eastAsia="Times New Roman"/>
          <w:sz w:val="20"/>
          <w:szCs w:val="20"/>
        </w:rPr>
      </w:pPr>
      <w:r>
        <w:rPr>
          <w:rFonts w:eastAsia="Times New Roman"/>
          <w:sz w:val="20"/>
          <w:szCs w:val="20"/>
        </w:rPr>
        <w:pict>
          <v:rect id="_x0000_i1039" style="width:0;height:3pt" o:hralign="center" o:hrstd="t" o:hrnoshade="t" o:hr="t" fillcolor="black" stroked="f"/>
        </w:pict>
      </w:r>
    </w:p>
    <w:p w:rsidR="00FC32F9" w:rsidRDefault="00FC32F9">
      <w:pPr>
        <w:rPr>
          <w:rFonts w:eastAsia="Times New Roman"/>
          <w:sz w:val="20"/>
          <w:szCs w:val="20"/>
        </w:rPr>
      </w:pPr>
      <w:r>
        <w:rPr>
          <w:rFonts w:eastAsia="Times New Roman"/>
          <w:sz w:val="20"/>
          <w:szCs w:val="20"/>
        </w:rPr>
        <w:br w:type="page"/>
      </w:r>
    </w:p>
    <w:p w:rsidR="00000000" w:rsidRDefault="008D0E70">
      <w:pPr>
        <w:spacing w:before="100" w:beforeAutospacing="1" w:after="240"/>
      </w:pPr>
      <w:r>
        <w:rPr>
          <w:i/>
          <w:iCs/>
          <w:sz w:val="20"/>
          <w:szCs w:val="20"/>
        </w:rPr>
        <w:lastRenderedPageBreak/>
        <w:t>Impairment of Real Estate Investments</w:t>
      </w:r>
    </w:p>
    <w:p w:rsidR="00000000" w:rsidRDefault="008D0E70">
      <w:pPr>
        <w:spacing w:before="100" w:beforeAutospacing="1" w:after="100" w:afterAutospacing="1"/>
      </w:pPr>
      <w:r>
        <w:rPr>
          <w:sz w:val="20"/>
          <w:szCs w:val="20"/>
        </w:rPr>
        <w:t>The Company continually monitors events and changes in circumstances that could indicate that the carrying amounts of its real estate investment</w:t>
      </w:r>
      <w:r>
        <w:rPr>
          <w:sz w:val="20"/>
          <w:szCs w:val="20"/>
        </w:rPr>
        <w:t>s may not be recoverable or realized. When indicators of potential impairment suggest that the carrying value of real estate investments may not be recoverable, the Company assesses the recoverability by estimating whether the Company will recover the carr</w:t>
      </w:r>
      <w:r>
        <w:rPr>
          <w:sz w:val="20"/>
          <w:szCs w:val="20"/>
        </w:rPr>
        <w:t>ying value of its real estate investments through its undiscounted future cash flows and the eventual disposition of the investment. If, based on this analysis, the Company does not believe that it will be able to recover the carrying value of its real est</w:t>
      </w:r>
      <w:r>
        <w:rPr>
          <w:sz w:val="20"/>
          <w:szCs w:val="20"/>
        </w:rPr>
        <w:t xml:space="preserve">ate </w:t>
      </w:r>
      <w:proofErr w:type="gramStart"/>
      <w:r>
        <w:rPr>
          <w:sz w:val="20"/>
          <w:szCs w:val="20"/>
        </w:rPr>
        <w:t>investments,</w:t>
      </w:r>
      <w:proofErr w:type="gramEnd"/>
      <w:r>
        <w:rPr>
          <w:sz w:val="20"/>
          <w:szCs w:val="20"/>
        </w:rPr>
        <w:t xml:space="preserve"> the Company would record an impairment loss to the extent that the carrying value exceeds the estimated fair value of its real estate investments. The Company recorded no impairment loss on its real estate investments during the period end</w:t>
      </w:r>
      <w:r>
        <w:rPr>
          <w:sz w:val="20"/>
          <w:szCs w:val="20"/>
        </w:rPr>
        <w:t>ing March 31, 2013.</w:t>
      </w:r>
    </w:p>
    <w:p w:rsidR="00000000" w:rsidRDefault="008D0E70">
      <w:pPr>
        <w:rPr>
          <w:rFonts w:eastAsia="Times New Roman"/>
        </w:rPr>
      </w:pPr>
      <w:r>
        <w:rPr>
          <w:rFonts w:eastAsia="Times New Roman"/>
          <w:i/>
          <w:iCs/>
          <w:sz w:val="20"/>
          <w:szCs w:val="20"/>
        </w:rPr>
        <w:t>Interest Recognition on Notes Receivable</w:t>
      </w:r>
    </w:p>
    <w:p w:rsidR="00000000" w:rsidRDefault="008D0E70">
      <w:pPr>
        <w:pStyle w:val="NormalWeb"/>
      </w:pPr>
      <w:r>
        <w:rPr>
          <w:sz w:val="20"/>
          <w:szCs w:val="20"/>
        </w:rPr>
        <w:t>Interest income is not recognized on notes receivable that have been delinquent for 60 days or more. In addition, accrued but unpaid interest income is only recognized to the extent that the ne</w:t>
      </w:r>
      <w:r>
        <w:rPr>
          <w:sz w:val="20"/>
          <w:szCs w:val="20"/>
        </w:rPr>
        <w:t>t realizable value of the underlying collateral exceeds the carrying value of the receivable.</w:t>
      </w:r>
    </w:p>
    <w:p w:rsidR="00000000" w:rsidRDefault="008D0E70">
      <w:pPr>
        <w:pStyle w:val="NormalWeb"/>
      </w:pPr>
      <w:r>
        <w:rPr>
          <w:i/>
          <w:iCs/>
          <w:sz w:val="20"/>
          <w:szCs w:val="20"/>
        </w:rPr>
        <w:t>Foreign currency translation:</w:t>
      </w:r>
    </w:p>
    <w:p w:rsidR="00000000" w:rsidRDefault="008D0E70">
      <w:pPr>
        <w:pStyle w:val="NormalWeb"/>
      </w:pPr>
      <w:r>
        <w:rPr>
          <w:sz w:val="20"/>
          <w:szCs w:val="20"/>
        </w:rPr>
        <w:t>Foreign currency transactions are translated applying the current rate method. Assets and liabilities are translated at current ra</w:t>
      </w:r>
      <w:r>
        <w:rPr>
          <w:sz w:val="20"/>
          <w:szCs w:val="20"/>
        </w:rPr>
        <w:t xml:space="preserve">tes. Stockholders' equity accounts are translated at the appropriate historical rates and revenue and expenses are translated at weighted average rates for the year. Exchange rate differences that arise between the rate at the transaction date and the one </w:t>
      </w:r>
      <w:r>
        <w:rPr>
          <w:sz w:val="20"/>
          <w:szCs w:val="20"/>
        </w:rPr>
        <w:t>in effect at the payment date, or at the balance sheet date, are recognized in the income statement.</w:t>
      </w:r>
      <w:r>
        <w:rPr>
          <w:sz w:val="20"/>
          <w:szCs w:val="20"/>
        </w:rPr>
        <w:br/>
      </w:r>
      <w:r>
        <w:rPr>
          <w:sz w:val="20"/>
          <w:szCs w:val="20"/>
        </w:rPr>
        <w:br/>
      </w:r>
      <w:r>
        <w:rPr>
          <w:i/>
          <w:iCs/>
          <w:sz w:val="20"/>
          <w:szCs w:val="20"/>
        </w:rPr>
        <w:t>Income Taxes:</w:t>
      </w:r>
    </w:p>
    <w:p w:rsidR="00000000" w:rsidRDefault="008D0E70">
      <w:pPr>
        <w:pStyle w:val="NormalWeb"/>
      </w:pPr>
      <w:r>
        <w:rPr>
          <w:sz w:val="20"/>
          <w:szCs w:val="20"/>
        </w:rPr>
        <w:t>The Company accounts for income taxes under the asset and liability method of accounting. Under this method, deferred tax assets and liabil</w:t>
      </w:r>
      <w:r>
        <w:rPr>
          <w:sz w:val="20"/>
          <w:szCs w:val="20"/>
        </w:rPr>
        <w:t>ities are recognized for the future tax consequences attributable to differences between the financial statement carrying amounts of existing assets and liabilities and their respective tax bases. Deferred tax assets and liabilities are measured using enac</w:t>
      </w:r>
      <w:r>
        <w:rPr>
          <w:sz w:val="20"/>
          <w:szCs w:val="20"/>
        </w:rPr>
        <w:t>ted tax rates expected to apply to taxable income in the years in which those temporary differences are expected to be recovered or settled. The effect on deferred tax assets and liabilities of a change in tax rates is recognized in income in the period th</w:t>
      </w:r>
      <w:r>
        <w:rPr>
          <w:sz w:val="20"/>
          <w:szCs w:val="20"/>
        </w:rPr>
        <w:t>at includes the enactment date. A valuation allowance is required when it is less likely than not that the Company will be able to realize all or a portion of its deferred tax assets. Because it is doubtful that the net operating losses of recent years wil</w:t>
      </w:r>
      <w:r>
        <w:rPr>
          <w:sz w:val="20"/>
          <w:szCs w:val="20"/>
        </w:rPr>
        <w:t>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8D0E70">
      <w:pPr>
        <w:pStyle w:val="NormalWeb"/>
      </w:pPr>
      <w:r>
        <w:rPr>
          <w:sz w:val="20"/>
          <w:szCs w:val="20"/>
        </w:rPr>
        <w:t xml:space="preserve">The Company adopted SFAS No. 128, "Earnings per Share". </w:t>
      </w:r>
      <w:proofErr w:type="gramStart"/>
      <w:r>
        <w:rPr>
          <w:sz w:val="20"/>
          <w:szCs w:val="20"/>
        </w:rPr>
        <w:t>Basic earnings per share is</w:t>
      </w:r>
      <w:proofErr w:type="gramEnd"/>
      <w:r>
        <w:rPr>
          <w:sz w:val="20"/>
          <w:szCs w:val="20"/>
        </w:rPr>
        <w:t xml:space="preserve"> computed by dividing income </w:t>
      </w:r>
      <w:r>
        <w:rPr>
          <w:sz w:val="20"/>
          <w:szCs w:val="20"/>
        </w:rPr>
        <w:t>available to common shareholders by the weighted-average number of common shares available. Diluted earnings per share is computed similar to basic earnings per share except that the denominator is increased to include the number of additional common share</w:t>
      </w:r>
      <w:r>
        <w:rPr>
          <w:sz w:val="20"/>
          <w:szCs w:val="20"/>
        </w:rPr>
        <w:t>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000000" w:rsidRDefault="008D0E70">
      <w:pPr>
        <w:pStyle w:val="NormalWeb"/>
      </w:pPr>
      <w:r>
        <w:rPr>
          <w:sz w:val="20"/>
          <w:szCs w:val="20"/>
        </w:rPr>
        <w:t>For purposes of the statement of cash flows, the Company considers all highly-liquid investmen</w:t>
      </w:r>
      <w:r>
        <w:rPr>
          <w:sz w:val="20"/>
          <w:szCs w:val="20"/>
        </w:rPr>
        <w:t>ts purchased with original maturities of three months or less to be cash equivalents.</w:t>
      </w:r>
      <w:r>
        <w:rPr>
          <w:sz w:val="20"/>
          <w:szCs w:val="20"/>
        </w:rPr>
        <w:br/>
      </w:r>
      <w:r>
        <w:rPr>
          <w:sz w:val="20"/>
          <w:szCs w:val="20"/>
        </w:rPr>
        <w:br/>
        <w:t>The Company maintains its cash in bank deposit accounts which, at March 31, 2013 did not exceed federally insured limits. The Company has not experienced any losses in s</w:t>
      </w:r>
      <w:r>
        <w:rPr>
          <w:sz w:val="20"/>
          <w:szCs w:val="20"/>
        </w:rPr>
        <w:t>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8D0E70">
      <w:pPr>
        <w:pStyle w:val="NormalWeb"/>
      </w:pPr>
      <w:r>
        <w:rPr>
          <w:sz w:val="20"/>
          <w:szCs w:val="20"/>
        </w:rPr>
        <w:t>The preparation of financial statements in conformity with generally accepted accounting principles requires management to make estimates and assu</w:t>
      </w:r>
      <w:r>
        <w:rPr>
          <w:sz w:val="20"/>
          <w:szCs w:val="20"/>
        </w:rPr>
        <w:t>mptions that affect the reported amounts of assets and liabilities and disclosures of contingent assets and liabilities at the date of the financial statements, as well as the reported amounts of revenue and expenses during the reported period. Actual resu</w:t>
      </w:r>
      <w:r>
        <w:rPr>
          <w:sz w:val="20"/>
          <w:szCs w:val="20"/>
        </w:rPr>
        <w:t>lts could differ from those estimates.</w:t>
      </w:r>
      <w:r>
        <w:rPr>
          <w:sz w:val="20"/>
          <w:szCs w:val="20"/>
        </w:rPr>
        <w:br/>
      </w:r>
      <w:r>
        <w:rPr>
          <w:sz w:val="20"/>
          <w:szCs w:val="20"/>
        </w:rPr>
        <w:br/>
      </w:r>
      <w:r>
        <w:rPr>
          <w:i/>
          <w:iCs/>
          <w:sz w:val="20"/>
          <w:szCs w:val="20"/>
        </w:rPr>
        <w:t>Concentrations of Credit Risk:</w:t>
      </w:r>
    </w:p>
    <w:p w:rsidR="00000000" w:rsidRDefault="008D0E70">
      <w:pPr>
        <w:pStyle w:val="NormalWeb"/>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0D47D3">
      <w:pPr>
        <w:rPr>
          <w:rFonts w:eastAsia="Times New Roman"/>
          <w:sz w:val="20"/>
          <w:szCs w:val="20"/>
        </w:rPr>
      </w:pPr>
      <w:r>
        <w:rPr>
          <w:rFonts w:eastAsia="Times New Roman"/>
          <w:sz w:val="20"/>
          <w:szCs w:val="20"/>
        </w:rPr>
        <w:pict>
          <v:rect id="_x0000_i1040" style="width:0;height:3pt" o:hralign="center" o:hrstd="t" o:hrnoshade="t" o:hr="t" fillcolor="black" stroked="f"/>
        </w:pict>
      </w:r>
    </w:p>
    <w:p w:rsidR="00000000" w:rsidRDefault="008D0E70">
      <w:pPr>
        <w:pStyle w:val="NormalWeb"/>
        <w:spacing w:after="240" w:afterAutospacing="0"/>
      </w:pPr>
      <w:r>
        <w:rPr>
          <w:i/>
          <w:iCs/>
          <w:sz w:val="20"/>
          <w:szCs w:val="20"/>
        </w:rPr>
        <w:lastRenderedPageBreak/>
        <w:t>Recently Issued Accounting Standards</w:t>
      </w:r>
    </w:p>
    <w:p w:rsidR="00000000" w:rsidRDefault="008D0E70">
      <w:pPr>
        <w:pStyle w:val="NormalWeb"/>
      </w:pPr>
      <w:r>
        <w:rPr>
          <w:sz w:val="20"/>
          <w:szCs w:val="20"/>
        </w:rPr>
        <w:t>In February 2006, the FASB issued SFAS No. 155, “Accounting for Certain Hybrid Financial Instruments an Amendment of FASB Statements No. 133 and 140”</w:t>
      </w:r>
      <w:r>
        <w:rPr>
          <w:sz w:val="20"/>
          <w:szCs w:val="20"/>
        </w:rPr>
        <w:t xml:space="preserve"> (“SFAS No. 155”). The purpose of SFAS No. 155 is to simplify the accounting for certain hybrid financial instruments by permitting fair value re-measurement for any hybrid financial instrument that contains an embedded derivative that otherwise would requ</w:t>
      </w:r>
      <w:r>
        <w:rPr>
          <w:sz w:val="20"/>
          <w:szCs w:val="20"/>
        </w:rPr>
        <w:t>ire bifurcation. SFAS No. 155 was effective for all financial instruments acquired or issued after the beginning of an entity’s first fiscal year that begins after September 15, 2006. The Company believes the adoption of SFAS No. 155 had no material impact</w:t>
      </w:r>
      <w:r>
        <w:rPr>
          <w:sz w:val="20"/>
          <w:szCs w:val="20"/>
        </w:rPr>
        <w:t xml:space="preserve"> on its cash flows, results of operations, financial position or liquidity</w:t>
      </w:r>
      <w:proofErr w:type="gramStart"/>
      <w:r>
        <w:rPr>
          <w:sz w:val="20"/>
          <w:szCs w:val="20"/>
        </w:rPr>
        <w:t>..</w:t>
      </w:r>
      <w:proofErr w:type="gramEnd"/>
    </w:p>
    <w:p w:rsidR="00000000" w:rsidRDefault="008D0E70">
      <w:pPr>
        <w:pStyle w:val="NormalWeb"/>
      </w:pPr>
      <w:r>
        <w:rPr>
          <w:sz w:val="20"/>
          <w:szCs w:val="20"/>
        </w:rPr>
        <w:t xml:space="preserve">In March 2006, the FASB issued SFAS No. 156, “Accounting for Servicing of Financial Assets </w:t>
      </w:r>
      <w:proofErr w:type="gramStart"/>
      <w:r>
        <w:t xml:space="preserve">“ </w:t>
      </w:r>
      <w:r>
        <w:rPr>
          <w:sz w:val="20"/>
          <w:szCs w:val="20"/>
        </w:rPr>
        <w:t>an</w:t>
      </w:r>
      <w:proofErr w:type="gramEnd"/>
      <w:r>
        <w:rPr>
          <w:sz w:val="20"/>
          <w:szCs w:val="20"/>
        </w:rPr>
        <w:t xml:space="preserve"> Amendment of FASB Statement No. 140” (“SFAS No. 156”). SFAS No. 156 requires recog</w:t>
      </w:r>
      <w:r>
        <w:rPr>
          <w:sz w:val="20"/>
          <w:szCs w:val="20"/>
        </w:rPr>
        <w:t>nition of a servicing asset or a servicing liability each time an entity undertakes an obligation to service a financial asset by entering into a servicing contract. SFAS No. 156 also requires that all separately recognized servicing assets and servicing l</w:t>
      </w:r>
      <w:r>
        <w:rPr>
          <w:sz w:val="20"/>
          <w:szCs w:val="20"/>
        </w:rPr>
        <w:t xml:space="preserve">iabilities be initially measured at fair value and subsequently measured at fair value at each reporting date. SFAS No. 156 was effective as of the beginning of any entity’s first fiscal year that begins after September 15, 2006. The Company believes that </w:t>
      </w:r>
      <w:r>
        <w:rPr>
          <w:sz w:val="20"/>
          <w:szCs w:val="20"/>
        </w:rPr>
        <w:t>the adoption of SFAS No. 156 had no material impact on its cash flows, results of operations, financial position or liquidity.</w:t>
      </w:r>
    </w:p>
    <w:p w:rsidR="00000000" w:rsidRDefault="008D0E70">
      <w:pPr>
        <w:pStyle w:val="NormalWeb"/>
        <w:spacing w:after="240" w:afterAutospacing="0"/>
      </w:pPr>
      <w:r>
        <w:rPr>
          <w:sz w:val="20"/>
          <w:szCs w:val="20"/>
        </w:rPr>
        <w:t>In June 2006, FASB issued FIN No. 48, “Accounting for Uncertainty Taxes”. The interpretation applies to all tax positions relate</w:t>
      </w:r>
      <w:r>
        <w:rPr>
          <w:sz w:val="20"/>
          <w:szCs w:val="20"/>
        </w:rPr>
        <w:t>d to income taxes subject to FASB Statement No. 109, “Accounting for Income Taxes”. FIN No. 48 clarifies the accounting for uncertainty in income taxes by prescribing a minimum recognition threshold in determining if a tax position should be reflected in t</w:t>
      </w:r>
      <w:r>
        <w:rPr>
          <w:sz w:val="20"/>
          <w:szCs w:val="20"/>
        </w:rPr>
        <w:t>he financial statements. Only tax positions that meet the “more likely than not” recognition threshold may be recognized. The interpretation also provides guidance on classification, interest and penalties, accounting in interim periods, disclosure, and tr</w:t>
      </w:r>
      <w:r>
        <w:rPr>
          <w:sz w:val="20"/>
          <w:szCs w:val="20"/>
        </w:rPr>
        <w:t>ansition requirements for uncertain tax positions. FIN No. 48 was effective for the Company’s fiscal year ending June 30, 2007. The Company believes that there were no material tax positions that resulted in a material impact upon implementation of FIN No.</w:t>
      </w:r>
      <w:r>
        <w:rPr>
          <w:sz w:val="20"/>
          <w:szCs w:val="20"/>
        </w:rPr>
        <w:t xml:space="preserve"> 48</w:t>
      </w:r>
      <w:proofErr w:type="gramStart"/>
      <w:r>
        <w:rPr>
          <w:sz w:val="20"/>
          <w:szCs w:val="20"/>
        </w:rPr>
        <w:t>..</w:t>
      </w:r>
      <w:proofErr w:type="gramEnd"/>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w:t>
      </w:r>
      <w:r>
        <w:rPr>
          <w:sz w:val="20"/>
          <w:szCs w:val="20"/>
        </w:rPr>
        <w:t xml:space="preserve">s. SFAS No. 157 applies to fair value measurements already required or permitted by existing standards. SFAS No. 157 will be effective for the Company’s fiscal year ending June 30, 2009. The Company is currently evaluating the requirements of SFAS No. 157 </w:t>
      </w:r>
      <w:r>
        <w:rPr>
          <w:sz w:val="20"/>
          <w:szCs w:val="20"/>
        </w:rPr>
        <w:t>and has not yet determined the impact on its financial condition and results of operations.</w:t>
      </w:r>
    </w:p>
    <w:p w:rsidR="00000000" w:rsidRDefault="008D0E70">
      <w:pPr>
        <w:pStyle w:val="NormalWeb"/>
      </w:pPr>
      <w:r>
        <w:rPr>
          <w:sz w:val="20"/>
          <w:szCs w:val="20"/>
        </w:rPr>
        <w:t>In September 2006, the FASB issued SFAS No. 158, “Employers’ Accounting for Defined Benefit Pension and other Postretirement Plans - an amendment of FASB Statemen</w:t>
      </w:r>
      <w:r>
        <w:rPr>
          <w:sz w:val="20"/>
          <w:szCs w:val="20"/>
        </w:rPr>
        <w:t>t No. 87, 88, 106 and 132R”. This pronouncement requires an employer to make certain recognitions, measurements, and disclosures regarding defined benefit postretirement plans. The Company does not have any defined benefit postretirement plans and SFAS No.</w:t>
      </w:r>
      <w:r>
        <w:rPr>
          <w:sz w:val="20"/>
          <w:szCs w:val="20"/>
        </w:rPr>
        <w:t xml:space="preserve"> 158 will not have any impact on its financial condition and results of operations.</w:t>
      </w:r>
    </w:p>
    <w:p w:rsidR="008D0E70" w:rsidRDefault="008D0E70">
      <w:pPr>
        <w:pStyle w:val="NormalWeb"/>
        <w:rPr>
          <w:sz w:val="20"/>
          <w:szCs w:val="20"/>
        </w:rPr>
      </w:pPr>
      <w:r>
        <w:rPr>
          <w:sz w:val="20"/>
          <w:szCs w:val="20"/>
        </w:rPr>
        <w:t>In September 2006, the Securities and Exchange Commission issued Staff Accounting Bulletin No. 108 “Considering the Effects of Prior Year Misstatements in Current Year Fin</w:t>
      </w:r>
      <w:r>
        <w:rPr>
          <w:sz w:val="20"/>
          <w:szCs w:val="20"/>
        </w:rPr>
        <w:t xml:space="preserve">ancial Statements” (“SAB 108”). SAB 108 provides guidance on consideration of the effects of prior year misstatements in quantifying current year misstatements for the purpose of a materiality assessment. SAB 108 is effective for fiscal years ending after </w:t>
      </w:r>
      <w:r>
        <w:rPr>
          <w:sz w:val="20"/>
          <w:szCs w:val="20"/>
        </w:rPr>
        <w:t>November 15, 2006. The adoption of SAB 108 did not have an impact on the Company’s consolidated financial statements.</w:t>
      </w:r>
      <w:r>
        <w:rPr>
          <w:sz w:val="20"/>
          <w:szCs w:val="20"/>
        </w:rPr>
        <w:br/>
      </w:r>
      <w:r>
        <w:rPr>
          <w:sz w:val="20"/>
          <w:szCs w:val="20"/>
        </w:rPr>
        <w:br/>
        <w:t xml:space="preserve">In February 2007, the FASB issued SFAS No 159, “The Fair Value Option for Financial Assets and Financial Liabilities” (“SFAS 159”) which </w:t>
      </w:r>
      <w:r>
        <w:rPr>
          <w:sz w:val="20"/>
          <w:szCs w:val="20"/>
        </w:rPr>
        <w:t>permits entities to choose to measure many financial instruments and certain other items at fair value that are not currently required to be measured at fair value. SFAS 159 was effective for us on July 1, 2008. The adoption of SFAS 159 did not have an imp</w:t>
      </w:r>
      <w:r>
        <w:rPr>
          <w:sz w:val="20"/>
          <w:szCs w:val="20"/>
        </w:rPr>
        <w:t>act on the Company’s consolidated financial statements.</w:t>
      </w:r>
    </w:p>
    <w:p w:rsidR="008D0E70" w:rsidRDefault="008D0E70" w:rsidP="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8D0E70" w:rsidRDefault="008D0E70" w:rsidP="008D0E70">
      <w:pPr>
        <w:rPr>
          <w:rFonts w:eastAsia="Times New Roman"/>
          <w:sz w:val="20"/>
          <w:szCs w:val="20"/>
        </w:rPr>
      </w:pPr>
      <w:r>
        <w:rPr>
          <w:rFonts w:eastAsia="Times New Roman"/>
          <w:sz w:val="20"/>
          <w:szCs w:val="20"/>
        </w:rPr>
        <w:pict>
          <v:rect id="_x0000_i1091" style="width:0;height:3pt" o:hralign="center" o:hrstd="t" o:hrnoshade="t" o:hr="t" fillcolor="black" stroked="f"/>
        </w:pict>
      </w:r>
    </w:p>
    <w:p w:rsidR="008D0E70" w:rsidRDefault="008D0E70">
      <w:pPr>
        <w:rPr>
          <w:sz w:val="20"/>
          <w:szCs w:val="20"/>
        </w:rPr>
      </w:pPr>
      <w:r>
        <w:rPr>
          <w:sz w:val="20"/>
          <w:szCs w:val="20"/>
        </w:rPr>
        <w:br w:type="page"/>
      </w:r>
    </w:p>
    <w:p w:rsidR="00000000" w:rsidRDefault="008D0E70">
      <w:pPr>
        <w:pStyle w:val="NormalWeb"/>
      </w:pPr>
      <w:r>
        <w:rPr>
          <w:b/>
          <w:bCs/>
          <w:sz w:val="20"/>
          <w:szCs w:val="20"/>
        </w:rPr>
        <w:lastRenderedPageBreak/>
        <w:t>NOTE 3 - MAJOR CUSTOMER:</w:t>
      </w:r>
    </w:p>
    <w:p w:rsidR="00000000" w:rsidRDefault="008D0E70">
      <w:pPr>
        <w:pStyle w:val="NormalWeb"/>
      </w:pPr>
      <w:r>
        <w:rPr>
          <w:sz w:val="20"/>
          <w:szCs w:val="20"/>
        </w:rPr>
        <w:t xml:space="preserve">The Company's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sales to two major customers who were non related parts. For the period ending March 31, 2013, June 30, 2012, and June 30, 2011 the major customer concentrations were as follows: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000" w:type="pct"/>
            <w:shd w:val="clear" w:color="auto" w:fill="CCFFCC"/>
            <w:vAlign w:val="center"/>
            <w:hideMark/>
          </w:tcPr>
          <w:p w:rsidR="00000000" w:rsidRDefault="008D0E70">
            <w:pPr>
              <w:rPr>
                <w:rFonts w:eastAsia="Times New Roman"/>
              </w:rPr>
            </w:pPr>
          </w:p>
        </w:tc>
        <w:tc>
          <w:tcPr>
            <w:tcW w:w="0" w:type="auto"/>
            <w:gridSpan w:val="3"/>
            <w:shd w:val="clear" w:color="auto" w:fill="CCFFCC"/>
            <w:vAlign w:val="center"/>
            <w:hideMark/>
          </w:tcPr>
          <w:p w:rsidR="00000000" w:rsidRDefault="008D0E70">
            <w:pPr>
              <w:jc w:val="center"/>
              <w:rPr>
                <w:rFonts w:eastAsia="Times New Roman"/>
              </w:rPr>
            </w:pPr>
            <w:r>
              <w:rPr>
                <w:rFonts w:eastAsia="Times New Roman"/>
                <w:b/>
                <w:bCs/>
                <w:sz w:val="20"/>
                <w:szCs w:val="20"/>
              </w:rPr>
              <w:t xml:space="preserve">Percent of Sales </w:t>
            </w:r>
            <w:r>
              <w:rPr>
                <w:rFonts w:eastAsia="Times New Roman"/>
              </w:rPr>
              <w:br/>
            </w:r>
            <w:r>
              <w:rPr>
                <w:rFonts w:eastAsia="Times New Roman"/>
                <w:b/>
                <w:bCs/>
                <w:sz w:val="20"/>
                <w:szCs w:val="20"/>
              </w:rPr>
              <w:t>for the Period ending</w:t>
            </w:r>
          </w:p>
        </w:tc>
      </w:tr>
      <w:tr w:rsidR="00000000">
        <w:trPr>
          <w:tblCellSpacing w:w="15" w:type="dxa"/>
        </w:trPr>
        <w:tc>
          <w:tcPr>
            <w:tcW w:w="0" w:type="auto"/>
            <w:shd w:val="clear" w:color="auto" w:fill="FFFFFF"/>
            <w:vAlign w:val="center"/>
            <w:hideMark/>
          </w:tcPr>
          <w:p w:rsidR="00000000" w:rsidRDefault="008D0E70">
            <w:pPr>
              <w:rPr>
                <w:rFonts w:eastAsia="Times New Roman"/>
              </w:rPr>
            </w:pPr>
          </w:p>
        </w:tc>
        <w:tc>
          <w:tcPr>
            <w:tcW w:w="1000" w:type="pct"/>
            <w:shd w:val="clear" w:color="auto" w:fill="FFFFFF"/>
            <w:vAlign w:val="center"/>
            <w:hideMark/>
          </w:tcPr>
          <w:p w:rsidR="00000000" w:rsidRDefault="008D0E70">
            <w:pPr>
              <w:jc w:val="center"/>
              <w:rPr>
                <w:rFonts w:eastAsia="Times New Roman"/>
              </w:rPr>
            </w:pPr>
            <w:r>
              <w:rPr>
                <w:rFonts w:eastAsia="Times New Roman"/>
                <w:b/>
                <w:bCs/>
              </w:rPr>
              <w:t>March 31</w:t>
            </w:r>
            <w:r>
              <w:rPr>
                <w:rFonts w:eastAsia="Times New Roman"/>
                <w:b/>
                <w:bCs/>
                <w:sz w:val="20"/>
                <w:szCs w:val="20"/>
              </w:rPr>
              <w:t>,</w:t>
            </w:r>
          </w:p>
        </w:tc>
        <w:tc>
          <w:tcPr>
            <w:tcW w:w="0" w:type="auto"/>
            <w:gridSpan w:val="2"/>
            <w:shd w:val="clear" w:color="auto" w:fill="FFFFFF"/>
            <w:vAlign w:val="center"/>
            <w:hideMark/>
          </w:tcPr>
          <w:p w:rsidR="00000000" w:rsidRDefault="008D0E70">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8D0E70">
            <w:pPr>
              <w:jc w:val="center"/>
              <w:rPr>
                <w:rFonts w:eastAsia="Times New Roman"/>
              </w:rPr>
            </w:pPr>
            <w:r>
              <w:rPr>
                <w:rFonts w:eastAsia="Times New Roman"/>
                <w:b/>
                <w:bCs/>
                <w:sz w:val="20"/>
                <w:szCs w:val="20"/>
              </w:rPr>
              <w:t>Customer</w:t>
            </w:r>
          </w:p>
        </w:tc>
        <w:tc>
          <w:tcPr>
            <w:tcW w:w="0" w:type="auto"/>
            <w:shd w:val="clear" w:color="auto" w:fill="FFFFFF"/>
            <w:vAlign w:val="center"/>
            <w:hideMark/>
          </w:tcPr>
          <w:p w:rsidR="00000000" w:rsidRDefault="008D0E70">
            <w:pPr>
              <w:jc w:val="right"/>
              <w:rPr>
                <w:rFonts w:eastAsia="Times New Roman"/>
              </w:rPr>
            </w:pPr>
            <w:r>
              <w:rPr>
                <w:rFonts w:eastAsia="Times New Roman"/>
                <w:b/>
                <w:bCs/>
                <w:sz w:val="20"/>
                <w:szCs w:val="20"/>
                <w:u w:val="single"/>
              </w:rPr>
              <w:t>2013</w:t>
            </w:r>
          </w:p>
        </w:tc>
        <w:tc>
          <w:tcPr>
            <w:tcW w:w="1000" w:type="pct"/>
            <w:shd w:val="clear" w:color="auto" w:fill="FFFFFF"/>
            <w:vAlign w:val="center"/>
            <w:hideMark/>
          </w:tcPr>
          <w:p w:rsidR="00000000" w:rsidRDefault="008D0E70">
            <w:pPr>
              <w:jc w:val="right"/>
              <w:rPr>
                <w:rFonts w:eastAsia="Times New Roman"/>
              </w:rPr>
            </w:pPr>
            <w:r>
              <w:rPr>
                <w:rFonts w:eastAsia="Times New Roman"/>
                <w:b/>
                <w:bCs/>
                <w:sz w:val="20"/>
                <w:szCs w:val="20"/>
                <w:u w:val="single"/>
              </w:rPr>
              <w:t>2012</w:t>
            </w:r>
          </w:p>
        </w:tc>
        <w:tc>
          <w:tcPr>
            <w:tcW w:w="1000" w:type="pct"/>
            <w:shd w:val="clear" w:color="auto" w:fill="FFFFFF"/>
            <w:vAlign w:val="center"/>
            <w:hideMark/>
          </w:tcPr>
          <w:p w:rsidR="00000000" w:rsidRDefault="008D0E70">
            <w:pPr>
              <w:jc w:val="right"/>
              <w:rPr>
                <w:rFonts w:eastAsia="Times New Roman"/>
              </w:rPr>
            </w:pPr>
            <w:r>
              <w:rPr>
                <w:rFonts w:eastAsia="Times New Roman"/>
                <w:b/>
                <w:bCs/>
                <w:sz w:val="20"/>
                <w:szCs w:val="20"/>
                <w:u w:val="single"/>
              </w:rPr>
              <w:t>2011</w:t>
            </w:r>
          </w:p>
        </w:tc>
      </w:tr>
      <w:tr w:rsidR="00000000">
        <w:trPr>
          <w:tblCellSpacing w:w="15" w:type="dxa"/>
        </w:trPr>
        <w:tc>
          <w:tcPr>
            <w:tcW w:w="0" w:type="auto"/>
            <w:shd w:val="clear" w:color="auto" w:fill="CCFFCC"/>
            <w:vAlign w:val="center"/>
            <w:hideMark/>
          </w:tcPr>
          <w:p w:rsidR="00000000" w:rsidRDefault="008D0E70">
            <w:pPr>
              <w:jc w:val="center"/>
              <w:rPr>
                <w:rFonts w:eastAsia="Times New Roman"/>
              </w:rPr>
            </w:pPr>
            <w:r>
              <w:rPr>
                <w:rFonts w:eastAsia="Times New Roman"/>
                <w:sz w:val="20"/>
                <w:szCs w:val="20"/>
              </w:rPr>
              <w:t>A</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100%</w:t>
            </w:r>
          </w:p>
        </w:tc>
      </w:tr>
      <w:tr w:rsidR="00000000">
        <w:trPr>
          <w:tblCellSpacing w:w="15" w:type="dxa"/>
        </w:trPr>
        <w:tc>
          <w:tcPr>
            <w:tcW w:w="0" w:type="auto"/>
            <w:shd w:val="clear" w:color="auto" w:fill="FFFFFF"/>
            <w:vAlign w:val="center"/>
            <w:hideMark/>
          </w:tcPr>
          <w:p w:rsidR="00000000" w:rsidRDefault="008D0E70">
            <w:pPr>
              <w:jc w:val="center"/>
              <w:rPr>
                <w:rFonts w:eastAsia="Times New Roman"/>
              </w:rPr>
            </w:pPr>
            <w:r>
              <w:rPr>
                <w:rFonts w:eastAsia="Times New Roman"/>
                <w:sz w:val="20"/>
                <w:szCs w:val="20"/>
              </w:rPr>
              <w:t>B</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8D0E70">
            <w:pPr>
              <w:jc w:val="right"/>
              <w:rPr>
                <w:rFonts w:eastAsia="Times New Roman"/>
              </w:rPr>
            </w:pPr>
            <w:r>
              <w:rPr>
                <w:rFonts w:eastAsia="Times New Roman"/>
                <w:sz w:val="20"/>
                <w:szCs w:val="20"/>
              </w:rPr>
              <w:t>0%</w:t>
            </w:r>
          </w:p>
        </w:tc>
      </w:tr>
      <w:tr w:rsidR="00000000">
        <w:trPr>
          <w:tblCellSpacing w:w="15" w:type="dxa"/>
        </w:trPr>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1" style="width:0;height:1.5pt" o:hralign="center" o:hrstd="t" o:hr="t" fillcolor="#aca899" stroked="f"/>
              </w:pict>
            </w:r>
          </w:p>
        </w:tc>
        <w:tc>
          <w:tcPr>
            <w:tcW w:w="0" w:type="auto"/>
            <w:shd w:val="clear" w:color="auto" w:fill="CCFFCC"/>
            <w:vAlign w:val="center"/>
            <w:hideMark/>
          </w:tcPr>
          <w:p w:rsidR="00000000" w:rsidRDefault="000D47D3">
            <w:pPr>
              <w:rPr>
                <w:rFonts w:eastAsia="Times New Roman"/>
              </w:rPr>
            </w:pPr>
            <w:r>
              <w:rPr>
                <w:rFonts w:eastAsia="Times New Roman"/>
              </w:rPr>
              <w:pict>
                <v:rect id="_x0000_i1042" style="width:0;height:1.5pt" o:hralign="center" o:hrstd="t" o:hr="t" fillcolor="#aca899" stroked="f"/>
              </w:pict>
            </w:r>
          </w:p>
        </w:tc>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3" style="width:0;height:1.5pt" o:hralign="center" o:hrstd="t" o:hr="t" fillcolor="#aca899" stroked="f"/>
              </w:pict>
            </w:r>
          </w:p>
        </w:tc>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4" style="width:0;height:1.5pt" o:hralign="center" o:hrstd="t" o:hr="t" fillcolor="#aca899" stroked="f"/>
              </w:pict>
            </w:r>
          </w:p>
        </w:tc>
      </w:tr>
      <w:tr w:rsidR="00000000">
        <w:trPr>
          <w:tblCellSpacing w:w="15" w:type="dxa"/>
        </w:trPr>
        <w:tc>
          <w:tcPr>
            <w:tcW w:w="0" w:type="auto"/>
            <w:shd w:val="clear" w:color="auto" w:fill="FFFFFF"/>
            <w:vAlign w:val="center"/>
            <w:hideMark/>
          </w:tcPr>
          <w:p w:rsidR="00000000" w:rsidRDefault="008D0E70">
            <w:pPr>
              <w:jc w:val="right"/>
              <w:rPr>
                <w:rFonts w:eastAsia="Times New Roman"/>
              </w:rPr>
            </w:pPr>
            <w:r>
              <w:rPr>
                <w:rFonts w:eastAsia="Times New Roman"/>
                <w:b/>
                <w:bCs/>
                <w:sz w:val="20"/>
                <w:szCs w:val="20"/>
              </w:rPr>
              <w:t>Total Sales from Major Customers</w:t>
            </w:r>
          </w:p>
        </w:tc>
        <w:tc>
          <w:tcPr>
            <w:tcW w:w="0" w:type="auto"/>
            <w:shd w:val="clear" w:color="auto" w:fill="FFFFFF"/>
            <w:vAlign w:val="center"/>
            <w:hideMark/>
          </w:tcPr>
          <w:p w:rsidR="00000000" w:rsidRDefault="008D0E70">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8D0E70">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8D0E70">
            <w:pPr>
              <w:jc w:val="right"/>
              <w:rPr>
                <w:rFonts w:eastAsia="Times New Roman"/>
              </w:rPr>
            </w:pPr>
            <w:r>
              <w:rPr>
                <w:rFonts w:eastAsia="Times New Roman"/>
                <w:b/>
                <w:bCs/>
                <w:sz w:val="20"/>
                <w:szCs w:val="20"/>
              </w:rPr>
              <w:t>100%</w:t>
            </w:r>
          </w:p>
        </w:tc>
      </w:tr>
    </w:tbl>
    <w:p w:rsidR="00000000" w:rsidRDefault="008D0E70">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000000" w:rsidRDefault="008D0E70">
      <w:pPr>
        <w:rPr>
          <w:rFonts w:eastAsia="Times New Roman"/>
        </w:rPr>
      </w:pPr>
      <w:r>
        <w:rPr>
          <w:rFonts w:eastAsia="Times New Roman"/>
          <w:sz w:val="20"/>
          <w:szCs w:val="20"/>
        </w:rPr>
        <w:t>The Land owned by the Company's wholly owned subsidiary constitutes the largest asset of the Company. During the period ending March 31, 2013 the Company recorded no change in the value of the Land. The value of the Land of the Company was as follows:</w:t>
      </w:r>
      <w:r>
        <w:rPr>
          <w:rFonts w:eastAsia="Times New Roman"/>
        </w:rPr>
        <w:t xml:space="preserve">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500" w:type="pct"/>
            <w:shd w:val="clear" w:color="auto" w:fill="CCFFCC"/>
            <w:vAlign w:val="center"/>
            <w:hideMark/>
          </w:tcPr>
          <w:p w:rsidR="00000000" w:rsidRDefault="008D0E70">
            <w:pPr>
              <w:rPr>
                <w:rFonts w:eastAsia="Times New Roman"/>
              </w:rPr>
            </w:pPr>
          </w:p>
        </w:tc>
        <w:tc>
          <w:tcPr>
            <w:tcW w:w="0" w:type="auto"/>
            <w:gridSpan w:val="3"/>
            <w:shd w:val="clear" w:color="auto" w:fill="CCFFCC"/>
            <w:vAlign w:val="center"/>
            <w:hideMark/>
          </w:tcPr>
          <w:p w:rsidR="00000000" w:rsidRDefault="008D0E70">
            <w:pPr>
              <w:jc w:val="center"/>
              <w:rPr>
                <w:rFonts w:eastAsia="Times New Roman"/>
              </w:rPr>
            </w:pPr>
            <w:r>
              <w:rPr>
                <w:rFonts w:eastAsia="Times New Roman"/>
                <w:b/>
                <w:bCs/>
                <w:sz w:val="20"/>
                <w:szCs w:val="20"/>
              </w:rPr>
              <w:t>Value of Land,</w:t>
            </w:r>
          </w:p>
        </w:tc>
      </w:tr>
      <w:tr w:rsidR="00000000">
        <w:trPr>
          <w:tblCellSpacing w:w="15" w:type="dxa"/>
        </w:trPr>
        <w:tc>
          <w:tcPr>
            <w:tcW w:w="2500" w:type="pct"/>
            <w:shd w:val="clear" w:color="auto" w:fill="CCFFCC"/>
            <w:vAlign w:val="center"/>
            <w:hideMark/>
          </w:tcPr>
          <w:p w:rsidR="00000000" w:rsidRDefault="008D0E70">
            <w:pPr>
              <w:rPr>
                <w:rFonts w:eastAsia="Times New Roman"/>
              </w:rPr>
            </w:pPr>
          </w:p>
        </w:tc>
        <w:tc>
          <w:tcPr>
            <w:tcW w:w="0" w:type="auto"/>
            <w:shd w:val="clear" w:color="auto" w:fill="CCFFCC"/>
            <w:vAlign w:val="center"/>
            <w:hideMark/>
          </w:tcPr>
          <w:p w:rsidR="00000000" w:rsidRDefault="008D0E70">
            <w:pPr>
              <w:rPr>
                <w:rFonts w:eastAsia="Times New Roman"/>
              </w:rPr>
            </w:pPr>
          </w:p>
        </w:tc>
        <w:tc>
          <w:tcPr>
            <w:tcW w:w="0" w:type="auto"/>
            <w:gridSpan w:val="2"/>
            <w:shd w:val="clear" w:color="auto" w:fill="CCFFCC"/>
            <w:vAlign w:val="center"/>
            <w:hideMark/>
          </w:tcPr>
          <w:p w:rsidR="00000000" w:rsidRDefault="008D0E70">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8D0E70">
            <w:pPr>
              <w:rPr>
                <w:rFonts w:eastAsia="Times New Roman"/>
              </w:rPr>
            </w:pPr>
          </w:p>
        </w:tc>
        <w:tc>
          <w:tcPr>
            <w:tcW w:w="1000" w:type="pct"/>
            <w:shd w:val="clear" w:color="auto" w:fill="FFFFFF"/>
            <w:vAlign w:val="center"/>
            <w:hideMark/>
          </w:tcPr>
          <w:p w:rsidR="00000000" w:rsidRDefault="008D0E70">
            <w:pPr>
              <w:jc w:val="center"/>
              <w:rPr>
                <w:rFonts w:eastAsia="Times New Roman"/>
              </w:rPr>
            </w:pPr>
            <w:r>
              <w:rPr>
                <w:rFonts w:eastAsia="Times New Roman"/>
                <w:b/>
                <w:bCs/>
                <w:sz w:val="20"/>
                <w:szCs w:val="20"/>
              </w:rPr>
              <w:t>March 31, 2013</w:t>
            </w:r>
          </w:p>
        </w:tc>
        <w:tc>
          <w:tcPr>
            <w:tcW w:w="0" w:type="auto"/>
            <w:shd w:val="clear" w:color="auto" w:fill="FFFFFF"/>
            <w:vAlign w:val="center"/>
            <w:hideMark/>
          </w:tcPr>
          <w:p w:rsidR="00000000" w:rsidRDefault="008D0E70">
            <w:pPr>
              <w:jc w:val="center"/>
              <w:rPr>
                <w:rFonts w:eastAsia="Times New Roman"/>
              </w:rPr>
            </w:pPr>
            <w:r>
              <w:rPr>
                <w:rFonts w:eastAsia="Times New Roman"/>
                <w:b/>
                <w:bCs/>
                <w:sz w:val="20"/>
                <w:szCs w:val="20"/>
                <w:u w:val="single"/>
              </w:rPr>
              <w:t>2012</w:t>
            </w:r>
          </w:p>
        </w:tc>
        <w:tc>
          <w:tcPr>
            <w:tcW w:w="0" w:type="auto"/>
            <w:shd w:val="clear" w:color="auto" w:fill="FFFFFF"/>
            <w:vAlign w:val="center"/>
            <w:hideMark/>
          </w:tcPr>
          <w:p w:rsidR="00000000" w:rsidRDefault="008D0E70">
            <w:pPr>
              <w:jc w:val="center"/>
              <w:rPr>
                <w:rFonts w:eastAsia="Times New Roman"/>
              </w:rPr>
            </w:pPr>
            <w:r>
              <w:rPr>
                <w:rFonts w:eastAsia="Times New Roman"/>
                <w:b/>
                <w:bCs/>
                <w:sz w:val="20"/>
                <w:szCs w:val="20"/>
                <w:u w:val="single"/>
              </w:rPr>
              <w:t>2011</w:t>
            </w:r>
          </w:p>
        </w:tc>
      </w:tr>
      <w:tr w:rsidR="00000000">
        <w:trPr>
          <w:tblCellSpacing w:w="15" w:type="dxa"/>
        </w:trPr>
        <w:tc>
          <w:tcPr>
            <w:tcW w:w="0" w:type="auto"/>
            <w:shd w:val="clear" w:color="auto" w:fill="CCFFCC"/>
            <w:vAlign w:val="center"/>
            <w:hideMark/>
          </w:tcPr>
          <w:p w:rsidR="00000000" w:rsidRDefault="008D0E70">
            <w:pPr>
              <w:jc w:val="center"/>
              <w:rPr>
                <w:rFonts w:eastAsia="Times New Roman"/>
              </w:rPr>
            </w:pPr>
            <w:r>
              <w:rPr>
                <w:rFonts w:eastAsia="Times New Roman"/>
                <w:sz w:val="20"/>
                <w:szCs w:val="20"/>
              </w:rPr>
              <w:t>US Dollars</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$559,322</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$559,322</w:t>
            </w:r>
          </w:p>
        </w:tc>
        <w:tc>
          <w:tcPr>
            <w:tcW w:w="0" w:type="auto"/>
            <w:shd w:val="clear" w:color="auto" w:fill="CCFFCC"/>
            <w:vAlign w:val="center"/>
            <w:hideMark/>
          </w:tcPr>
          <w:p w:rsidR="00000000" w:rsidRDefault="008D0E70">
            <w:pPr>
              <w:jc w:val="right"/>
              <w:rPr>
                <w:rFonts w:eastAsia="Times New Roman"/>
              </w:rPr>
            </w:pPr>
            <w:r>
              <w:rPr>
                <w:rFonts w:eastAsia="Times New Roman"/>
                <w:sz w:val="20"/>
                <w:szCs w:val="20"/>
              </w:rPr>
              <w:t>$622,642</w:t>
            </w:r>
          </w:p>
        </w:tc>
      </w:tr>
      <w:tr w:rsidR="00000000">
        <w:trPr>
          <w:tblCellSpacing w:w="15" w:type="dxa"/>
        </w:trPr>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5" style="width:0;height:1.5pt" o:hralign="center" o:hrstd="t" o:hr="t" fillcolor="#aca899" stroked="f"/>
              </w:pict>
            </w:r>
          </w:p>
        </w:tc>
        <w:tc>
          <w:tcPr>
            <w:tcW w:w="0" w:type="auto"/>
            <w:shd w:val="clear" w:color="auto" w:fill="CCFFCC"/>
            <w:vAlign w:val="center"/>
            <w:hideMark/>
          </w:tcPr>
          <w:p w:rsidR="00000000" w:rsidRDefault="000D47D3">
            <w:pPr>
              <w:rPr>
                <w:rFonts w:eastAsia="Times New Roman"/>
              </w:rPr>
            </w:pPr>
            <w:r>
              <w:rPr>
                <w:rFonts w:eastAsia="Times New Roman"/>
              </w:rPr>
              <w:pict>
                <v:rect id="_x0000_i1046" style="width:0;height:1.5pt" o:hralign="center" o:hrstd="t" o:hr="t" fillcolor="#aca899" stroked="f"/>
              </w:pict>
            </w:r>
          </w:p>
        </w:tc>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7" style="width:0;height:1.5pt" o:hralign="center" o:hrstd="t" o:hr="t" fillcolor="#aca899" stroked="f"/>
              </w:pict>
            </w:r>
          </w:p>
        </w:tc>
        <w:tc>
          <w:tcPr>
            <w:tcW w:w="0" w:type="auto"/>
            <w:shd w:val="clear" w:color="auto" w:fill="CCFFCC"/>
            <w:vAlign w:val="center"/>
            <w:hideMark/>
          </w:tcPr>
          <w:p w:rsidR="00000000" w:rsidRDefault="000D47D3">
            <w:pPr>
              <w:jc w:val="right"/>
              <w:rPr>
                <w:rFonts w:eastAsia="Times New Roman"/>
                <w:sz w:val="20"/>
                <w:szCs w:val="20"/>
              </w:rPr>
            </w:pPr>
            <w:r>
              <w:rPr>
                <w:rFonts w:eastAsia="Times New Roman"/>
                <w:sz w:val="20"/>
                <w:szCs w:val="20"/>
              </w:rPr>
              <w:pict>
                <v:rect id="_x0000_i1048" style="width:0;height:1.5pt" o:hralign="center" o:hrstd="t" o:hr="t" fillcolor="#aca899" stroked="f"/>
              </w:pict>
            </w:r>
          </w:p>
        </w:tc>
      </w:tr>
    </w:tbl>
    <w:p w:rsidR="00000000" w:rsidRDefault="008D0E70">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Pr>
          <w:sz w:val="20"/>
          <w:szCs w:val="20"/>
        </w:rPr>
        <w:t xml:space="preserve">The Company purchased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w:t>
      </w:r>
      <w:r>
        <w:rPr>
          <w:sz w:val="20"/>
          <w:szCs w:val="20"/>
        </w:rPr>
        <w:t xml:space="preserve">ficer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t>
      </w:r>
      <w:proofErr w:type="spellStart"/>
      <w:r>
        <w:rPr>
          <w:sz w:val="20"/>
          <w:szCs w:val="20"/>
        </w:rPr>
        <w:t>Aage</w:t>
      </w:r>
      <w:proofErr w:type="spellEnd"/>
      <w:r>
        <w:rPr>
          <w:sz w:val="20"/>
          <w:szCs w:val="20"/>
        </w:rPr>
        <w:t xml:space="preserve"> Madsen was a director of Anton Nielsen </w:t>
      </w:r>
      <w:proofErr w:type="spellStart"/>
      <w:r>
        <w:rPr>
          <w:sz w:val="20"/>
          <w:szCs w:val="20"/>
        </w:rPr>
        <w:t>Vojens</w:t>
      </w:r>
      <w:proofErr w:type="spellEnd"/>
      <w:r>
        <w:rPr>
          <w:sz w:val="20"/>
          <w:szCs w:val="20"/>
        </w:rPr>
        <w:t xml:space="preserve">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long term de</w:t>
      </w:r>
      <w:r>
        <w:rPr>
          <w:sz w:val="20"/>
          <w:szCs w:val="20"/>
        </w:rPr>
        <w:t xml:space="preserve">bt to </w:t>
      </w:r>
      <w:proofErr w:type="spellStart"/>
      <w:r>
        <w:rPr>
          <w:sz w:val="20"/>
          <w:szCs w:val="20"/>
        </w:rPr>
        <w:t>Borkwood</w:t>
      </w:r>
      <w:proofErr w:type="spellEnd"/>
      <w:r>
        <w:rPr>
          <w:sz w:val="20"/>
          <w:szCs w:val="20"/>
        </w:rPr>
        <w:t xml:space="preserve"> Development LTD at March 31, 2013 was $</w:t>
      </w:r>
      <w:proofErr w:type="gramStart"/>
      <w:r>
        <w:rPr>
          <w:sz w:val="20"/>
          <w:szCs w:val="20"/>
        </w:rPr>
        <w:t>122,726 .</w:t>
      </w:r>
      <w:proofErr w:type="gramEnd"/>
    </w:p>
    <w:p w:rsidR="00000000" w:rsidRDefault="008D0E70">
      <w:pPr>
        <w:pStyle w:val="NormalWeb"/>
      </w:pPr>
      <w:r>
        <w:rPr>
          <w:b/>
          <w:bCs/>
          <w:sz w:val="20"/>
          <w:szCs w:val="20"/>
        </w:rPr>
        <w:t>NOTE 6 - COMMITMENTS AND CONTINGENCIES:</w:t>
      </w:r>
    </w:p>
    <w:p w:rsidR="00000000" w:rsidRDefault="008D0E70">
      <w:pPr>
        <w:pStyle w:val="NormalWeb"/>
      </w:pPr>
      <w:r>
        <w:rPr>
          <w:i/>
          <w:iCs/>
          <w:sz w:val="20"/>
          <w:szCs w:val="20"/>
        </w:rPr>
        <w:t>Commitments</w:t>
      </w:r>
      <w:r>
        <w:rPr>
          <w:sz w:val="20"/>
          <w:szCs w:val="20"/>
        </w:rPr>
        <w:t>:</w:t>
      </w:r>
    </w:p>
    <w:p w:rsidR="00000000" w:rsidRDefault="008D0E70">
      <w:pPr>
        <w:pStyle w:val="NormalWeb"/>
      </w:pPr>
      <w:r>
        <w:rPr>
          <w:sz w:val="20"/>
          <w:szCs w:val="20"/>
        </w:rPr>
        <w:t>The Company has issued a promissory note ("Note"</w:t>
      </w:r>
      <w:r>
        <w:rPr>
          <w:sz w:val="20"/>
          <w:szCs w:val="20"/>
        </w:rPr>
        <w:t xml:space="preserve">) for $650,000, payable to the </w:t>
      </w:r>
      <w:proofErr w:type="spellStart"/>
      <w:r>
        <w:rPr>
          <w:sz w:val="20"/>
          <w:szCs w:val="20"/>
        </w:rPr>
        <w:t>Borkwood</w:t>
      </w:r>
      <w:proofErr w:type="spellEnd"/>
      <w:r>
        <w:rPr>
          <w:sz w:val="20"/>
          <w:szCs w:val="20"/>
        </w:rPr>
        <w:t xml:space="preserve"> Development Ltd, a previous shareholder of the Company ("Seller"), payable and amortized monthly and carrying </w:t>
      </w:r>
      <w:proofErr w:type="gramStart"/>
      <w:r>
        <w:rPr>
          <w:sz w:val="20"/>
          <w:szCs w:val="20"/>
        </w:rPr>
        <w:t>a</w:t>
      </w:r>
      <w:proofErr w:type="gramEnd"/>
      <w:r>
        <w:rPr>
          <w:sz w:val="20"/>
          <w:szCs w:val="20"/>
        </w:rPr>
        <w:t xml:space="preserve"> interest at 5% per year. The Company has the right to prepay the note at any time with a notice of 14 da</w:t>
      </w:r>
      <w:r>
        <w:rPr>
          <w:sz w:val="20"/>
          <w:szCs w:val="20"/>
        </w:rPr>
        <w:t xml:space="preserve">ys. To secure the payment of principal and interest the Sellers will receive a perfect lien and security interest in the Shares in the company ANV until the note with accrued interest is paid in full., and, 2) In the case that the Note has not been repaid </w:t>
      </w:r>
      <w:r>
        <w:rPr>
          <w:sz w:val="20"/>
          <w:szCs w:val="20"/>
        </w:rPr>
        <w:t xml:space="preserve">within 12 months from the day of closing the Sellers have the right to convert the debt to common stock of Advanced Oxygen Technologies, Inc. in an amount of non diluted shares calculated on the conversion Date, equal to the lesser of : a) Six hundred and </w:t>
      </w:r>
      <w:r>
        <w:rPr>
          <w:sz w:val="20"/>
          <w:szCs w:val="20"/>
        </w:rPr>
        <w:t xml:space="preserve">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w:t>
      </w:r>
      <w:r>
        <w:rPr>
          <w:sz w:val="20"/>
          <w:szCs w:val="20"/>
        </w:rPr>
        <w:t>er. The Note has been extended until July 1, 2013 and interest waived through the period ending June 30, 2012.</w:t>
      </w:r>
    </w:p>
    <w:p w:rsidR="00000000" w:rsidRDefault="008D0E70">
      <w:pPr>
        <w:pStyle w:val="NormalWeb"/>
      </w:pPr>
      <w:r>
        <w:rPr>
          <w:sz w:val="20"/>
          <w:szCs w:val="20"/>
        </w:rPr>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The original amount of the note was </w:t>
      </w:r>
      <w:proofErr w:type="spellStart"/>
      <w:r>
        <w:rPr>
          <w:sz w:val="20"/>
          <w:szCs w:val="20"/>
        </w:rPr>
        <w:t>kr</w:t>
      </w:r>
      <w:proofErr w:type="spellEnd"/>
      <w:r>
        <w:rPr>
          <w:sz w:val="20"/>
          <w:szCs w:val="20"/>
        </w:rPr>
        <w:t xml:space="preserve"> 750,000 D</w:t>
      </w:r>
      <w:r>
        <w:rPr>
          <w:sz w:val="20"/>
          <w:szCs w:val="20"/>
        </w:rPr>
        <w:t xml:space="preserve">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xml:space="preserve">). The note is unsecured and uncollateralized, with a 7.00% interest rate and </w:t>
      </w:r>
      <w:proofErr w:type="gramStart"/>
      <w:r>
        <w:rPr>
          <w:sz w:val="20"/>
          <w:szCs w:val="20"/>
        </w:rPr>
        <w:t>a 7</w:t>
      </w:r>
      <w:proofErr w:type="gramEnd"/>
      <w:r>
        <w:rPr>
          <w:sz w:val="20"/>
          <w:szCs w:val="20"/>
        </w:rPr>
        <w:t xml:space="preserve"> years left on the term. The balances on the note as of March 31, 2013 and March 31, 2012 were $54,953 and $71,397 respectively and the yearly payments are fixe</w:t>
      </w:r>
      <w:r>
        <w:rPr>
          <w:sz w:val="20"/>
          <w:szCs w:val="20"/>
        </w:rPr>
        <w:t xml:space="preserve">d at </w:t>
      </w:r>
      <w:proofErr w:type="spellStart"/>
      <w:r>
        <w:rPr>
          <w:sz w:val="20"/>
          <w:szCs w:val="20"/>
        </w:rPr>
        <w:t>kr</w:t>
      </w:r>
      <w:proofErr w:type="spellEnd"/>
      <w:r>
        <w:rPr>
          <w:sz w:val="20"/>
          <w:szCs w:val="20"/>
        </w:rPr>
        <w:t xml:space="preserve"> 75,000.</w:t>
      </w:r>
    </w:p>
    <w:p w:rsidR="008D0E70" w:rsidRDefault="008D0E70" w:rsidP="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8D0E70" w:rsidRDefault="008D0E70" w:rsidP="008D0E70">
      <w:pPr>
        <w:rPr>
          <w:rFonts w:eastAsia="Times New Roman"/>
          <w:sz w:val="20"/>
          <w:szCs w:val="20"/>
        </w:rPr>
      </w:pPr>
      <w:r>
        <w:rPr>
          <w:rFonts w:eastAsia="Times New Roman"/>
          <w:sz w:val="20"/>
          <w:szCs w:val="20"/>
        </w:rPr>
        <w:pict>
          <v:rect id="_x0000_i1092" style="width:0;height:3pt" o:hralign="center" o:hrstd="t" o:hrnoshade="t" o:hr="t" fillcolor="black" stroked="f"/>
        </w:pict>
      </w:r>
    </w:p>
    <w:p w:rsidR="008D0E70" w:rsidRDefault="008D0E70">
      <w:pPr>
        <w:rPr>
          <w:b/>
          <w:bCs/>
          <w:sz w:val="20"/>
          <w:szCs w:val="20"/>
        </w:rPr>
      </w:pPr>
      <w:r>
        <w:rPr>
          <w:b/>
          <w:bCs/>
          <w:sz w:val="20"/>
          <w:szCs w:val="20"/>
        </w:rPr>
        <w:br w:type="page"/>
      </w:r>
    </w:p>
    <w:p w:rsidR="00000000" w:rsidRDefault="008D0E70">
      <w:pPr>
        <w:pStyle w:val="NormalWeb"/>
      </w:pPr>
      <w:r>
        <w:rPr>
          <w:b/>
          <w:bCs/>
          <w:sz w:val="20"/>
          <w:szCs w:val="20"/>
        </w:rPr>
        <w:lastRenderedPageBreak/>
        <w:t>NOTE 7 - DUE TO AFFILIATE</w:t>
      </w:r>
    </w:p>
    <w:p w:rsidR="00000000" w:rsidRDefault="008D0E70">
      <w:pPr>
        <w:pStyle w:val="NormalWeb"/>
      </w:pPr>
      <w:r>
        <w:rPr>
          <w:i/>
          <w:iCs/>
          <w:sz w:val="20"/>
          <w:szCs w:val="20"/>
        </w:rPr>
        <w:t>Due to affiliate consisted of:</w:t>
      </w:r>
      <w:r>
        <w:rPr>
          <w:sz w:val="20"/>
          <w:szCs w:val="20"/>
        </w:rPr>
        <w:t xml:space="preserve"> Advances payable to </w:t>
      </w:r>
      <w:proofErr w:type="spellStart"/>
      <w:r>
        <w:rPr>
          <w:sz w:val="20"/>
          <w:szCs w:val="20"/>
        </w:rPr>
        <w:t>Crossfields</w:t>
      </w:r>
      <w:proofErr w:type="spellEnd"/>
      <w:r>
        <w:rPr>
          <w:sz w:val="20"/>
          <w:szCs w:val="20"/>
        </w:rPr>
        <w:t>, Inc., a related party, which are not collateralized, non-interest bearing, and payable upon demand, however, the Company did not expect to make payme</w:t>
      </w:r>
      <w:r>
        <w:rPr>
          <w:sz w:val="20"/>
          <w:szCs w:val="20"/>
        </w:rPr>
        <w:t>nt within one year. During the 3 month period ended March 31, 2013 and 2012 the Company had borrowed $0 and had balances of $ 42243 and $38,793 respectively, from affiliates and officers to meet expenses. The balances were not collateralized, were non-inte</w:t>
      </w:r>
      <w:r>
        <w:rPr>
          <w:sz w:val="20"/>
          <w:szCs w:val="20"/>
        </w:rPr>
        <w:t xml:space="preserve">rest bearing and were payable on demand. </w:t>
      </w:r>
    </w:p>
    <w:p w:rsidR="00000000" w:rsidRDefault="008D0E70">
      <w:pPr>
        <w:pStyle w:val="NormalWeb"/>
      </w:pPr>
      <w:r>
        <w:rPr>
          <w:b/>
          <w:bCs/>
          <w:sz w:val="20"/>
          <w:szCs w:val="20"/>
        </w:rPr>
        <w:t>NOTE 8 - INCOME TAXES</w:t>
      </w:r>
      <w:r>
        <w:rPr>
          <w:sz w:val="20"/>
          <w:szCs w:val="20"/>
        </w:rPr>
        <w:br/>
      </w:r>
      <w:r>
        <w:rPr>
          <w:sz w:val="20"/>
          <w:szCs w:val="20"/>
        </w:rPr>
        <w:br/>
      </w:r>
      <w:proofErr w:type="gramStart"/>
      <w:r>
        <w:rPr>
          <w:sz w:val="20"/>
          <w:szCs w:val="20"/>
        </w:rPr>
        <w:t>As</w:t>
      </w:r>
      <w:proofErr w:type="gramEnd"/>
      <w:r>
        <w:rPr>
          <w:sz w:val="20"/>
          <w:szCs w:val="20"/>
        </w:rPr>
        <w:t xml:space="preserve"> of March 31, 2013, </w:t>
      </w:r>
    </w:p>
    <w:p w:rsidR="00000000" w:rsidRDefault="008D0E70">
      <w:pPr>
        <w:spacing w:after="240"/>
        <w:rPr>
          <w:rFonts w:eastAsia="Times New Roman"/>
          <w:sz w:val="20"/>
          <w:szCs w:val="20"/>
        </w:rPr>
      </w:pPr>
      <w:proofErr w:type="gramStart"/>
      <w:r>
        <w:rPr>
          <w:rFonts w:eastAsia="Times New Roman"/>
          <w:sz w:val="20"/>
          <w:szCs w:val="20"/>
        </w:rPr>
        <w:t>the</w:t>
      </w:r>
      <w:proofErr w:type="gramEnd"/>
      <w:r>
        <w:rPr>
          <w:rFonts w:eastAsia="Times New Roman"/>
          <w:sz w:val="20"/>
          <w:szCs w:val="20"/>
        </w:rPr>
        <w:t xml:space="preserve"> Company had federal and state net operating loss </w:t>
      </w:r>
      <w:proofErr w:type="spellStart"/>
      <w:r>
        <w:rPr>
          <w:rFonts w:eastAsia="Times New Roman"/>
          <w:sz w:val="20"/>
          <w:szCs w:val="20"/>
        </w:rPr>
        <w:t>carryforwards</w:t>
      </w:r>
      <w:proofErr w:type="spellEnd"/>
      <w:r>
        <w:rPr>
          <w:rFonts w:eastAsia="Times New Roman"/>
          <w:sz w:val="20"/>
          <w:szCs w:val="20"/>
        </w:rPr>
        <w:t xml:space="preserve"> of approximately $12,400,000 of which approximately $1,160,000 may be utilized to offset future taxab</w:t>
      </w:r>
      <w:r>
        <w:rPr>
          <w:rFonts w:eastAsia="Times New Roman"/>
          <w:sz w:val="20"/>
          <w:szCs w:val="20"/>
        </w:rPr>
        <w:t xml:space="preserve">le income. Section 382 of the Internal Revenue Code imposes substantial restrictions on the utilization of net operating loss and tax credit </w:t>
      </w:r>
      <w:proofErr w:type="spellStart"/>
      <w:r>
        <w:rPr>
          <w:rFonts w:eastAsia="Times New Roman"/>
          <w:sz w:val="20"/>
          <w:szCs w:val="20"/>
        </w:rPr>
        <w:t>carryforwards</w:t>
      </w:r>
      <w:proofErr w:type="spellEnd"/>
      <w:r>
        <w:rPr>
          <w:rFonts w:eastAsia="Times New Roman"/>
          <w:sz w:val="20"/>
          <w:szCs w:val="20"/>
        </w:rPr>
        <w:t xml:space="preserve"> when a change in ownership occurs. No deferred tax debits have been recorded because it is considered</w:t>
      </w:r>
      <w:r>
        <w:rPr>
          <w:rFonts w:eastAsia="Times New Roman"/>
          <w:sz w:val="20"/>
          <w:szCs w:val="20"/>
        </w:rPr>
        <w:t xml:space="preserve"> unlikely that they will be realized. The loss </w:t>
      </w:r>
      <w:proofErr w:type="spellStart"/>
      <w:r>
        <w:rPr>
          <w:rFonts w:eastAsia="Times New Roman"/>
          <w:sz w:val="20"/>
          <w:szCs w:val="20"/>
        </w:rPr>
        <w:t>carryforwards</w:t>
      </w:r>
      <w:proofErr w:type="spellEnd"/>
      <w:r>
        <w:rPr>
          <w:rFonts w:eastAsia="Times New Roman"/>
          <w:sz w:val="20"/>
          <w:szCs w:val="20"/>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rPr>
                <w:rFonts w:eastAsia="Times New Roman"/>
              </w:rPr>
            </w:pPr>
            <w:r>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jc w:val="right"/>
              <w:rPr>
                <w:rFonts w:eastAsia="Times New Roman"/>
              </w:rPr>
            </w:pPr>
            <w:r>
              <w:rPr>
                <w:rFonts w:eastAsia="Times New Roman"/>
                <w:sz w:val="20"/>
                <w:szCs w:val="20"/>
              </w:rPr>
              <w:t>Amount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jc w:val="right"/>
              <w:rPr>
                <w:rFonts w:eastAsia="Times New Roman"/>
              </w:rPr>
            </w:pPr>
            <w:r>
              <w:rPr>
                <w:rFonts w:eastAsia="Times New Roman"/>
                <w:sz w:val="20"/>
                <w:szCs w:val="20"/>
              </w:rPr>
              <w:t>236,000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8D0E70">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8D0E70">
            <w:pPr>
              <w:jc w:val="right"/>
              <w:rPr>
                <w:rFonts w:eastAsia="Times New Roman"/>
              </w:rPr>
            </w:pPr>
            <w:r>
              <w:rPr>
                <w:rFonts w:eastAsia="Times New Roman"/>
                <w:sz w:val="20"/>
                <w:szCs w:val="20"/>
              </w:rPr>
              <w:t>548,000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jc w:val="right"/>
              <w:rPr>
                <w:rFonts w:eastAsia="Times New Roman"/>
              </w:rPr>
            </w:pPr>
            <w:r>
              <w:rPr>
                <w:rFonts w:eastAsia="Times New Roman"/>
                <w:sz w:val="20"/>
                <w:szCs w:val="20"/>
              </w:rPr>
              <w:t>351,000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8D0E70">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8D0E70">
            <w:pPr>
              <w:jc w:val="right"/>
              <w:rPr>
                <w:rFonts w:eastAsia="Times New Roman"/>
              </w:rPr>
            </w:pPr>
            <w:r>
              <w:rPr>
                <w:rFonts w:eastAsia="Times New Roman"/>
                <w:sz w:val="20"/>
                <w:szCs w:val="20"/>
                <w:u w:val="single"/>
              </w:rPr>
              <w:t>29,000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8D0E70">
            <w:pPr>
              <w:jc w:val="right"/>
              <w:rPr>
                <w:rFonts w:eastAsia="Times New Roman"/>
              </w:rPr>
            </w:pPr>
            <w:r>
              <w:rPr>
                <w:rFonts w:eastAsia="Times New Roman"/>
                <w:sz w:val="20"/>
                <w:szCs w:val="20"/>
              </w:rPr>
              <w:t>$ 1,164,000</w:t>
            </w:r>
          </w:p>
        </w:tc>
      </w:tr>
    </w:tbl>
    <w:p w:rsidR="00000000" w:rsidRDefault="008D0E70">
      <w:pPr>
        <w:pStyle w:val="NormalWeb"/>
      </w:pPr>
      <w:r>
        <w:rPr>
          <w:sz w:val="20"/>
          <w:szCs w:val="20"/>
        </w:rPr>
        <w:t>The overall effective tax rate differs from the federal statutory tax rate of 34% due to operating losses and other deferred assets not providing benefit for income tax purposes.</w:t>
      </w:r>
    </w:p>
    <w:p w:rsidR="00000000" w:rsidRDefault="008D0E70">
      <w:pPr>
        <w:pStyle w:val="NormalWeb"/>
      </w:pPr>
      <w:r>
        <w:rPr>
          <w:b/>
          <w:bCs/>
          <w:sz w:val="20"/>
          <w:szCs w:val="20"/>
        </w:rPr>
        <w:t>NOTE 9 - SHAREHOLDERS' EQUITY:</w:t>
      </w:r>
    </w:p>
    <w:p w:rsidR="00000000" w:rsidRDefault="008D0E70">
      <w:pPr>
        <w:pStyle w:val="NormalWeb"/>
      </w:pPr>
      <w:r>
        <w:rPr>
          <w:sz w:val="20"/>
          <w:szCs w:val="20"/>
        </w:rPr>
        <w:t>Preferred Stock:</w:t>
      </w:r>
    </w:p>
    <w:p w:rsidR="00000000" w:rsidRDefault="008D0E70">
      <w:pPr>
        <w:pStyle w:val="NormalWeb"/>
      </w:pPr>
      <w:r>
        <w:rPr>
          <w:sz w:val="20"/>
          <w:szCs w:val="20"/>
        </w:rPr>
        <w:t>The Company is authorized t</w:t>
      </w:r>
      <w:r>
        <w:rPr>
          <w:sz w:val="20"/>
          <w:szCs w:val="20"/>
        </w:rPr>
        <w:t>o issue 10,000,000 shares of $0.01 par value preferred stock. The Company may issue any class of preferred shares in series. The board of directors has the authority to establish and designate series and to fix the number of shares included in each such se</w:t>
      </w:r>
      <w:r>
        <w:rPr>
          <w:sz w:val="20"/>
          <w:szCs w:val="20"/>
        </w:rPr>
        <w:t>ries.</w:t>
      </w:r>
    </w:p>
    <w:p w:rsidR="00000000" w:rsidRDefault="008D0E70">
      <w:pPr>
        <w:pStyle w:val="NormalWeb"/>
      </w:pPr>
      <w:r>
        <w:rPr>
          <w:sz w:val="20"/>
          <w:szCs w:val="20"/>
        </w:rPr>
        <w:t>Series 2 Convertible Preferred Stock:</w:t>
      </w:r>
    </w:p>
    <w:p w:rsidR="00000000" w:rsidRDefault="008D0E70">
      <w:pPr>
        <w:pStyle w:val="NormalWeb"/>
      </w:pPr>
      <w:r>
        <w:rPr>
          <w:sz w:val="20"/>
          <w:szCs w:val="20"/>
        </w:rPr>
        <w:t>Each Series 2 preferred share is convertible into two shares of common stock at the option of the holder. Each Series 2 preferred share also includes one warrant to purchase two common shares for $5.00. The war</w:t>
      </w:r>
      <w:r>
        <w:rPr>
          <w:sz w:val="20"/>
          <w:szCs w:val="20"/>
        </w:rPr>
        <w:t>rants are exercisable over a three-year period. In the event of the liquidation of the Company, holders of Series 2 preferred stock would be entitled to receive $5.00 per share, plus any unpaid dividends declared on the Series 2 preferred stock from the fu</w:t>
      </w:r>
      <w:r>
        <w:rPr>
          <w:sz w:val="20"/>
          <w:szCs w:val="20"/>
        </w:rPr>
        <w:t>nds remaining after the Company's creditors, including directors, have been paid. There have been no dividends declared.</w:t>
      </w:r>
    </w:p>
    <w:p w:rsidR="00000000" w:rsidRDefault="008D0E70">
      <w:pPr>
        <w:pStyle w:val="NormalWeb"/>
      </w:pPr>
      <w:r>
        <w:rPr>
          <w:sz w:val="20"/>
          <w:szCs w:val="20"/>
        </w:rPr>
        <w:t>During November 1997, 172,000 shares of Series 2 preferred stock were converted into 344,000 shares of the Company's common stock.</w:t>
      </w:r>
    </w:p>
    <w:p w:rsidR="00000000" w:rsidRDefault="008D0E70">
      <w:pPr>
        <w:pStyle w:val="NormalWeb"/>
      </w:pPr>
      <w:r>
        <w:rPr>
          <w:sz w:val="20"/>
          <w:szCs w:val="20"/>
        </w:rPr>
        <w:t>Se</w:t>
      </w:r>
      <w:r>
        <w:rPr>
          <w:sz w:val="20"/>
          <w:szCs w:val="20"/>
        </w:rPr>
        <w:t>ries 4 Convertible Preferred Stock:</w:t>
      </w:r>
    </w:p>
    <w:p w:rsidR="00000000" w:rsidRDefault="008D0E70">
      <w:pPr>
        <w:pStyle w:val="NormalWeb"/>
      </w:pPr>
      <w:r>
        <w:rPr>
          <w:sz w:val="20"/>
          <w:szCs w:val="20"/>
        </w:rPr>
        <w:t>The shares are collectively convertible to common stock of the Company on March 5, 2004, in an amount equal to the greater of a.)290,000 shares divided by the ten day closing price, prior to the date of acquisition of I</w:t>
      </w:r>
      <w:r>
        <w:rPr>
          <w:sz w:val="20"/>
          <w:szCs w:val="20"/>
        </w:rPr>
        <w:t xml:space="preserve">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8D0E70">
      <w:pPr>
        <w:pStyle w:val="NormalWeb"/>
      </w:pPr>
      <w:proofErr w:type="gramStart"/>
      <w:r>
        <w:rPr>
          <w:b/>
          <w:bCs/>
          <w:sz w:val="20"/>
          <w:szCs w:val="20"/>
        </w:rPr>
        <w:t>ITEM 2: MANAGEMENT'S DISCUSSION AND ANALYSIS OF FINANCIAL CONDITION AND RESULTS OF OPERATIONS.</w:t>
      </w:r>
      <w:proofErr w:type="gramEnd"/>
    </w:p>
    <w:p w:rsidR="00000000" w:rsidRDefault="008D0E70">
      <w:pPr>
        <w:pStyle w:val="NormalWeb"/>
      </w:pPr>
      <w:r>
        <w:rPr>
          <w:sz w:val="20"/>
          <w:szCs w:val="20"/>
        </w:rPr>
        <w:t>The following should be read in conjunction with our Consolidated Financial Statements and the notes thereto included in the Financial Statements."</w:t>
      </w:r>
    </w:p>
    <w:p w:rsidR="008D0E70" w:rsidRDefault="008D0E70" w:rsidP="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8D0E70" w:rsidRDefault="008D0E70" w:rsidP="008D0E70">
      <w:pPr>
        <w:rPr>
          <w:rFonts w:eastAsia="Times New Roman"/>
          <w:sz w:val="20"/>
          <w:szCs w:val="20"/>
        </w:rPr>
      </w:pPr>
      <w:r>
        <w:rPr>
          <w:rFonts w:eastAsia="Times New Roman"/>
          <w:sz w:val="20"/>
          <w:szCs w:val="20"/>
        </w:rPr>
        <w:pict>
          <v:rect id="_x0000_i1093" style="width:0;height:3pt" o:hralign="center" o:hrstd="t" o:hrnoshade="t" o:hr="t" fillcolor="black" stroked="f"/>
        </w:pict>
      </w:r>
    </w:p>
    <w:p w:rsidR="008D0E70" w:rsidRDefault="008D0E70">
      <w:pPr>
        <w:rPr>
          <w:sz w:val="20"/>
          <w:szCs w:val="20"/>
        </w:rPr>
      </w:pPr>
      <w:r>
        <w:rPr>
          <w:sz w:val="20"/>
          <w:szCs w:val="20"/>
        </w:rPr>
        <w:br w:type="page"/>
      </w:r>
    </w:p>
    <w:p w:rsidR="00000000" w:rsidRDefault="008D0E70">
      <w:pPr>
        <w:pStyle w:val="NormalWeb"/>
      </w:pPr>
      <w:r>
        <w:rPr>
          <w:sz w:val="20"/>
          <w:szCs w:val="20"/>
        </w:rPr>
        <w:lastRenderedPageBreak/>
        <w:t xml:space="preserve">FORWARD LOOKING STATEMENTS: </w:t>
      </w:r>
    </w:p>
    <w:p w:rsidR="00000000" w:rsidRDefault="008D0E70">
      <w:pPr>
        <w:pStyle w:val="NormalWeb"/>
      </w:pPr>
      <w:r>
        <w:rPr>
          <w:sz w:val="20"/>
          <w:szCs w:val="20"/>
        </w:rPr>
        <w:t>Certain statements contained in this report, including statements concerning t</w:t>
      </w:r>
      <w:r>
        <w:rPr>
          <w:sz w:val="20"/>
          <w:szCs w:val="20"/>
        </w:rPr>
        <w:t>he Company's future and financing requirements, the Company's ability to obtain market acceptance of its products and the competitive market for sales of small production business' and other statements contained herein regarding matters that are not histor</w:t>
      </w:r>
      <w:r>
        <w:rPr>
          <w:sz w:val="20"/>
          <w:szCs w:val="20"/>
        </w:rPr>
        <w:t>ical facts, are forward looking statements; actual results may differ materially from those set forth in the forward looking statements, which statements involve risks and uncertainties, including without limitation to those risks and uncertainties set for</w:t>
      </w:r>
      <w:r>
        <w:rPr>
          <w:sz w:val="20"/>
          <w:szCs w:val="20"/>
        </w:rPr>
        <w:t>th in any of the Company's Registration Statements under the heading "Risk Factors" or any other such heading. In addition, historical performance of the Company should not be considered as an indicator for future performance, and as such, the future perfo</w:t>
      </w:r>
      <w:r>
        <w:rPr>
          <w:sz w:val="20"/>
          <w:szCs w:val="20"/>
        </w:rPr>
        <w:t xml:space="preserve">rmance of the Company may differ significantly from historical performance. </w:t>
      </w:r>
    </w:p>
    <w:p w:rsidR="00000000" w:rsidRDefault="008D0E70">
      <w:pPr>
        <w:pStyle w:val="NormalWeb"/>
      </w:pPr>
      <w:r>
        <w:rPr>
          <w:sz w:val="20"/>
          <w:szCs w:val="20"/>
        </w:rPr>
        <w:t>CRITICAL ACCOUNTING POLICIES AND ESTIMATES</w:t>
      </w:r>
    </w:p>
    <w:p w:rsidR="00000000" w:rsidRDefault="008D0E70">
      <w:pPr>
        <w:rPr>
          <w:rFonts w:eastAsia="Times New Roman"/>
        </w:rPr>
      </w:pPr>
      <w:r>
        <w:rPr>
          <w:rFonts w:eastAsia="Times New Roman"/>
          <w:sz w:val="20"/>
          <w:szCs w:val="20"/>
        </w:rPr>
        <w:t>The preparation of consolidated financial statements in conformity with account</w:t>
      </w:r>
      <w:r>
        <w:rPr>
          <w:rFonts w:eastAsia="Times New Roman"/>
          <w:sz w:val="20"/>
          <w:szCs w:val="20"/>
        </w:rPr>
        <w:t>ing principles generally accepted in the U.S. (“GAAP”) requires our management to make estimates and assumptions that affect the reported amounts of assets and liabilities and the disclosure of contingent assets and liabilities at the date of the consolida</w:t>
      </w:r>
      <w:r>
        <w:rPr>
          <w:rFonts w:eastAsia="Times New Roman"/>
          <w:sz w:val="20"/>
          <w:szCs w:val="20"/>
        </w:rPr>
        <w:t>ted financial statements and the reported amounts of revenue and expenses during the reporting period. Following are accounting policies that we believe are most important to the portrayal of our financial condition and results of operations and that requi</w:t>
      </w:r>
      <w:r>
        <w:rPr>
          <w:rFonts w:eastAsia="Times New Roman"/>
          <w:sz w:val="20"/>
          <w:szCs w:val="20"/>
        </w:rPr>
        <w:t>re our most difficult judgments as a result of the need to make estimates and assumptions about the effects of matters that are inherently uncertain.</w:t>
      </w:r>
    </w:p>
    <w:p w:rsidR="00000000" w:rsidRDefault="008D0E70">
      <w:pPr>
        <w:pStyle w:val="NormalWeb"/>
      </w:pPr>
      <w:proofErr w:type="gramStart"/>
      <w:r>
        <w:rPr>
          <w:i/>
          <w:iCs/>
          <w:sz w:val="20"/>
          <w:szCs w:val="20"/>
        </w:rPr>
        <w:t>Recognition of rental income.</w:t>
      </w:r>
      <w:proofErr w:type="gramEnd"/>
      <w:r>
        <w:rPr>
          <w:i/>
          <w:iCs/>
          <w:sz w:val="20"/>
          <w:szCs w:val="20"/>
        </w:rPr>
        <w:t xml:space="preserve"> </w:t>
      </w:r>
      <w:r>
        <w:rPr>
          <w:sz w:val="20"/>
          <w:szCs w:val="20"/>
        </w:rPr>
        <w:t>Rental income for commercial property leases is recognized on a straight-line basis over the respective lease terms.</w:t>
      </w:r>
    </w:p>
    <w:p w:rsidR="00000000" w:rsidRDefault="008D0E70">
      <w:pPr>
        <w:pStyle w:val="NormalWeb"/>
      </w:pPr>
      <w:r>
        <w:rPr>
          <w:sz w:val="20"/>
          <w:szCs w:val="20"/>
        </w:rPr>
        <w:t>Real Estate Accounting Principles: The Company treats the valuation of its real estate in accordance with FASB Statement No. 157, Fair Val</w:t>
      </w:r>
      <w:r>
        <w:rPr>
          <w:sz w:val="20"/>
          <w:szCs w:val="20"/>
        </w:rPr>
        <w:t>ue Measurements, which provides for the companies accounting valuation of real estate. Statement 157 defines fair value as the price that would be received to sell an asset or paid to transfer a liability in an orderly transaction between market participan</w:t>
      </w:r>
      <w:r>
        <w:rPr>
          <w:sz w:val="20"/>
          <w:szCs w:val="20"/>
        </w:rPr>
        <w:t>ts at the measurement date. The Company has valued its real estate using the three valuation approaches defined in FASB Statement No. 157: The market approach, which uses observable prices and other relevant information derived from market transactions inv</w:t>
      </w:r>
      <w:r>
        <w:rPr>
          <w:sz w:val="20"/>
          <w:szCs w:val="20"/>
        </w:rPr>
        <w:t>olving identical or comparable assets or liabilities, The income approach, which uses valuation technique to convert future benefits or costs, usually in the form of cash flows, into a present-value amount. Examples of an income approach include the discou</w:t>
      </w:r>
      <w:r>
        <w:rPr>
          <w:sz w:val="20"/>
          <w:szCs w:val="20"/>
        </w:rPr>
        <w:t>nted cash flow method and the direct capitalization method, and the cost approach, which uses estimates of the cost to replace an asset’s service capacity.</w:t>
      </w:r>
    </w:p>
    <w:p w:rsidR="00000000" w:rsidRDefault="008D0E70">
      <w:pPr>
        <w:pStyle w:val="NormalWeb"/>
      </w:pPr>
      <w:proofErr w:type="gramStart"/>
      <w:r>
        <w:rPr>
          <w:i/>
          <w:iCs/>
          <w:sz w:val="20"/>
          <w:szCs w:val="20"/>
        </w:rPr>
        <w:t>Revenue recognition on the sale of real estate.</w:t>
      </w:r>
      <w:proofErr w:type="gramEnd"/>
      <w:r>
        <w:rPr>
          <w:i/>
          <w:iCs/>
          <w:sz w:val="20"/>
          <w:szCs w:val="20"/>
        </w:rPr>
        <w:t xml:space="preserve"> </w:t>
      </w:r>
    </w:p>
    <w:p w:rsidR="00000000" w:rsidRDefault="008D0E70">
      <w:pPr>
        <w:pStyle w:val="NormalWeb"/>
      </w:pPr>
      <w:r>
        <w:rPr>
          <w:sz w:val="20"/>
          <w:szCs w:val="20"/>
        </w:rPr>
        <w:t>Sales of real estate are recognized when and to th</w:t>
      </w:r>
      <w:r>
        <w:rPr>
          <w:sz w:val="20"/>
          <w:szCs w:val="20"/>
        </w:rPr>
        <w:t>e extent permitted by Statement of Financial Accounting Standards No. 66, “Accounting for Sales of Real Estate” (“SFAS No. 66”), as amended by SFAS No. 144. Until the requirements of SFAS No. 66 for full profit recognition have been met, transactions are a</w:t>
      </w:r>
      <w:r>
        <w:rPr>
          <w:sz w:val="20"/>
          <w:szCs w:val="20"/>
        </w:rPr>
        <w:t xml:space="preserve">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8D0E70">
      <w:pPr>
        <w:pStyle w:val="NormalWeb"/>
      </w:pPr>
      <w:r>
        <w:rPr>
          <w:sz w:val="20"/>
          <w:szCs w:val="20"/>
        </w:rPr>
        <w:t>Interest Recognition on Notes Receivable</w:t>
      </w:r>
    </w:p>
    <w:p w:rsidR="00000000" w:rsidRDefault="008D0E70">
      <w:pPr>
        <w:pStyle w:val="NormalWeb"/>
      </w:pPr>
      <w:r>
        <w:rPr>
          <w:sz w:val="20"/>
          <w:szCs w:val="20"/>
        </w:rPr>
        <w:t xml:space="preserve">Interest income is not recognized on notes receivable that have been delinquent for 60 </w:t>
      </w:r>
      <w:r>
        <w:rPr>
          <w:sz w:val="20"/>
          <w:szCs w:val="20"/>
        </w:rPr>
        <w:t>days or more. In addition, accrued but unpaid interest income is only recognized to the extent that the net realizable value of the underlying collateral exceeds the carrying value of the receivable.</w:t>
      </w:r>
    </w:p>
    <w:p w:rsidR="008D0E70" w:rsidRDefault="008D0E70" w:rsidP="008D0E70">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8D0E70" w:rsidRDefault="008D0E70" w:rsidP="008D0E70">
      <w:pPr>
        <w:rPr>
          <w:rFonts w:eastAsia="Times New Roman"/>
          <w:sz w:val="20"/>
          <w:szCs w:val="20"/>
        </w:rPr>
      </w:pPr>
      <w:r>
        <w:rPr>
          <w:rFonts w:eastAsia="Times New Roman"/>
          <w:sz w:val="20"/>
          <w:szCs w:val="20"/>
        </w:rPr>
        <w:pict>
          <v:rect id="_x0000_i1095" style="width:0;height:3pt" o:hralign="center" o:hrstd="t" o:hrnoshade="t" o:hr="t" fillcolor="black" stroked="f"/>
        </w:pict>
      </w:r>
    </w:p>
    <w:p w:rsidR="008D0E70" w:rsidRDefault="008D0E70">
      <w:pPr>
        <w:rPr>
          <w:i/>
          <w:iCs/>
          <w:sz w:val="20"/>
          <w:szCs w:val="20"/>
        </w:rPr>
      </w:pPr>
      <w:r>
        <w:rPr>
          <w:i/>
          <w:iCs/>
          <w:sz w:val="20"/>
          <w:szCs w:val="20"/>
        </w:rPr>
        <w:br w:type="page"/>
      </w:r>
    </w:p>
    <w:p w:rsidR="00000000" w:rsidRDefault="008D0E70">
      <w:pPr>
        <w:pStyle w:val="NormalWeb"/>
      </w:pPr>
      <w:r>
        <w:rPr>
          <w:i/>
          <w:iCs/>
          <w:sz w:val="20"/>
          <w:szCs w:val="20"/>
        </w:rPr>
        <w:lastRenderedPageBreak/>
        <w:t>Foreign currency translation:</w:t>
      </w:r>
    </w:p>
    <w:p w:rsidR="00000000" w:rsidRDefault="008D0E70">
      <w:pPr>
        <w:pStyle w:val="NormalWeb"/>
      </w:pPr>
      <w:r>
        <w:rPr>
          <w:sz w:val="20"/>
          <w:szCs w:val="20"/>
        </w:rPr>
        <w:t>Foreign currency transac</w:t>
      </w:r>
      <w:r>
        <w:rPr>
          <w:sz w:val="20"/>
          <w:szCs w:val="20"/>
        </w:rPr>
        <w:t>tions are translated applying the current rate method. Assets and liabilities are translated at current rates. Stockholders' equity accounts are translated at the appropriate historical rates and revenue and expenses are translated at weighted average rate</w:t>
      </w:r>
      <w:r>
        <w:rPr>
          <w:sz w:val="20"/>
          <w:szCs w:val="20"/>
        </w:rPr>
        <w:t>s for the year. Exchange rate differences that arise between the rate at the transaction date and the one in effect at the payment date, or at the balance sheet date, are recognized in the income statement.</w:t>
      </w:r>
    </w:p>
    <w:p w:rsidR="00000000" w:rsidRDefault="008D0E70">
      <w:pPr>
        <w:pStyle w:val="NormalWeb"/>
      </w:pPr>
      <w:r>
        <w:rPr>
          <w:i/>
          <w:iCs/>
          <w:sz w:val="20"/>
          <w:szCs w:val="20"/>
        </w:rPr>
        <w:t>Income Taxes:</w:t>
      </w:r>
    </w:p>
    <w:p w:rsidR="00000000" w:rsidRDefault="008D0E70">
      <w:pPr>
        <w:pStyle w:val="NormalWeb"/>
      </w:pPr>
      <w:r>
        <w:rPr>
          <w:sz w:val="20"/>
          <w:szCs w:val="20"/>
        </w:rPr>
        <w:t>The Company accounts for income t</w:t>
      </w:r>
      <w:r>
        <w:rPr>
          <w:sz w:val="20"/>
          <w:szCs w:val="20"/>
        </w:rPr>
        <w:t>axes under the asset and liability method of accounting. Under this method, deferred tax assets and liabilities are recognized for the future tax consequences attributable to differences between the financial statement carrying amounts of existing assets a</w:t>
      </w:r>
      <w:r>
        <w:rPr>
          <w:sz w:val="20"/>
          <w:szCs w:val="20"/>
        </w:rPr>
        <w:t>nd liabilities and their respective tax bases. Deferred tax assets and liabilities are measured using enacted tax rates expected to apply to taxable income in the years in which those temporary differences are expected to be recovered or settled. The effec</w:t>
      </w:r>
      <w:r>
        <w:rPr>
          <w:sz w:val="20"/>
          <w:szCs w:val="20"/>
        </w:rPr>
        <w:t xml:space="preserve">t on deferred tax assets and liabilities of a change in tax rates is recognized in income in the period that includes the enactment date. A valuation allowance is </w:t>
      </w:r>
    </w:p>
    <w:p w:rsidR="00000000" w:rsidRDefault="008D0E70">
      <w:pPr>
        <w:pStyle w:val="NormalWeb"/>
      </w:pPr>
      <w:proofErr w:type="gramStart"/>
      <w:r>
        <w:rPr>
          <w:sz w:val="20"/>
          <w:szCs w:val="20"/>
        </w:rPr>
        <w:t>required</w:t>
      </w:r>
      <w:proofErr w:type="gramEnd"/>
      <w:r>
        <w:rPr>
          <w:sz w:val="20"/>
          <w:szCs w:val="20"/>
        </w:rPr>
        <w:t xml:space="preserve"> when it is less likely than not that the Company will be able to realize all or a p</w:t>
      </w:r>
      <w:r>
        <w:rPr>
          <w:sz w:val="20"/>
          <w:szCs w:val="20"/>
        </w:rPr>
        <w:t>ortion of its deferred tax assets. Because it is doubtful that the net operating losses of recent years will ever be used, a valuation allowance has been recognized equal to the tax benefit of net operating losses generated.</w:t>
      </w:r>
    </w:p>
    <w:p w:rsidR="00000000" w:rsidRDefault="008D0E70">
      <w:pPr>
        <w:pStyle w:val="NormalWeb"/>
      </w:pPr>
      <w:r>
        <w:rPr>
          <w:i/>
          <w:iCs/>
          <w:sz w:val="20"/>
          <w:szCs w:val="20"/>
        </w:rPr>
        <w:t>Net Earnings per Share:</w:t>
      </w:r>
    </w:p>
    <w:p w:rsidR="00000000" w:rsidRDefault="008D0E70">
      <w:pPr>
        <w:pStyle w:val="NormalWeb"/>
      </w:pPr>
      <w:r>
        <w:rPr>
          <w:sz w:val="20"/>
          <w:szCs w:val="20"/>
        </w:rPr>
        <w:t>The C</w:t>
      </w:r>
      <w:r>
        <w:rPr>
          <w:sz w:val="20"/>
          <w:szCs w:val="20"/>
        </w:rPr>
        <w:t xml:space="preserve">ompany adopted SFAS No. 128, "Earnings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computed similar to basic e</w:t>
      </w:r>
      <w:r>
        <w:rPr>
          <w:sz w:val="20"/>
          <w:szCs w:val="20"/>
        </w:rPr>
        <w:t>arnings per share except that the denominator is increased to include the number of additional common shares that would have been outstanding if the potential common shares had been issued and if the additional common shares were dilutive.</w:t>
      </w:r>
    </w:p>
    <w:p w:rsidR="00000000" w:rsidRDefault="008D0E70">
      <w:pPr>
        <w:pStyle w:val="NormalWeb"/>
      </w:pPr>
      <w:r>
        <w:rPr>
          <w:i/>
          <w:iCs/>
          <w:sz w:val="20"/>
          <w:szCs w:val="20"/>
        </w:rPr>
        <w:t>Cash and Cash E</w:t>
      </w:r>
      <w:r>
        <w:rPr>
          <w:i/>
          <w:iCs/>
          <w:sz w:val="20"/>
          <w:szCs w:val="20"/>
        </w:rPr>
        <w:t>quivalents:</w:t>
      </w:r>
    </w:p>
    <w:p w:rsidR="00000000" w:rsidRDefault="008D0E70">
      <w:pPr>
        <w:pStyle w:val="NormalWeb"/>
      </w:pPr>
      <w:r>
        <w:rPr>
          <w:sz w:val="20"/>
          <w:szCs w:val="20"/>
        </w:rPr>
        <w:t>For purposes of the statement of cash flows, the Company considers all highly-liquid investments purchased with original maturities of three months or less to be cash equivalents.</w:t>
      </w:r>
    </w:p>
    <w:p w:rsidR="00000000" w:rsidRDefault="008D0E70">
      <w:pPr>
        <w:pStyle w:val="NormalWeb"/>
      </w:pPr>
      <w:hyperlink w:anchor="toc" w:history="1">
        <w:r>
          <w:rPr>
            <w:rStyle w:val="Hyperlink"/>
            <w:b/>
            <w:bCs/>
            <w:sz w:val="20"/>
            <w:szCs w:val="20"/>
          </w:rPr>
          <w:t>Return to Table of Contents</w:t>
        </w:r>
      </w:hyperlink>
    </w:p>
    <w:p w:rsidR="00000000" w:rsidRDefault="000D47D3">
      <w:pPr>
        <w:rPr>
          <w:rFonts w:eastAsia="Times New Roman"/>
        </w:rPr>
      </w:pPr>
      <w:r>
        <w:rPr>
          <w:rFonts w:eastAsia="Times New Roman"/>
        </w:rPr>
        <w:pict>
          <v:rect id="_x0000_i1050" style="width:0;height:3pt" o:hralign="center" o:hrstd="t" o:hrnoshade="t" o:hr="t" fillcolor="black" stroked="f"/>
        </w:pict>
      </w:r>
    </w:p>
    <w:p w:rsidR="008D0E70" w:rsidRDefault="008D0E70">
      <w:pPr>
        <w:rPr>
          <w:sz w:val="20"/>
          <w:szCs w:val="20"/>
        </w:rPr>
      </w:pPr>
      <w:r>
        <w:rPr>
          <w:sz w:val="20"/>
          <w:szCs w:val="20"/>
        </w:rPr>
        <w:br w:type="page"/>
      </w:r>
    </w:p>
    <w:p w:rsidR="00000000" w:rsidRDefault="008D0E70">
      <w:pPr>
        <w:pStyle w:val="NormalWeb"/>
      </w:pPr>
      <w:r>
        <w:rPr>
          <w:sz w:val="20"/>
          <w:szCs w:val="20"/>
        </w:rPr>
        <w:lastRenderedPageBreak/>
        <w:t>The Company maintains its cash in bank deposit accounts which, at March 31, 2013 did not exceed federally insured limits. The Company has not experi</w:t>
      </w:r>
      <w:r>
        <w:rPr>
          <w:sz w:val="20"/>
          <w:szCs w:val="20"/>
        </w:rPr>
        <w:t>enced any losses in such accounts and believes that it is not exposed to any significant credit risk on such amounts.</w:t>
      </w:r>
    </w:p>
    <w:p w:rsidR="00000000" w:rsidRDefault="008D0E70">
      <w:pPr>
        <w:pStyle w:val="NormalWeb"/>
      </w:pPr>
      <w:r>
        <w:rPr>
          <w:i/>
          <w:iCs/>
          <w:sz w:val="20"/>
          <w:szCs w:val="20"/>
        </w:rPr>
        <w:t>Estimates:</w:t>
      </w:r>
    </w:p>
    <w:p w:rsidR="00000000" w:rsidRDefault="008D0E70">
      <w:pPr>
        <w:pStyle w:val="NormalWeb"/>
      </w:pPr>
      <w:r>
        <w:rPr>
          <w:sz w:val="20"/>
          <w:szCs w:val="20"/>
        </w:rPr>
        <w:t>The preparation of financial statements in conformity with generally accepted accounting principles requires management to ma</w:t>
      </w:r>
      <w:r>
        <w:rPr>
          <w:sz w:val="20"/>
          <w:szCs w:val="20"/>
        </w:rPr>
        <w:t>ke estimates and assumptions that affect the reported amounts of assets and liabilities and disclosures of contingent assets and liabilities at the date of the financial statements, as well as the reported amounts of revenue and expenses during the reporte</w:t>
      </w:r>
      <w:r>
        <w:rPr>
          <w:sz w:val="20"/>
          <w:szCs w:val="20"/>
        </w:rPr>
        <w:t>d period. Actual results could differ from those estimates.</w:t>
      </w:r>
    </w:p>
    <w:p w:rsidR="00000000" w:rsidRDefault="008D0E70">
      <w:pPr>
        <w:pStyle w:val="NormalWeb"/>
      </w:pPr>
      <w:r>
        <w:rPr>
          <w:i/>
          <w:iCs/>
          <w:sz w:val="20"/>
          <w:szCs w:val="20"/>
        </w:rPr>
        <w:t>Concentrations of Credit Risk</w:t>
      </w:r>
      <w:r>
        <w:rPr>
          <w:sz w:val="20"/>
          <w:szCs w:val="20"/>
        </w:rPr>
        <w:t>:</w:t>
      </w:r>
    </w:p>
    <w:p w:rsidR="00000000" w:rsidRDefault="008D0E70">
      <w:pPr>
        <w:pStyle w:val="NormalWeb"/>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w:t>
      </w:r>
      <w:r>
        <w:rPr>
          <w:sz w:val="20"/>
          <w:szCs w:val="20"/>
        </w:rPr>
        <w:t>omer concentration.</w:t>
      </w:r>
    </w:p>
    <w:p w:rsidR="00000000" w:rsidRDefault="008D0E70">
      <w:pPr>
        <w:pStyle w:val="NormalWeb"/>
      </w:pPr>
      <w:r>
        <w:rPr>
          <w:i/>
          <w:iCs/>
          <w:sz w:val="20"/>
          <w:szCs w:val="20"/>
        </w:rPr>
        <w:t>Recently Issued Accounting Standards</w:t>
      </w:r>
    </w:p>
    <w:p w:rsidR="00000000" w:rsidRDefault="008D0E70">
      <w:pPr>
        <w:pStyle w:val="NormalWeb"/>
      </w:pPr>
      <w:r>
        <w:rPr>
          <w:sz w:val="20"/>
          <w:szCs w:val="20"/>
        </w:rPr>
        <w:t>In February 2006, the FASB issued SFAS No. 155, “Accounting for Certain Hybrid Financial Instruments—an Amendment of FASB Statements No. 133 and 140” (“SFAS No. 155”</w:t>
      </w:r>
      <w:r>
        <w:rPr>
          <w:sz w:val="20"/>
          <w:szCs w:val="20"/>
        </w:rPr>
        <w:t>). The purpose of SFAS No. 155 is to simplify the accounting for certain hybrid financial instruments by permitting fair value re-measurement for any hybrid financial instrument that contains an embedded derivative that otherwise would require bifurcation.</w:t>
      </w:r>
      <w:r>
        <w:rPr>
          <w:sz w:val="20"/>
          <w:szCs w:val="20"/>
        </w:rPr>
        <w:t xml:space="preserve"> SFAS No. 155 was effective for all financial instruments acquired or issued after the beginning of an entity’s first fiscal year that begins after September 15, 2006. The Company believes the adoption of SFAS No. 155 had no material impact on its cash flo</w:t>
      </w:r>
      <w:r>
        <w:rPr>
          <w:sz w:val="20"/>
          <w:szCs w:val="20"/>
        </w:rPr>
        <w:t>ws, results of operations, financial position or liquidity.</w:t>
      </w:r>
    </w:p>
    <w:p w:rsidR="00000000" w:rsidRDefault="008D0E70">
      <w:pPr>
        <w:pStyle w:val="NormalWeb"/>
      </w:pPr>
      <w:r>
        <w:rPr>
          <w:sz w:val="20"/>
          <w:szCs w:val="20"/>
        </w:rPr>
        <w:t>In March 2006, the FASB issued SFAS No. 156, “Accounting for Servicing of Financial Assets—an Amendment of FASB Statement No. 140” (“SFAS No. 156”). SFAS No. 156 requires recognition of a servici</w:t>
      </w:r>
      <w:r>
        <w:rPr>
          <w:sz w:val="20"/>
          <w:szCs w:val="20"/>
        </w:rPr>
        <w:t>ng asset or a servicing liability each time an entity undertakes an obligation to service a financial asset by entering into a servicing contract. SFAS No. 156 also requires that all separately recognized servicing assets and servicing liabilities be initi</w:t>
      </w:r>
      <w:r>
        <w:rPr>
          <w:sz w:val="20"/>
          <w:szCs w:val="20"/>
        </w:rPr>
        <w:t>ally measured at fair value and subsequently measured at fair value at each reporting date. SFAS No. 156 was effective as of the beginning of any entity’s first fiscal year that begins after September 15, 2006. The Company believes that the adoption of SFA</w:t>
      </w:r>
      <w:r>
        <w:rPr>
          <w:sz w:val="20"/>
          <w:szCs w:val="20"/>
        </w:rPr>
        <w:t>S No. 156 had no material impact on its cash flows, results of operations, financial position or liquidity.</w:t>
      </w:r>
    </w:p>
    <w:p w:rsidR="00000000" w:rsidRDefault="008D0E70">
      <w:pPr>
        <w:pStyle w:val="NormalWeb"/>
        <w:spacing w:after="240" w:afterAutospacing="0"/>
      </w:pPr>
      <w:r>
        <w:rPr>
          <w:sz w:val="20"/>
          <w:szCs w:val="20"/>
        </w:rPr>
        <w:t>In June 2006, FASB issued FIN No. 48, “Accounting for Uncertainty Taxes”. The interpretation applies to all tax positions related to income taxes s</w:t>
      </w:r>
      <w:r>
        <w:rPr>
          <w:sz w:val="20"/>
          <w:szCs w:val="20"/>
        </w:rPr>
        <w:t>ubject to FASB Statement No. 109, “Accounting for Income Taxes”. FIN No. 48 clarifies the accounting for uncertainty in income taxes by prescribing a minimum recognition threshold in determining if a tax position should be reflected in the financial statem</w:t>
      </w:r>
      <w:r>
        <w:rPr>
          <w:sz w:val="20"/>
          <w:szCs w:val="20"/>
        </w:rPr>
        <w:t>ents. Only tax positions that meet the “more likely than not” recognition threshold may be recognized. The interpretation also provides guidance on classification, interest and penalties, accounting in interim periods, disclosure, and transition requiremen</w:t>
      </w:r>
      <w:r>
        <w:rPr>
          <w:sz w:val="20"/>
          <w:szCs w:val="20"/>
        </w:rPr>
        <w:t>ts for uncertain tax positions. FIN No. 48 was effective for the Company’s fiscal year ending June 30, 2007. The Company believes that there were no material tax positions that resulted in a material impact upon implementation of FIN No. 48.</w:t>
      </w:r>
    </w:p>
    <w:p w:rsidR="00000000" w:rsidRDefault="008D0E70">
      <w:pPr>
        <w:pStyle w:val="NormalWeb"/>
      </w:pPr>
      <w:r>
        <w:rPr>
          <w:sz w:val="20"/>
          <w:szCs w:val="20"/>
        </w:rPr>
        <w:t>In September</w:t>
      </w:r>
      <w:r>
        <w:rPr>
          <w:sz w:val="20"/>
          <w:szCs w:val="20"/>
        </w:rPr>
        <w:t xml:space="preserve">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measurements. SFAS No. 157 app</w:t>
      </w:r>
      <w:r>
        <w:rPr>
          <w:sz w:val="20"/>
          <w:szCs w:val="20"/>
        </w:rPr>
        <w:t>lies to fair value measurements already required or permitted by existing standards. SFAS No. 157 will be effective for the Company’s fiscal year ending June 30, 2009. The Company is currently evaluating the requirements of SFAS No. 157 and has not yet det</w:t>
      </w:r>
      <w:r>
        <w:rPr>
          <w:sz w:val="20"/>
          <w:szCs w:val="20"/>
        </w:rPr>
        <w:t>ermined the impact on its financial condition and results of operations.</w:t>
      </w:r>
    </w:p>
    <w:p w:rsidR="00000000" w:rsidRDefault="008D0E70">
      <w:pPr>
        <w:pStyle w:val="NormalWeb"/>
      </w:pPr>
      <w:r>
        <w:rPr>
          <w:sz w:val="20"/>
          <w:szCs w:val="20"/>
        </w:rPr>
        <w:t>In September 2006, the FASB issued SFAS No. 158, “Employers’ Accounting for Defined Benefit Pension and other Postretirement Plans - an amendment of FASB Statement No. 87, 88, 106 an</w:t>
      </w:r>
      <w:r>
        <w:rPr>
          <w:sz w:val="20"/>
          <w:szCs w:val="20"/>
        </w:rPr>
        <w:t>d 132R”. This pronouncement requires an employer to make certain recognitions, measurements, and disclosures regarding defined benefit postretirement plans. The Company does not have any defined benefit postretirement plans and SFAS No. 158 will not have a</w:t>
      </w:r>
      <w:r>
        <w:rPr>
          <w:sz w:val="20"/>
          <w:szCs w:val="20"/>
        </w:rPr>
        <w:t>ny impact on its financial condition and results of operations.</w:t>
      </w:r>
    </w:p>
    <w:p w:rsidR="00000000" w:rsidRDefault="008D0E70">
      <w:pPr>
        <w:pStyle w:val="NormalWeb"/>
      </w:pPr>
      <w:r>
        <w:rPr>
          <w:sz w:val="20"/>
          <w:szCs w:val="20"/>
        </w:rPr>
        <w:t>In September 2006, the Securities and Exchange Commission issued Staff Accounting Bulletin No. 108 “Considering the Effects of Prior Year Misstatements in Current Year Financial Statements” (</w:t>
      </w:r>
      <w:r>
        <w:rPr>
          <w:sz w:val="20"/>
          <w:szCs w:val="20"/>
        </w:rPr>
        <w:t>“SAB 108”). SAB 108 provides guidance on consideration of the effects of prior year misstatements in quantifying current year misstatements for the purpose</w:t>
      </w:r>
    </w:p>
    <w:p w:rsidR="00000000" w:rsidRDefault="008D0E70">
      <w:pPr>
        <w:pStyle w:val="NormalWeb"/>
      </w:pPr>
      <w:hyperlink w:anchor="toc" w:history="1">
        <w:r>
          <w:rPr>
            <w:rStyle w:val="Hyperlink"/>
            <w:b/>
            <w:bCs/>
            <w:sz w:val="20"/>
            <w:szCs w:val="20"/>
          </w:rPr>
          <w:t>Return to Table of Contents</w:t>
        </w:r>
      </w:hyperlink>
    </w:p>
    <w:p w:rsidR="00000000" w:rsidRDefault="000D47D3">
      <w:pPr>
        <w:rPr>
          <w:rFonts w:eastAsia="Times New Roman"/>
        </w:rPr>
      </w:pPr>
      <w:r>
        <w:rPr>
          <w:rFonts w:eastAsia="Times New Roman"/>
        </w:rPr>
        <w:pict>
          <v:rect id="_x0000_i1051" style="width:0;height:3pt" o:hralign="center" o:hrstd="t" o:hrnoshade="t" o:hr="t" fillcolor="black" stroked="f"/>
        </w:pict>
      </w:r>
    </w:p>
    <w:p w:rsidR="008D0E70" w:rsidRDefault="008D0E70">
      <w:pPr>
        <w:rPr>
          <w:sz w:val="20"/>
          <w:szCs w:val="20"/>
        </w:rPr>
      </w:pPr>
      <w:r>
        <w:rPr>
          <w:sz w:val="20"/>
          <w:szCs w:val="20"/>
        </w:rPr>
        <w:br w:type="page"/>
      </w:r>
    </w:p>
    <w:p w:rsidR="00000000" w:rsidRDefault="008D0E70">
      <w:pPr>
        <w:pStyle w:val="NormalWeb"/>
      </w:pPr>
      <w:proofErr w:type="gramStart"/>
      <w:r>
        <w:rPr>
          <w:sz w:val="20"/>
          <w:szCs w:val="20"/>
        </w:rPr>
        <w:lastRenderedPageBreak/>
        <w:t>of</w:t>
      </w:r>
      <w:proofErr w:type="gramEnd"/>
      <w:r>
        <w:rPr>
          <w:sz w:val="20"/>
          <w:szCs w:val="20"/>
        </w:rPr>
        <w:t xml:space="preserve"> a materiality assessment. SAB 108 was</w:t>
      </w:r>
      <w:r>
        <w:rPr>
          <w:sz w:val="20"/>
          <w:szCs w:val="20"/>
        </w:rPr>
        <w:t xml:space="preserve"> effective for fiscal years ending after November 15, 2006. The adoption of SAB 108 did not have an impact on the Company’s consolidated financial statements.</w:t>
      </w:r>
    </w:p>
    <w:p w:rsidR="00000000" w:rsidRDefault="008D0E70">
      <w:pPr>
        <w:pStyle w:val="NormalWeb"/>
      </w:pPr>
      <w:r>
        <w:rPr>
          <w:sz w:val="20"/>
          <w:szCs w:val="20"/>
        </w:rPr>
        <w:t>In February 2007, the FASB issued SFAS No 159, “The Fair Value Option for Financial Assets and F</w:t>
      </w:r>
      <w:r>
        <w:rPr>
          <w:sz w:val="20"/>
          <w:szCs w:val="20"/>
        </w:rPr>
        <w:t>inancial Liabilities” (“SFAS 159”) which permits entities to choose to measure many financial instruments and certain other items at fair value that are not currently required to be measured at fair value. SFAS 159 was effective for us on July 1, 2008. The</w:t>
      </w:r>
      <w:r>
        <w:rPr>
          <w:sz w:val="20"/>
          <w:szCs w:val="20"/>
        </w:rPr>
        <w:t xml:space="preserve"> adoption of SFAS 159 did not have an impact on the Company’s consolidated financial statements.</w:t>
      </w:r>
    </w:p>
    <w:p w:rsidR="00000000" w:rsidRDefault="008D0E70">
      <w:pPr>
        <w:pStyle w:val="NormalWeb"/>
      </w:pPr>
      <w:r>
        <w:rPr>
          <w:sz w:val="20"/>
          <w:szCs w:val="20"/>
        </w:rPr>
        <w:t>RESULTS OF OPERATIONS FOR THE THREE MONTH PERIOD ENDING MARCH 31, 2013 COMPARED TO 2012</w:t>
      </w:r>
    </w:p>
    <w:p w:rsidR="00000000" w:rsidRDefault="008D0E70">
      <w:pPr>
        <w:pStyle w:val="NormalWeb"/>
      </w:pPr>
      <w:r>
        <w:rPr>
          <w:i/>
          <w:iCs/>
          <w:sz w:val="20"/>
          <w:szCs w:val="20"/>
        </w:rPr>
        <w:t>Revenues:</w:t>
      </w:r>
      <w:r>
        <w:rPr>
          <w:sz w:val="20"/>
          <w:szCs w:val="20"/>
        </w:rPr>
        <w:t xml:space="preserve"> Revenues from operations for the three month period ending </w:t>
      </w:r>
      <w:r>
        <w:rPr>
          <w:sz w:val="20"/>
          <w:szCs w:val="20"/>
        </w:rPr>
        <w:t xml:space="preserve">March 31, 2013 and March 31, 2012 were $10,512 and $9,820 </w:t>
      </w:r>
      <w:proofErr w:type="gramStart"/>
      <w:r>
        <w:rPr>
          <w:sz w:val="20"/>
          <w:szCs w:val="20"/>
        </w:rPr>
        <w:t>respectively .</w:t>
      </w:r>
      <w:proofErr w:type="gramEnd"/>
      <w:r>
        <w:rPr>
          <w:sz w:val="20"/>
          <w:szCs w:val="20"/>
        </w:rPr>
        <w:t xml:space="preserve"> They were attributable to rental payments for the commercial real estate held by Anton Nielsen </w:t>
      </w:r>
      <w:proofErr w:type="spellStart"/>
      <w:r>
        <w:rPr>
          <w:sz w:val="20"/>
          <w:szCs w:val="20"/>
        </w:rPr>
        <w:t>Vojens</w:t>
      </w:r>
      <w:proofErr w:type="spellEnd"/>
      <w:r>
        <w:rPr>
          <w:sz w:val="20"/>
          <w:szCs w:val="20"/>
        </w:rPr>
        <w:t xml:space="preserve"> and the fluctuation was due to currency value changes.</w:t>
      </w:r>
    </w:p>
    <w:p w:rsidR="00000000" w:rsidRDefault="008D0E70">
      <w:pPr>
        <w:pStyle w:val="NormalWeb"/>
      </w:pPr>
      <w:r>
        <w:rPr>
          <w:i/>
          <w:iCs/>
          <w:sz w:val="20"/>
          <w:szCs w:val="20"/>
        </w:rPr>
        <w:t>Selling, general and admi</w:t>
      </w:r>
      <w:r>
        <w:rPr>
          <w:i/>
          <w:iCs/>
          <w:sz w:val="20"/>
          <w:szCs w:val="20"/>
        </w:rPr>
        <w:t xml:space="preserve">nistrative expenses: </w:t>
      </w:r>
      <w:r>
        <w:rPr>
          <w:sz w:val="20"/>
          <w:szCs w:val="20"/>
        </w:rPr>
        <w:t>SG&amp;A expenses for the three month period ending March 31, 2013 and March 31, 2012 were $3,071 and $1,261 respectively. The expenses are attributable to ANV's operations.</w:t>
      </w:r>
    </w:p>
    <w:p w:rsidR="00000000" w:rsidRDefault="008D0E70">
      <w:pPr>
        <w:pStyle w:val="NormalWeb"/>
      </w:pPr>
      <w:r>
        <w:rPr>
          <w:i/>
          <w:iCs/>
          <w:sz w:val="20"/>
          <w:szCs w:val="20"/>
        </w:rPr>
        <w:t xml:space="preserve">Interest expense: </w:t>
      </w:r>
      <w:r>
        <w:rPr>
          <w:sz w:val="20"/>
          <w:szCs w:val="20"/>
        </w:rPr>
        <w:t>Interest expense for the three month period en</w:t>
      </w:r>
      <w:r>
        <w:rPr>
          <w:sz w:val="20"/>
          <w:szCs w:val="20"/>
        </w:rPr>
        <w:t>ding March 31, 2013 and March 31, 2012 was $1,049 and $1,211 respectively. Interest expenses for 2013 are lower primarily due to the foreign currency adjustments of the US Dollar.</w:t>
      </w:r>
    </w:p>
    <w:p w:rsidR="00000000" w:rsidRDefault="008D0E70">
      <w:pPr>
        <w:pStyle w:val="NormalWeb"/>
      </w:pPr>
      <w:r>
        <w:rPr>
          <w:i/>
          <w:iCs/>
          <w:sz w:val="20"/>
          <w:szCs w:val="20"/>
        </w:rPr>
        <w:t>Other income (expense), net:</w:t>
      </w:r>
      <w:r>
        <w:rPr>
          <w:sz w:val="20"/>
          <w:szCs w:val="20"/>
        </w:rPr>
        <w:t xml:space="preserve"> Other income (expense) net for the three month</w:t>
      </w:r>
      <w:r>
        <w:rPr>
          <w:sz w:val="20"/>
          <w:szCs w:val="20"/>
        </w:rPr>
        <w:t xml:space="preserve"> period ending March 31, 2013 and March 31, 2012 was $0 and $10 respectively. Other income is completely associated with interest income.</w:t>
      </w:r>
    </w:p>
    <w:p w:rsidR="00000000" w:rsidRDefault="008D0E70">
      <w:pPr>
        <w:pStyle w:val="NormalWeb"/>
      </w:pPr>
      <w:r>
        <w:rPr>
          <w:i/>
          <w:iCs/>
          <w:sz w:val="20"/>
          <w:szCs w:val="20"/>
        </w:rPr>
        <w:t xml:space="preserve">Net income (loss) attributed to common stockholders: </w:t>
      </w:r>
      <w:r>
        <w:rPr>
          <w:sz w:val="20"/>
          <w:szCs w:val="20"/>
        </w:rPr>
        <w:t xml:space="preserve">Net loss and income for the three month period ending March 31, </w:t>
      </w:r>
      <w:r>
        <w:rPr>
          <w:sz w:val="20"/>
          <w:szCs w:val="20"/>
        </w:rPr>
        <w:t>2013 and March 31, 2012 attributed to common stockholders was $4,292 and $5,258, or $0.000 per share respectively.</w:t>
      </w:r>
    </w:p>
    <w:p w:rsidR="00000000" w:rsidRDefault="008D0E70">
      <w:pPr>
        <w:pStyle w:val="NormalWeb"/>
      </w:pPr>
      <w:r>
        <w:rPr>
          <w:i/>
          <w:iCs/>
          <w:sz w:val="20"/>
          <w:szCs w:val="20"/>
        </w:rPr>
        <w:t xml:space="preserve">Liquidity and capital resources: </w:t>
      </w:r>
      <w:r>
        <w:rPr>
          <w:sz w:val="20"/>
          <w:szCs w:val="20"/>
        </w:rPr>
        <w:t xml:space="preserve">As of March 31, 2013 the Company had $6,685 in cash and cash equivalents and a working capital of $256,486 </w:t>
      </w:r>
      <w:r>
        <w:rPr>
          <w:sz w:val="20"/>
          <w:szCs w:val="20"/>
        </w:rPr>
        <w:t>as compared to March 31, 2012 the Company had $1,292 in cash and cash equivalents and a working capital of $268,561. The change in cash is primarily due to the payments made on the debt of the acquisition of ANV and normal operations. The decrease in the w</w:t>
      </w:r>
      <w:r>
        <w:rPr>
          <w:sz w:val="20"/>
          <w:szCs w:val="20"/>
        </w:rPr>
        <w:t>orking capital is primarily related operations of ANV real estate.</w:t>
      </w:r>
    </w:p>
    <w:p w:rsidR="00000000" w:rsidRDefault="008D0E70">
      <w:pPr>
        <w:pStyle w:val="NormalWeb"/>
      </w:pPr>
      <w:r>
        <w:rPr>
          <w:sz w:val="20"/>
          <w:szCs w:val="20"/>
        </w:rPr>
        <w:t>Net cash provided (used) by operating activities for three month period ending March 31, 2013 was $4,408 as compared to March 31, 2012 which was $(1,414). The net cash used by operating ac</w:t>
      </w:r>
      <w:r>
        <w:rPr>
          <w:sz w:val="20"/>
          <w:szCs w:val="20"/>
        </w:rPr>
        <w:t>tivities was primarily due to the operations of ANV.</w:t>
      </w:r>
    </w:p>
    <w:p w:rsidR="00000000" w:rsidRDefault="008D0E70">
      <w:pPr>
        <w:pStyle w:val="NormalWeb"/>
      </w:pPr>
      <w:r>
        <w:rPr>
          <w:sz w:val="20"/>
          <w:szCs w:val="20"/>
        </w:rPr>
        <w:t>OFF BALANCE SHEET ARRANGEMENTS</w:t>
      </w:r>
    </w:p>
    <w:p w:rsidR="00000000" w:rsidRDefault="008D0E70">
      <w:pPr>
        <w:pStyle w:val="NormalWeb"/>
      </w:pPr>
      <w:r>
        <w:rPr>
          <w:sz w:val="20"/>
          <w:szCs w:val="20"/>
        </w:rPr>
        <w:t>We do not currently have any off balance sheet arrangements.</w:t>
      </w:r>
    </w:p>
    <w:p w:rsidR="00000000" w:rsidRDefault="008D0E70">
      <w:pPr>
        <w:pStyle w:val="NormalWeb"/>
      </w:pPr>
      <w:r>
        <w:rPr>
          <w:sz w:val="20"/>
          <w:szCs w:val="20"/>
        </w:rPr>
        <w:t>ACQUISITION EFFORTS:</w:t>
      </w:r>
    </w:p>
    <w:p w:rsidR="00000000" w:rsidRDefault="008D0E70">
      <w:pPr>
        <w:pStyle w:val="NormalWeb"/>
      </w:pPr>
      <w:r>
        <w:rPr>
          <w:sz w:val="20"/>
          <w:szCs w:val="20"/>
        </w:rPr>
        <w:t>The Company continues its efforts to raise capital to support operations and growth, an</w:t>
      </w:r>
      <w:r>
        <w:rPr>
          <w:sz w:val="20"/>
          <w:szCs w:val="20"/>
        </w:rPr>
        <w:t>d is actively searching acquisition or merger with another company that would complement AOXY or increase its earnings potential. During this period, the Company has been in discussion with Companies looking to be acquired. AOXY has not negotiated any term</w:t>
      </w:r>
      <w:r>
        <w:rPr>
          <w:sz w:val="20"/>
          <w:szCs w:val="20"/>
        </w:rPr>
        <w:t>s nor proposed any acquisitions of any of these companies that have been accepted. In addition, the Company is in discussion with potential lending institutions to assist in financing any proposed acquisition. The Company expects difficulty in financing th</w:t>
      </w:r>
      <w:r>
        <w:rPr>
          <w:sz w:val="20"/>
          <w:szCs w:val="20"/>
        </w:rPr>
        <w:t>e growth of the increased business or acquisition and has been concentrating on raising capital and/or obtaining a line of credit.</w:t>
      </w:r>
    </w:p>
    <w:p w:rsidR="00000000" w:rsidRDefault="008D0E70">
      <w:pPr>
        <w:pStyle w:val="NormalWeb"/>
      </w:pPr>
      <w:r>
        <w:rPr>
          <w:sz w:val="20"/>
          <w:szCs w:val="20"/>
        </w:rPr>
        <w:t>HISTORICAL OPERATIONS:</w:t>
      </w:r>
    </w:p>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52"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r>
        <w:rPr>
          <w:sz w:val="20"/>
          <w:szCs w:val="20"/>
        </w:rPr>
        <w:lastRenderedPageBreak/>
        <w:t>On March 9, 1998, pursuant to an Agreement for Purchase and Sale of Specified Business Assets ("Purchase Agreement"</w:t>
      </w:r>
      <w:r>
        <w:rPr>
          <w:sz w:val="20"/>
          <w:szCs w:val="20"/>
        </w:rPr>
        <w:t>), a Promissory Note ("Note")</w:t>
      </w:r>
      <w:proofErr w:type="gramStart"/>
      <w:r>
        <w:rPr>
          <w:sz w:val="20"/>
          <w:szCs w:val="20"/>
        </w:rPr>
        <w:t>,and</w:t>
      </w:r>
      <w:proofErr w:type="gramEnd"/>
      <w:r>
        <w:rPr>
          <w:sz w:val="20"/>
          <w:szCs w:val="20"/>
        </w:rPr>
        <w:t xml:space="preserve"> a Security Agreement ("Security Agreement") all dated March 9, 1998, Advanced Oxygen Technologies, Inc. (the "Company") purchased certain tangible and intangible assets (the "Assets") including goodwill and rights under ce</w:t>
      </w:r>
      <w:r>
        <w:rPr>
          <w:sz w:val="20"/>
          <w:szCs w:val="20"/>
        </w:rPr>
        <w:t>rtain contracts, from Integrated Marketing Agency, Inc., a California Corporation ("IMA").</w:t>
      </w:r>
    </w:p>
    <w:p w:rsidR="00000000" w:rsidRDefault="008D0E70">
      <w:pPr>
        <w:pStyle w:val="NormalWeb"/>
      </w:pPr>
      <w:r>
        <w:rPr>
          <w:sz w:val="20"/>
          <w:szCs w:val="20"/>
        </w:rPr>
        <w:t xml:space="preserve">Pursuant to an employment agreement dated March 09, 1998 between the Company and John </w:t>
      </w:r>
      <w:proofErr w:type="spellStart"/>
      <w:r>
        <w:rPr>
          <w:sz w:val="20"/>
          <w:szCs w:val="20"/>
        </w:rPr>
        <w:t>Teuber</w:t>
      </w:r>
      <w:proofErr w:type="spellEnd"/>
      <w:r>
        <w:rPr>
          <w:sz w:val="20"/>
          <w:szCs w:val="20"/>
        </w:rPr>
        <w:t xml:space="preserve"> ("Employment Agreement"), on September 04, 1998 the Company terminated J</w:t>
      </w:r>
      <w:r>
        <w:rPr>
          <w:sz w:val="20"/>
          <w:szCs w:val="20"/>
        </w:rPr>
        <w:t xml:space="preserve">ohn </w:t>
      </w:r>
      <w:proofErr w:type="spellStart"/>
      <w:r>
        <w:rPr>
          <w:sz w:val="20"/>
          <w:szCs w:val="20"/>
        </w:rPr>
        <w:t>Teuber</w:t>
      </w:r>
      <w:proofErr w:type="spellEnd"/>
      <w:r>
        <w:rPr>
          <w:sz w:val="20"/>
          <w:szCs w:val="20"/>
        </w:rPr>
        <w:t xml:space="preserve"> for cause without relinquishing any of its rights or remedies. </w:t>
      </w:r>
    </w:p>
    <w:p w:rsidR="00000000" w:rsidRDefault="008D0E70">
      <w:pPr>
        <w:pStyle w:val="NormalWeb"/>
      </w:pPr>
      <w:r>
        <w:rPr>
          <w:sz w:val="20"/>
          <w:szCs w:val="20"/>
        </w:rPr>
        <w:t xml:space="preserve">Pursuant to the Note, the Purchase Agreement, and the Security Agreement between the Company and ("IMA"), the Company on September 04, 1998 exercised its right of "Set Off" </w:t>
      </w:r>
      <w:r>
        <w:rPr>
          <w:sz w:val="20"/>
          <w:szCs w:val="20"/>
        </w:rPr>
        <w:t>of the Note, as defined therein due to IMA's breach of numerous representations, warranties and covenants contained in the Note and certain ancillary documents. The Company further reserved any and all rights and remedies available to it under the Note, Pu</w:t>
      </w:r>
      <w:r>
        <w:rPr>
          <w:sz w:val="20"/>
          <w:szCs w:val="20"/>
        </w:rPr>
        <w:t xml:space="preserve">rchase Agreement and Security Agreement. </w:t>
      </w:r>
    </w:p>
    <w:p w:rsidR="00000000" w:rsidRDefault="008D0E70">
      <w:pPr>
        <w:pStyle w:val="NormalWeb"/>
      </w:pPr>
      <w:r>
        <w:rPr>
          <w:sz w:val="20"/>
          <w:szCs w:val="20"/>
        </w:rPr>
        <w:t>The Company entered into a two year employment agreement ("NAG Agreement" as contained in Exhibit I of the registrants SEC Form 10-K for the period ending June 30, 1998) with Nancy Gaylord on March 13, 1998. On Sep</w:t>
      </w:r>
      <w:r>
        <w:rPr>
          <w:sz w:val="20"/>
          <w:szCs w:val="20"/>
        </w:rPr>
        <w:t>tember 18, 1998, Nancy Gaylord terminated her employment with the Company. The NAG Agreement had no provision for this termination. The Company entered into a lease agreement as contained in Exhibit I of the registrants SEC Form 10-QSB for the period endin</w:t>
      </w:r>
      <w:r>
        <w:rPr>
          <w:sz w:val="20"/>
          <w:szCs w:val="20"/>
        </w:rPr>
        <w:t>g December 31, 1998 with America-United Enterprises Inc. on October 01, 1998 and took possession of 4,700 sf. of premises on November 06</w:t>
      </w:r>
      <w:proofErr w:type="gramStart"/>
      <w:r>
        <w:rPr>
          <w:sz w:val="20"/>
          <w:szCs w:val="20"/>
        </w:rPr>
        <w:t>,1998</w:t>
      </w:r>
      <w:proofErr w:type="gramEnd"/>
      <w:r>
        <w:rPr>
          <w:sz w:val="20"/>
          <w:szCs w:val="20"/>
        </w:rPr>
        <w:t xml:space="preserve"> in Santa Clarita for its CA location. Currently, this is the only California location of the Company. </w:t>
      </w:r>
    </w:p>
    <w:p w:rsidR="00000000" w:rsidRDefault="008D0E70">
      <w:pPr>
        <w:pStyle w:val="NormalWeb"/>
      </w:pPr>
      <w:r>
        <w:rPr>
          <w:sz w:val="20"/>
          <w:szCs w:val="20"/>
        </w:rPr>
        <w:t>On December</w:t>
      </w:r>
      <w:r>
        <w:rPr>
          <w:sz w:val="20"/>
          <w:szCs w:val="20"/>
        </w:rPr>
        <w:t xml:space="preserve"> 9, 1998 the company delivered to IMA, "Notification to Indemnifying Party and Demand for Indemnification for $2,251,266." Pursuant to the Note, the Purchase Agreement, the Security Agreement, and the Employment Agreement (collectively the "Agreements"), t</w:t>
      </w:r>
      <w:r>
        <w:rPr>
          <w:sz w:val="20"/>
          <w:szCs w:val="20"/>
        </w:rPr>
        <w:t xml:space="preserve">he Company demanded that IMA pay $2,251,266 or defend the Company against the Liabilities (as defined therein) due to, among other things, IMA's breach, representations, warranties, and violation of the Agreements. </w:t>
      </w:r>
    </w:p>
    <w:p w:rsidR="00000000" w:rsidRDefault="008D0E70">
      <w:pPr>
        <w:pStyle w:val="NormalWeb"/>
      </w:pPr>
      <w:r>
        <w:rPr>
          <w:sz w:val="20"/>
          <w:szCs w:val="20"/>
        </w:rPr>
        <w:t>On January 29, 1999, pursuant to the Pur</w:t>
      </w:r>
      <w:r>
        <w:rPr>
          <w:sz w:val="20"/>
          <w:szCs w:val="20"/>
        </w:rPr>
        <w:t>chase Agreement of 1/28/99, Advanced Oxygen Technologies, Inc. ("AOXY") purchased 1,670,000 shares of convertible preferred stock of Advanced Oxygen Technologies, Inc. ("STOCK") and a $550,000 promissory note issued by Advanced Oxygen Technologies, Inc. ("</w:t>
      </w:r>
      <w:r>
        <w:rPr>
          <w:sz w:val="20"/>
          <w:szCs w:val="20"/>
        </w:rPr>
        <w:t>Note") from Integrated Marketing Agency, Inc. ("IMA"). The terms of the Purchase Agreement were: AOXY paid $15,000 to IMA, assumed a Citicorp Computer Equipment Lease, #010-0031648-001 from IMA, delivered to IMA certain tangible business property (as liste</w:t>
      </w:r>
      <w:r>
        <w:rPr>
          <w:sz w:val="20"/>
          <w:szCs w:val="20"/>
        </w:rPr>
        <w:t>d in Exhibit A of the Purchase Agreement), executed a one year $5,000 promissory note with IMA, and delivered to IMA a Request For Dismissal of case #PS003684 (restraining order) filed in Los Angeles county superior court. IMA sold, transferred, and delive</w:t>
      </w:r>
      <w:r>
        <w:rPr>
          <w:sz w:val="20"/>
          <w:szCs w:val="20"/>
        </w:rPr>
        <w:t>red to AOXY the Stock and the Note. IMA sold, transferred, assigned and delivered the Note and the Stock to AOXY, executed documents with Citicorp Leasing, Inc. to effectuate an express assumption by AOXY of the obligation under lease #010-0031648-001 in t</w:t>
      </w:r>
      <w:r>
        <w:rPr>
          <w:sz w:val="20"/>
          <w:szCs w:val="20"/>
        </w:rPr>
        <w:t xml:space="preserve">he amount of $44,811.26, executed a UCC2 filing releasing UCC-1 filing #9807560696 filed by IMA on March 13, 1998, and delivered such documents as required. In addition, both IMA and AOXY provided mutual liability releases for the other. </w:t>
      </w:r>
    </w:p>
    <w:p w:rsidR="00000000" w:rsidRDefault="008D0E70">
      <w:pPr>
        <w:pStyle w:val="NormalWeb"/>
      </w:pPr>
      <w:r>
        <w:rPr>
          <w:sz w:val="20"/>
          <w:szCs w:val="20"/>
        </w:rPr>
        <w:t>On April 18, 2000</w:t>
      </w:r>
      <w:r>
        <w:rPr>
          <w:sz w:val="20"/>
          <w:szCs w:val="20"/>
        </w:rPr>
        <w:t>, notice was given that the Board of Directors and persons owning 64.7%, or 19,180,500 shares of common stock of Advanced Oxygen Technologies, Inc. have elected to adopt the following proposals: 1. To amend and restate the Company's Restated Articles of In</w:t>
      </w:r>
      <w:r>
        <w:rPr>
          <w:sz w:val="20"/>
          <w:szCs w:val="20"/>
        </w:rPr>
        <w:t>corporation to increase the Company's authorized Common Shares from 30,000,000 to 90,000,000 shares, 2. The Board of Directors has approved an amendment to the Company s Certificate of Incorporation to change the name of the Company to AOXY, Inc. The Compa</w:t>
      </w:r>
      <w:r>
        <w:rPr>
          <w:sz w:val="20"/>
          <w:szCs w:val="20"/>
        </w:rPr>
        <w:t xml:space="preserve">ny s current name was adopted in 1985 when the Company was focused on applications of its technology which it has since disposed of or otherwise abandoned. The Board of Directors believes it would be more appropriate for the Company to utilize a </w:t>
      </w:r>
    </w:p>
    <w:p w:rsidR="00000000" w:rsidRDefault="008D0E70">
      <w:pPr>
        <w:pStyle w:val="NormalWeb"/>
      </w:pPr>
      <w:proofErr w:type="gramStart"/>
      <w:r>
        <w:rPr>
          <w:sz w:val="20"/>
          <w:szCs w:val="20"/>
        </w:rPr>
        <w:t>corporate</w:t>
      </w:r>
      <w:proofErr w:type="gramEnd"/>
      <w:r>
        <w:rPr>
          <w:sz w:val="20"/>
          <w:szCs w:val="20"/>
        </w:rPr>
        <w:t xml:space="preserve"> name which more accurately describes the current focus of the Company or is not misleading as to the Company s operations. The above amendments to the Certificate of Incorporation will be filed with the Secretary of State of the State of Delaware, and the</w:t>
      </w:r>
      <w:r>
        <w:rPr>
          <w:sz w:val="20"/>
          <w:szCs w:val="20"/>
        </w:rPr>
        <w:t xml:space="preserve"> Name Change will become effective as of 5:00 p.m. Eastern Time, on the date of such filing.</w:t>
      </w:r>
    </w:p>
    <w:p w:rsidR="00000000" w:rsidRDefault="008D0E70">
      <w:pPr>
        <w:pStyle w:val="NormalWeb"/>
      </w:pPr>
      <w:r>
        <w:rPr>
          <w:sz w:val="20"/>
          <w:szCs w:val="20"/>
        </w:rPr>
        <w:t>On December 31, 2000, AOXY entered into an agreement with Eastern Star, ltd, and Baldwin Construction Co (the "Purchasers") whereby</w:t>
      </w:r>
      <w:proofErr w:type="gramStart"/>
      <w:r>
        <w:rPr>
          <w:sz w:val="20"/>
          <w:szCs w:val="20"/>
        </w:rPr>
        <w:t>  the</w:t>
      </w:r>
      <w:proofErr w:type="gramEnd"/>
      <w:r>
        <w:rPr>
          <w:sz w:val="20"/>
          <w:szCs w:val="20"/>
        </w:rPr>
        <w:t xml:space="preserve"> Purchasers will buy three </w:t>
      </w:r>
      <w:r>
        <w:rPr>
          <w:sz w:val="20"/>
          <w:szCs w:val="20"/>
        </w:rPr>
        <w:t>million shares of capital stock of AOXY for one hundred and twenty five thousand dollars pursuant to a purchase agreement ("Purchase Agreement"). The Company has concluded the issuance and delivery of the shares pursuant to the Purchase Agreement. In addit</w:t>
      </w:r>
      <w:r>
        <w:rPr>
          <w:sz w:val="20"/>
          <w:szCs w:val="20"/>
        </w:rPr>
        <w:t xml:space="preserve">ion, the Company received a request from Ann </w:t>
      </w:r>
      <w:proofErr w:type="spellStart"/>
      <w:r>
        <w:rPr>
          <w:sz w:val="20"/>
          <w:szCs w:val="20"/>
        </w:rPr>
        <w:t>Sejeroe</w:t>
      </w:r>
      <w:proofErr w:type="spellEnd"/>
      <w:r>
        <w:rPr>
          <w:sz w:val="20"/>
          <w:szCs w:val="20"/>
        </w:rPr>
        <w:t xml:space="preserve"> for a conversion of her 1 Preferred Share number P 0002 issued April 16, 1998, and in accordance with the restrictions, terms and conditions, as evidenced on the reverse side of the share certificate, th</w:t>
      </w:r>
      <w:r>
        <w:rPr>
          <w:sz w:val="20"/>
          <w:szCs w:val="20"/>
        </w:rPr>
        <w:t>e Company issued 333,333 shares bearing a restrictive legend.</w:t>
      </w:r>
    </w:p>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53"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r>
        <w:rPr>
          <w:sz w:val="20"/>
          <w:szCs w:val="20"/>
        </w:rPr>
        <w:lastRenderedPageBreak/>
        <w:t>The Company had a location in Santa Clarita, CA for operations. In 2000 the Company had abandoned this facility and equipment and maintained no staff ot</w:t>
      </w:r>
      <w:r>
        <w:rPr>
          <w:sz w:val="20"/>
          <w:szCs w:val="20"/>
        </w:rPr>
        <w:t>her than the sole officer of the Company. Currently, the sole officer of the Company allows the Company to maintain its books, records and operations at its office.</w:t>
      </w:r>
    </w:p>
    <w:p w:rsidR="00000000" w:rsidRDefault="008D0E70">
      <w:pPr>
        <w:pStyle w:val="NormalWeb"/>
      </w:pPr>
      <w:r>
        <w:rPr>
          <w:sz w:val="20"/>
          <w:szCs w:val="20"/>
        </w:rPr>
        <w:t>On February 14, 2002 the Company gave notice of the change of the Company's location, and l</w:t>
      </w:r>
      <w:r>
        <w:rPr>
          <w:sz w:val="20"/>
          <w:szCs w:val="20"/>
        </w:rPr>
        <w:t xml:space="preserve">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w:t>
      </w:r>
      <w:r>
        <w:rPr>
          <w:sz w:val="20"/>
          <w:szCs w:val="20"/>
        </w:rPr>
        <w:t>727-7085, Fax (208)-439-5488. This location is collocated with a related business of the president, Robert E. Wolfe.</w:t>
      </w:r>
    </w:p>
    <w:p w:rsidR="00000000" w:rsidRDefault="008D0E70">
      <w:pPr>
        <w:pStyle w:val="NormalWeb"/>
        <w:spacing w:after="240" w:afterAutospacing="0"/>
      </w:pPr>
      <w:r>
        <w:rPr>
          <w:sz w:val="20"/>
          <w:szCs w:val="20"/>
        </w:rPr>
        <w:t xml:space="preserve">The Company maintained a database ("Database") of business contacts that have participated in conference events. The Database was obtained </w:t>
      </w:r>
      <w:r>
        <w:rPr>
          <w:sz w:val="20"/>
          <w:szCs w:val="20"/>
        </w:rPr>
        <w:t xml:space="preserve">through acquisition and the Company's activities of marketing events and producing CD-ROMS for clients. AOXY had a database management contract with Dun and Bradstreet, ("DB") and Walter Karl, Inc., a division of </w:t>
      </w:r>
      <w:proofErr w:type="spellStart"/>
      <w:r>
        <w:rPr>
          <w:sz w:val="20"/>
          <w:szCs w:val="20"/>
        </w:rPr>
        <w:t>InfoUSA</w:t>
      </w:r>
      <w:proofErr w:type="spellEnd"/>
      <w:r>
        <w:rPr>
          <w:sz w:val="20"/>
          <w:szCs w:val="20"/>
        </w:rPr>
        <w:t xml:space="preserve">, Inc. ("WK") whereby, Walter Karl, </w:t>
      </w:r>
      <w:r>
        <w:rPr>
          <w:sz w:val="20"/>
          <w:szCs w:val="20"/>
        </w:rPr>
        <w:t>Inc. will broker the Company's Database. Walter Karl's function was to market and rent the data contained in the Database. This was available in one of two formats: on a one time basis, or a 'database' basis whereby the customer will commit to a minimum nu</w:t>
      </w:r>
      <w:r>
        <w:rPr>
          <w:sz w:val="20"/>
          <w:szCs w:val="20"/>
        </w:rPr>
        <w:t>mber of contact names. The majority of the customers using the Database through WK were direct business to business marketers. WK received a fee for each sale. During the year ending June 30, 2002 Walter Karl was the Company s only source of revenue. Durin</w:t>
      </w:r>
      <w:r>
        <w:rPr>
          <w:sz w:val="20"/>
          <w:szCs w:val="20"/>
        </w:rPr>
        <w:t xml:space="preserve">g this period, Walter Karl was the Company s only customer. At the same time AOXY had an agreement with Dun and Bradstreet whereby DB would update, correct, append, and offer deletions to the Database. DB would evaluate the Database each time, and had the </w:t>
      </w:r>
      <w:r>
        <w:rPr>
          <w:sz w:val="20"/>
          <w:szCs w:val="20"/>
        </w:rPr>
        <w:t>option to purchase contacts on a case by case as they saw fit, in which case AOXY would receive a fee. Correspondingly, should AOXY, rent, sell or otherwise profit from registered DB information, AOXY would pay a fee to DB.</w:t>
      </w:r>
    </w:p>
    <w:p w:rsidR="00000000" w:rsidRDefault="008D0E70">
      <w:pPr>
        <w:pStyle w:val="NormalWeb"/>
      </w:pPr>
      <w:r>
        <w:rPr>
          <w:sz w:val="20"/>
          <w:szCs w:val="20"/>
        </w:rPr>
        <w:t>At a special meeting of the Bo</w:t>
      </w:r>
      <w:r>
        <w:rPr>
          <w:sz w:val="20"/>
          <w:szCs w:val="20"/>
        </w:rPr>
        <w:t xml:space="preserve">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w:t>
      </w:r>
      <w:r>
        <w:rPr>
          <w:sz w:val="20"/>
          <w:szCs w:val="20"/>
        </w:rPr>
        <w:t xml:space="preserve">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in the IT sector. During this period, Kurt has developed as a business </w:t>
      </w:r>
      <w:r>
        <w:rPr>
          <w:sz w:val="20"/>
          <w:szCs w:val="20"/>
        </w:rPr>
        <w:t xml:space="preserve">entrepreneur, building and selling an IT business. Lawrence </w:t>
      </w:r>
      <w:proofErr w:type="spellStart"/>
      <w:r>
        <w:rPr>
          <w:sz w:val="20"/>
          <w:szCs w:val="20"/>
        </w:rPr>
        <w:t>Donofrio</w:t>
      </w:r>
      <w:proofErr w:type="spellEnd"/>
      <w:r>
        <w:rPr>
          <w:sz w:val="20"/>
          <w:szCs w:val="20"/>
        </w:rPr>
        <w:t xml:space="preserve"> graduated from Hamilton College with a BA in English studies. He then worked at Citibank for three years as a financial analyst, and five years as a private financial consultant. He then </w:t>
      </w:r>
      <w:r>
        <w:rPr>
          <w:sz w:val="20"/>
          <w:szCs w:val="20"/>
        </w:rPr>
        <w:t>took a position with Bankers Trust for two years and since 1982 has been a private consultant in the financial industry.</w:t>
      </w:r>
    </w:p>
    <w:p w:rsidR="00000000" w:rsidRDefault="008D0E70">
      <w:pPr>
        <w:pStyle w:val="NormalWeb"/>
      </w:pPr>
      <w:r>
        <w:rPr>
          <w:sz w:val="20"/>
          <w:szCs w:val="20"/>
        </w:rPr>
        <w:t>Pursuant to a stock acquisition on March 05, 2003 Advanced Oxygen Technologies, Inc. (AOXY or the Buyer) purchased 100% of the issued a</w:t>
      </w:r>
      <w:r>
        <w:rPr>
          <w:sz w:val="20"/>
          <w:szCs w:val="20"/>
        </w:rPr>
        <w:t xml:space="preserve">nd outstanding stock of IP Services, </w:t>
      </w:r>
      <w:proofErr w:type="spellStart"/>
      <w:r>
        <w:rPr>
          <w:sz w:val="20"/>
          <w:szCs w:val="20"/>
        </w:rPr>
        <w:t>ApS</w:t>
      </w:r>
      <w:proofErr w:type="spellEnd"/>
      <w:r>
        <w:rPr>
          <w:sz w:val="20"/>
          <w:szCs w:val="20"/>
        </w:rPr>
        <w:t xml:space="preserve"> (IP or the Company) from all of its owners (the Shareholders) for value of five hundred thousand dollars (Purchase Price). AOXY issued fourteen million shares of common stock and one share of preferred convertible s</w:t>
      </w:r>
      <w:r>
        <w:rPr>
          <w:sz w:val="20"/>
          <w:szCs w:val="20"/>
        </w:rPr>
        <w:t xml:space="preserve">tock to the Shareholders for payment and consideration of the Purchase Price. Concurrently, pursuant to an Employment Agreement on March 05, 2003 AOXY entered into an agreement with Kurd </w:t>
      </w:r>
      <w:proofErr w:type="spellStart"/>
      <w:r>
        <w:rPr>
          <w:sz w:val="20"/>
          <w:szCs w:val="20"/>
        </w:rPr>
        <w:t>Sondergaard</w:t>
      </w:r>
      <w:proofErr w:type="spellEnd"/>
      <w:r>
        <w:rPr>
          <w:sz w:val="20"/>
          <w:szCs w:val="20"/>
        </w:rPr>
        <w:t xml:space="preserve"> (Employee). The Employee will be employed by AOXY for fou</w:t>
      </w:r>
      <w:r>
        <w:rPr>
          <w:sz w:val="20"/>
          <w:szCs w:val="20"/>
        </w:rPr>
        <w:t>r years and will perform duties of president of IP, and AOXY and the Shareholders entered into a covenant of non competition agreement whereby the Shareholders agreed not to compete with IP for a period of five years.</w:t>
      </w:r>
    </w:p>
    <w:p w:rsidR="00000000" w:rsidRDefault="008D0E70">
      <w:pPr>
        <w:pStyle w:val="NormalWeb"/>
        <w:spacing w:after="240" w:afterAutospacing="0"/>
      </w:pPr>
      <w:r>
        <w:rPr>
          <w:sz w:val="20"/>
          <w:szCs w:val="20"/>
        </w:rPr>
        <w:t>Pursuant to a stock acquisition agreem</w:t>
      </w:r>
      <w:r>
        <w:rPr>
          <w:sz w:val="20"/>
          <w:szCs w:val="20"/>
        </w:rPr>
        <w:t xml:space="preserve">ent, on February 3, 2006 Advanced Oxygen Technologies, Inc. ("AOXY")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previous shareholder of AOXY) for Six Hundred and Fifty Thousand US </w:t>
      </w:r>
      <w:r>
        <w:rPr>
          <w:sz w:val="20"/>
          <w:szCs w:val="20"/>
        </w:rPr>
        <w:t>Dollars. ANV owns commercial real estate and produces rental income.</w:t>
      </w:r>
    </w:p>
    <w:p w:rsidR="00000000" w:rsidRDefault="008D0E70">
      <w:pPr>
        <w:pStyle w:val="NormalWeb"/>
      </w:pPr>
      <w:r>
        <w:rPr>
          <w:sz w:val="20"/>
          <w:szCs w:val="20"/>
        </w:rPr>
        <w:t xml:space="preserve">On August 1, 2006, the Company was notified by Bernstein &amp; </w:t>
      </w:r>
      <w:proofErr w:type="spellStart"/>
      <w:r>
        <w:rPr>
          <w:sz w:val="20"/>
          <w:szCs w:val="20"/>
        </w:rPr>
        <w:t>Pinchuk</w:t>
      </w:r>
      <w:proofErr w:type="spellEnd"/>
      <w:r>
        <w:rPr>
          <w:sz w:val="20"/>
          <w:szCs w:val="20"/>
        </w:rPr>
        <w:t xml:space="preserve"> LLP that they had resigned as the Company's independent auditors. On September 12, 2006 the Company engaged </w:t>
      </w:r>
      <w:proofErr w:type="spellStart"/>
      <w:r>
        <w:rPr>
          <w:sz w:val="20"/>
          <w:szCs w:val="20"/>
        </w:rPr>
        <w:t>Horwath</w:t>
      </w:r>
      <w:proofErr w:type="spellEnd"/>
      <w:r>
        <w:rPr>
          <w:sz w:val="20"/>
          <w:szCs w:val="20"/>
        </w:rPr>
        <w:t xml:space="preserve"> </w:t>
      </w:r>
      <w:proofErr w:type="spellStart"/>
      <w:r>
        <w:rPr>
          <w:sz w:val="20"/>
          <w:szCs w:val="20"/>
        </w:rPr>
        <w:t>Re</w:t>
      </w:r>
      <w:r>
        <w:rPr>
          <w:sz w:val="20"/>
          <w:szCs w:val="20"/>
        </w:rPr>
        <w:t>visorenrne</w:t>
      </w:r>
      <w:proofErr w:type="spellEnd"/>
      <w:r>
        <w:rPr>
          <w:sz w:val="20"/>
          <w:szCs w:val="20"/>
        </w:rPr>
        <w:t xml:space="preserve">, AS </w:t>
      </w:r>
      <w:proofErr w:type="spellStart"/>
      <w:r>
        <w:rPr>
          <w:sz w:val="20"/>
          <w:szCs w:val="20"/>
        </w:rPr>
        <w:t>Strandvejen</w:t>
      </w:r>
      <w:proofErr w:type="spellEnd"/>
      <w:r>
        <w:rPr>
          <w:sz w:val="20"/>
          <w:szCs w:val="20"/>
        </w:rPr>
        <w:t xml:space="preserve"> 58, </w:t>
      </w:r>
      <w:proofErr w:type="spellStart"/>
      <w:r>
        <w:rPr>
          <w:sz w:val="20"/>
          <w:szCs w:val="20"/>
        </w:rPr>
        <w:t>Hellerup</w:t>
      </w:r>
      <w:proofErr w:type="spellEnd"/>
      <w:r>
        <w:rPr>
          <w:sz w:val="20"/>
          <w:szCs w:val="20"/>
        </w:rPr>
        <w:t>, Denmark as its certified independent accounting firm/outside auditor.</w:t>
      </w:r>
    </w:p>
    <w:p w:rsidR="00000000" w:rsidRDefault="008D0E70">
      <w:pPr>
        <w:pStyle w:val="NormalWeb"/>
      </w:pPr>
      <w:r>
        <w:rPr>
          <w:sz w:val="20"/>
          <w:szCs w:val="20"/>
        </w:rPr>
        <w:t xml:space="preserve">On September 1, 2006 the Company sold its minority position of 20% of Mobile Group Inc. to KBA Holding </w:t>
      </w:r>
      <w:proofErr w:type="spellStart"/>
      <w:r>
        <w:rPr>
          <w:sz w:val="20"/>
          <w:szCs w:val="20"/>
        </w:rPr>
        <w:t>ApS</w:t>
      </w:r>
      <w:proofErr w:type="spellEnd"/>
      <w:r>
        <w:rPr>
          <w:sz w:val="20"/>
          <w:szCs w:val="20"/>
        </w:rPr>
        <w:t xml:space="preserve"> for one dollar.</w:t>
      </w:r>
    </w:p>
    <w:p w:rsidR="00000000" w:rsidRDefault="008D0E70">
      <w:pPr>
        <w:pStyle w:val="NormalWeb"/>
      </w:pPr>
      <w:r>
        <w:rPr>
          <w:sz w:val="20"/>
          <w:szCs w:val="20"/>
        </w:rPr>
        <w:t>On January 17 2007, t</w:t>
      </w:r>
      <w:r>
        <w:rPr>
          <w:sz w:val="20"/>
          <w:szCs w:val="20"/>
        </w:rPr>
        <w:t>he Company's location, and location of books and records has changed from Advanced Oxygen Technologies, Inc. C/O Crossfield Inc. 133 West 13th St. Suite #5 New York, NY 10011 ("Old Location") to Advanced Oxygen Technologies, Inc. c/o Crossfield, Inc. 100 M</w:t>
      </w:r>
      <w:r>
        <w:rPr>
          <w:sz w:val="20"/>
          <w:szCs w:val="20"/>
        </w:rPr>
        <w:t>aiden Lane, Suite 2003, New York, NY 10038, Telephone (212)-727-7085, Fax (208)-439-5488. This location is collocated with a related business of the president, Robert E. Wolfe.</w:t>
      </w:r>
    </w:p>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54"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r>
        <w:rPr>
          <w:sz w:val="20"/>
          <w:szCs w:val="20"/>
        </w:rPr>
        <w:lastRenderedPageBreak/>
        <w:t>On March 5 2009, the Company's location, and location of books and records has changed from Advanced Oxygen Technologies, Inc. C/O 100 Maiden Lane, Suit</w:t>
      </w:r>
      <w:r>
        <w:rPr>
          <w:sz w:val="20"/>
          <w:szCs w:val="20"/>
        </w:rPr>
        <w:t xml:space="preserve">e 2003 New York, NY 10038 ("Old Location") to Advanced Oxygen Technologies, Inc. c/o Crossfield, Inc. 653 VT Route 12A, PO Box 189, Randolph VT 05060, Telephone (212)-727-7085, Fax (802)-332-6100. This location is collocated with a related business of the </w:t>
      </w:r>
      <w:r>
        <w:rPr>
          <w:sz w:val="20"/>
          <w:szCs w:val="20"/>
        </w:rPr>
        <w:t>president, Robert E. Wolfe.</w:t>
      </w:r>
    </w:p>
    <w:p w:rsidR="00000000" w:rsidRDefault="008D0E70">
      <w:pPr>
        <w:pStyle w:val="NormalWeb"/>
      </w:pPr>
      <w:proofErr w:type="gramStart"/>
      <w:r>
        <w:rPr>
          <w:b/>
          <w:bCs/>
          <w:sz w:val="20"/>
          <w:szCs w:val="20"/>
        </w:rPr>
        <w:t>ITEM 3.</w:t>
      </w:r>
      <w:proofErr w:type="gramEnd"/>
      <w:r>
        <w:rPr>
          <w:b/>
          <w:bCs/>
          <w:sz w:val="20"/>
          <w:szCs w:val="20"/>
        </w:rPr>
        <w:t xml:space="preserve"> Quantitative and Qualitative Disclosures </w:t>
      </w:r>
      <w:proofErr w:type="gramStart"/>
      <w:r>
        <w:rPr>
          <w:b/>
          <w:bCs/>
          <w:sz w:val="20"/>
          <w:szCs w:val="20"/>
        </w:rPr>
        <w:t>About</w:t>
      </w:r>
      <w:proofErr w:type="gramEnd"/>
      <w:r>
        <w:rPr>
          <w:b/>
          <w:bCs/>
          <w:sz w:val="20"/>
          <w:szCs w:val="20"/>
        </w:rPr>
        <w:t xml:space="preserve"> Market Risk:</w:t>
      </w:r>
    </w:p>
    <w:p w:rsidR="00000000" w:rsidRDefault="008D0E70">
      <w:pPr>
        <w:pStyle w:val="NormalWeb"/>
      </w:pPr>
      <w:r>
        <w:rPr>
          <w:sz w:val="20"/>
          <w:szCs w:val="20"/>
        </w:rPr>
        <w:t>Smaller reporting companies are not required to provide the information required by this Item.</w:t>
      </w:r>
    </w:p>
    <w:p w:rsidR="00000000" w:rsidRDefault="008D0E70">
      <w:pPr>
        <w:pStyle w:val="NormalWeb"/>
        <w:spacing w:after="240" w:afterAutospacing="0"/>
      </w:pPr>
      <w:proofErr w:type="gramStart"/>
      <w:r>
        <w:rPr>
          <w:b/>
          <w:bCs/>
          <w:sz w:val="20"/>
          <w:szCs w:val="20"/>
        </w:rPr>
        <w:t>ITEM 4.</w:t>
      </w:r>
      <w:proofErr w:type="gramEnd"/>
      <w:r>
        <w:rPr>
          <w:b/>
          <w:bCs/>
          <w:sz w:val="20"/>
          <w:szCs w:val="20"/>
        </w:rPr>
        <w:t xml:space="preserve"> CONTROLS AND PROCEDURES</w:t>
      </w:r>
    </w:p>
    <w:p w:rsidR="00000000" w:rsidRDefault="008D0E70">
      <w:pPr>
        <w:pStyle w:val="NormalWeb"/>
      </w:pPr>
      <w:r>
        <w:rPr>
          <w:sz w:val="20"/>
          <w:szCs w:val="20"/>
        </w:rPr>
        <w:t>EVALUATION OF DISCLOSURE CONT</w:t>
      </w:r>
      <w:r>
        <w:rPr>
          <w:sz w:val="20"/>
          <w:szCs w:val="20"/>
        </w:rPr>
        <w:t>ROLS AND PROCEDURES</w:t>
      </w:r>
    </w:p>
    <w:p w:rsidR="00000000" w:rsidRDefault="008D0E70">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operation of our discl</w:t>
      </w:r>
      <w:r>
        <w:rPr>
          <w:sz w:val="20"/>
          <w:szCs w:val="20"/>
        </w:rPr>
        <w:t xml:space="preserve">osure controls and procedures. The term “disclosure controls and procedures,” as defined in Rules 13a-15(e) and 15d-15(e) under the Securities and Exchange Act of 1934, as amended (“Exchange Act”), means controls and other procedures of a company that are </w:t>
      </w:r>
      <w:r>
        <w:rPr>
          <w:sz w:val="20"/>
          <w:szCs w:val="20"/>
        </w:rPr>
        <w:t>designed to ensure that information required to be disclosed by the company in the reports it files or submits under the Exchange Act is recorded, processed, summarized and reported, within the time periods specified in the Securities and Exchange Commissi</w:t>
      </w:r>
      <w:r>
        <w:rPr>
          <w:sz w:val="20"/>
          <w:szCs w:val="20"/>
        </w:rPr>
        <w:t>on’s rules and forms. Disclosure controls and procedures also include, without limitation, controls and procedures designed to ensure that information required to be disclosed by a company in the reports that it files or submits under the Exchange Act is a</w:t>
      </w:r>
      <w:r>
        <w:rPr>
          <w:sz w:val="20"/>
          <w:szCs w:val="20"/>
        </w:rPr>
        <w:t>ccumulated and communicated to the company’s management, including its principal executive and principal financial officers, or persons performing similar functions, as appropriate, to allow timely decisions regarding required disclosure. Based on this eva</w:t>
      </w:r>
      <w:r>
        <w:rPr>
          <w:sz w:val="20"/>
          <w:szCs w:val="20"/>
        </w:rPr>
        <w:t>luation, our Chief Executive Officer and Acting Chief Financial Officer concluded as of March 31, 2013 that our disclosure controls and procedures were effective at ensuring that the material information required to be disclosed in the Exchange Act reports</w:t>
      </w:r>
      <w:r>
        <w:rPr>
          <w:sz w:val="20"/>
          <w:szCs w:val="20"/>
        </w:rPr>
        <w:t xml:space="preserve"> is recorded, processed, summarized and reported as required in applicable SEC rules and forms.</w:t>
      </w:r>
    </w:p>
    <w:p w:rsidR="00000000" w:rsidRDefault="008D0E70">
      <w:pPr>
        <w:pStyle w:val="NormalWeb"/>
      </w:pPr>
      <w:r>
        <w:rPr>
          <w:sz w:val="20"/>
          <w:szCs w:val="20"/>
        </w:rPr>
        <w:t>During the quarter ended March 31, 2013, there were no changes in our internal control over financial reporting identified in connection with management’s evalu</w:t>
      </w:r>
      <w:r>
        <w:rPr>
          <w:sz w:val="20"/>
          <w:szCs w:val="20"/>
        </w:rPr>
        <w:t>ation of the effectiveness of our internal control over the financial reporting that have materially affected, or are reasonably likely to materially affect, our internal control over financial reporting as defined in Rules 13a-15(f) and 15d-15(f) under th</w:t>
      </w:r>
      <w:r>
        <w:rPr>
          <w:sz w:val="20"/>
          <w:szCs w:val="20"/>
        </w:rPr>
        <w:t>e Exchange Act.</w:t>
      </w:r>
    </w:p>
    <w:p w:rsidR="00000000" w:rsidRDefault="008D0E70">
      <w:pPr>
        <w:rPr>
          <w:rFonts w:eastAsia="Times New Roman"/>
        </w:rPr>
      </w:pPr>
      <w:r>
        <w:rPr>
          <w:rFonts w:eastAsia="Times New Roman"/>
          <w:b/>
          <w:bCs/>
          <w:sz w:val="20"/>
          <w:szCs w:val="20"/>
        </w:rPr>
        <w:t xml:space="preserve">PART II </w:t>
      </w:r>
    </w:p>
    <w:p w:rsidR="00000000" w:rsidRDefault="008D0E70">
      <w:pPr>
        <w:pStyle w:val="NormalWeb"/>
      </w:pPr>
      <w:r>
        <w:rPr>
          <w:b/>
          <w:bCs/>
          <w:sz w:val="20"/>
          <w:szCs w:val="20"/>
        </w:rPr>
        <w:t>ITEM 1: LEGAL PROCEEDINGS</w:t>
      </w:r>
    </w:p>
    <w:p w:rsidR="00000000" w:rsidRDefault="008D0E70">
      <w:pPr>
        <w:pStyle w:val="NormalWeb"/>
      </w:pPr>
      <w:r>
        <w:rPr>
          <w:sz w:val="20"/>
          <w:szCs w:val="20"/>
        </w:rPr>
        <w:t>None</w:t>
      </w:r>
      <w:r>
        <w:rPr>
          <w:sz w:val="20"/>
          <w:szCs w:val="20"/>
        </w:rPr>
        <w:br/>
      </w:r>
      <w:r>
        <w:rPr>
          <w:sz w:val="20"/>
          <w:szCs w:val="20"/>
        </w:rPr>
        <w:br/>
      </w:r>
      <w:r>
        <w:rPr>
          <w:b/>
          <w:bCs/>
          <w:sz w:val="20"/>
          <w:szCs w:val="20"/>
        </w:rPr>
        <w:t>ITEM 2. UNREGISTERED SALES OF EQUITY SECURITIES AND USE OF PROCEEDS</w:t>
      </w:r>
    </w:p>
    <w:p w:rsidR="00000000" w:rsidRDefault="008D0E70">
      <w:pPr>
        <w:pStyle w:val="NormalWeb"/>
      </w:pPr>
      <w:r>
        <w:rPr>
          <w:sz w:val="20"/>
          <w:szCs w:val="20"/>
        </w:rPr>
        <w:t>None</w:t>
      </w:r>
      <w:r>
        <w:rPr>
          <w:sz w:val="20"/>
          <w:szCs w:val="20"/>
        </w:rPr>
        <w:br/>
      </w:r>
      <w:r>
        <w:rPr>
          <w:sz w:val="20"/>
          <w:szCs w:val="20"/>
        </w:rPr>
        <w:br/>
      </w:r>
      <w:r>
        <w:rPr>
          <w:b/>
          <w:bCs/>
          <w:sz w:val="20"/>
          <w:szCs w:val="20"/>
        </w:rPr>
        <w:t>ITEM 3. DEFAULTS UPON SENIOR SECURITIES</w:t>
      </w:r>
    </w:p>
    <w:p w:rsidR="00000000" w:rsidRDefault="008D0E70">
      <w:pPr>
        <w:pStyle w:val="NormalWeb"/>
      </w:pPr>
      <w:r>
        <w:rPr>
          <w:sz w:val="20"/>
          <w:szCs w:val="20"/>
        </w:rPr>
        <w:t>None</w:t>
      </w:r>
    </w:p>
    <w:p w:rsidR="00000000" w:rsidRDefault="008D0E70">
      <w:pPr>
        <w:pStyle w:val="NormalWeb"/>
      </w:pPr>
      <w:proofErr w:type="gramStart"/>
      <w:r>
        <w:rPr>
          <w:b/>
          <w:bCs/>
          <w:sz w:val="20"/>
          <w:szCs w:val="20"/>
        </w:rPr>
        <w:t>ITEM 4.</w:t>
      </w:r>
      <w:proofErr w:type="gramEnd"/>
      <w:r>
        <w:rPr>
          <w:b/>
          <w:bCs/>
          <w:sz w:val="20"/>
          <w:szCs w:val="20"/>
        </w:rPr>
        <w:t xml:space="preserve"> SUBMISSION OF MATTERS TO A VOTE OF SECURITY HOLDERS</w:t>
      </w:r>
    </w:p>
    <w:p w:rsidR="00000000" w:rsidRDefault="008D0E70">
      <w:pPr>
        <w:pStyle w:val="NormalWeb"/>
      </w:pPr>
      <w:r>
        <w:rPr>
          <w:sz w:val="20"/>
          <w:szCs w:val="20"/>
        </w:rPr>
        <w:t>None</w:t>
      </w:r>
    </w:p>
    <w:p w:rsidR="00000000" w:rsidRDefault="008D0E70">
      <w:pPr>
        <w:pStyle w:val="NormalWeb"/>
      </w:pPr>
      <w:proofErr w:type="gramStart"/>
      <w:r>
        <w:rPr>
          <w:b/>
          <w:bCs/>
          <w:sz w:val="20"/>
          <w:szCs w:val="20"/>
        </w:rPr>
        <w:t>ITEM 5.</w:t>
      </w:r>
      <w:proofErr w:type="gramEnd"/>
      <w:r>
        <w:rPr>
          <w:b/>
          <w:bCs/>
          <w:sz w:val="20"/>
          <w:szCs w:val="20"/>
        </w:rPr>
        <w:t xml:space="preserve"> OTHER INFORMATION</w:t>
      </w:r>
    </w:p>
    <w:p w:rsidR="00000000" w:rsidRDefault="008D0E70">
      <w:pPr>
        <w:pStyle w:val="NormalWeb"/>
      </w:pPr>
      <w:r>
        <w:rPr>
          <w:sz w:val="20"/>
          <w:szCs w:val="20"/>
        </w:rPr>
        <w:t>None</w:t>
      </w:r>
    </w:p>
    <w:p w:rsidR="00000000" w:rsidRDefault="008D0E70">
      <w:pPr>
        <w:pStyle w:val="NormalWeb"/>
      </w:pPr>
      <w:hyperlink w:anchor="toc" w:history="1">
        <w:r>
          <w:rPr>
            <w:rStyle w:val="Hyperlink"/>
            <w:b/>
            <w:bCs/>
            <w:sz w:val="20"/>
            <w:szCs w:val="20"/>
          </w:rPr>
          <w:t>Return to Table of Contents</w:t>
        </w:r>
      </w:hyperlink>
    </w:p>
    <w:p w:rsidR="00FC32F9" w:rsidRDefault="000D47D3">
      <w:pPr>
        <w:rPr>
          <w:rFonts w:eastAsia="Times New Roman"/>
        </w:rPr>
      </w:pPr>
      <w:r>
        <w:rPr>
          <w:rFonts w:eastAsia="Times New Roman"/>
        </w:rPr>
        <w:pict>
          <v:rect id="_x0000_i1055" style="width:0;height:3pt" o:hralign="center" o:hrstd="t" o:hrnoshade="t" o:hr="t" fillcolor="black" stroked="f"/>
        </w:pict>
      </w:r>
    </w:p>
    <w:p w:rsidR="00FC32F9" w:rsidRDefault="00FC32F9">
      <w:pPr>
        <w:rPr>
          <w:rFonts w:eastAsia="Times New Roman"/>
        </w:rPr>
      </w:pPr>
      <w:r>
        <w:rPr>
          <w:rFonts w:eastAsia="Times New Roman"/>
        </w:rPr>
        <w:br w:type="page"/>
      </w:r>
    </w:p>
    <w:p w:rsidR="00000000" w:rsidRDefault="008D0E70">
      <w:pPr>
        <w:pStyle w:val="NormalWeb"/>
      </w:pPr>
      <w:r>
        <w:rPr>
          <w:b/>
          <w:bCs/>
          <w:sz w:val="20"/>
          <w:szCs w:val="20"/>
        </w:rPr>
        <w:lastRenderedPageBreak/>
        <w:t>ITEM 6: EXHIBITS AND REPORTS ON FORM 8-K</w:t>
      </w:r>
    </w:p>
    <w:p w:rsidR="00000000" w:rsidRDefault="008D0E70">
      <w:pPr>
        <w:pStyle w:val="NormalWeb"/>
      </w:pPr>
      <w:r>
        <w:rPr>
          <w:sz w:val="20"/>
          <w:szCs w:val="20"/>
        </w:rPr>
        <w:t>During the 3 month period ending March 31, 2013, the Company filed no reports on Form 8-K.</w:t>
      </w:r>
    </w:p>
    <w:p w:rsidR="00000000" w:rsidRDefault="008D0E70">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w:t>
      </w:r>
      <w:r>
        <w:rPr>
          <w:b/>
          <w:bCs/>
          <w:sz w:val="20"/>
          <w:szCs w:val="20"/>
        </w:rPr>
        <w:t>NT TO</w:t>
      </w:r>
      <w:r>
        <w:rPr>
          <w:b/>
          <w:bCs/>
          <w:sz w:val="20"/>
          <w:szCs w:val="20"/>
        </w:rPr>
        <w:br/>
        <w:t>SECTION 906 OF THE SARBANES-OXLEY ACT OF 2002</w:t>
      </w:r>
    </w:p>
    <w:p w:rsidR="00000000" w:rsidRDefault="008D0E70">
      <w:pPr>
        <w:pStyle w:val="NormalWeb"/>
      </w:pPr>
      <w:r>
        <w:rPr>
          <w:b/>
          <w:bCs/>
          <w:sz w:val="20"/>
          <w:szCs w:val="20"/>
        </w:rPr>
        <w:t>EXHIBIT 99.906CERT (B</w:t>
      </w:r>
      <w:proofErr w:type="gramStart"/>
      <w:r>
        <w:rPr>
          <w:b/>
          <w:bCs/>
          <w:sz w:val="20"/>
          <w:szCs w:val="20"/>
        </w:rPr>
        <w:t>)</w:t>
      </w:r>
      <w:proofErr w:type="gramEnd"/>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000000" w:rsidRDefault="008D0E70">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w:t>
      </w:r>
      <w:r>
        <w:rPr>
          <w:b/>
          <w:bCs/>
          <w:sz w:val="20"/>
          <w:szCs w:val="20"/>
        </w:rPr>
        <w:t>ION 302 OF THE SARBANES-OXLEY ACT OF 2002</w:t>
      </w:r>
    </w:p>
    <w:p w:rsidR="00000000" w:rsidRDefault="008D0E70">
      <w:pPr>
        <w:pStyle w:val="NormalWeb"/>
      </w:pPr>
      <w:r>
        <w:rPr>
          <w:b/>
          <w:bCs/>
          <w:sz w:val="20"/>
          <w:szCs w:val="20"/>
        </w:rPr>
        <w:t>EXHIBIT 99.CERT (D</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8D0E70">
      <w:pPr>
        <w:pStyle w:val="NormalWeb"/>
      </w:pPr>
    </w:p>
    <w:p w:rsidR="00000000" w:rsidRDefault="008D0E70">
      <w:pPr>
        <w:pStyle w:val="NormalWeb"/>
      </w:pPr>
      <w:r>
        <w:rPr>
          <w:sz w:val="20"/>
          <w:szCs w:val="20"/>
        </w:rPr>
        <w:t xml:space="preserve">SIGNATURE </w:t>
      </w:r>
    </w:p>
    <w:p w:rsidR="00000000" w:rsidRDefault="008D0E70">
      <w:pPr>
        <w:pStyle w:val="NormalWeb"/>
      </w:pPr>
      <w:r>
        <w:rPr>
          <w:sz w:val="20"/>
          <w:szCs w:val="20"/>
        </w:rPr>
        <w:t xml:space="preserve">In accordance with the requirements of the Exchange Act, the Registrant has caused this report to be signed on its behalf by the undersigned, thereunto duly authorized. </w:t>
      </w:r>
    </w:p>
    <w:p w:rsidR="00000000" w:rsidRDefault="008D0E70">
      <w:pPr>
        <w:pStyle w:val="NormalWeb"/>
      </w:pPr>
      <w:r>
        <w:rPr>
          <w:sz w:val="20"/>
          <w:szCs w:val="20"/>
        </w:rPr>
        <w:t>Date: May 7, 2013</w:t>
      </w:r>
    </w:p>
    <w:p w:rsidR="00000000" w:rsidRDefault="008D0E70">
      <w:pPr>
        <w:pStyle w:val="NormalWeb"/>
      </w:pPr>
      <w:r>
        <w:rPr>
          <w:sz w:val="20"/>
          <w:szCs w:val="20"/>
        </w:rPr>
        <w:t> </w:t>
      </w:r>
    </w:p>
    <w:p w:rsidR="00000000" w:rsidRDefault="008D0E70">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00000" w:rsidRDefault="008D0E70">
      <w:pPr>
        <w:pStyle w:val="NormalWeb"/>
      </w:pPr>
      <w:r>
        <w:rPr>
          <w:sz w:val="20"/>
          <w:szCs w:val="20"/>
        </w:rPr>
        <w:t> </w:t>
      </w:r>
    </w:p>
    <w:sectPr w:rsidR="00000000" w:rsidSect="00FC32F9">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D47D3"/>
    <w:rsid w:val="000D47D3"/>
    <w:rsid w:val="002979D3"/>
    <w:rsid w:val="008D0E70"/>
    <w:rsid w:val="00FC3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490801340">
      <w:marLeft w:val="0"/>
      <w:marRight w:val="0"/>
      <w:marTop w:val="0"/>
      <w:marBottom w:val="0"/>
      <w:divBdr>
        <w:top w:val="none" w:sz="0" w:space="0" w:color="auto"/>
        <w:left w:val="none" w:sz="0" w:space="0" w:color="auto"/>
        <w:bottom w:val="none" w:sz="0" w:space="0" w:color="auto"/>
        <w:right w:val="none" w:sz="0" w:space="0" w:color="auto"/>
      </w:divBdr>
    </w:div>
    <w:div w:id="617032176">
      <w:marLeft w:val="0"/>
      <w:marRight w:val="0"/>
      <w:marTop w:val="0"/>
      <w:marBottom w:val="0"/>
      <w:divBdr>
        <w:top w:val="none" w:sz="0" w:space="0" w:color="auto"/>
        <w:left w:val="none" w:sz="0" w:space="0" w:color="auto"/>
        <w:bottom w:val="none" w:sz="0" w:space="0" w:color="auto"/>
        <w:right w:val="none" w:sz="0" w:space="0" w:color="auto"/>
      </w:divBdr>
    </w:div>
    <w:div w:id="189091939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9049</Words>
  <Characters>49224</Characters>
  <Application>Microsoft Office Word</Application>
  <DocSecurity>0</DocSecurity>
  <Lines>1488</Lines>
  <Paragraphs>772</Paragraphs>
  <ScaleCrop>false</ScaleCrop>
  <Company>Crossfield, Inc.</Company>
  <LinksUpToDate>false</LinksUpToDate>
  <CharactersWithSpaces>57850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2013 10Q</dc:title>
  <dc:subject/>
  <dc:creator>Robert Wolfe</dc:creator>
  <cp:keywords/>
  <dc:description/>
  <cp:lastModifiedBy>Robert Wolfe</cp:lastModifiedBy>
  <cp:revision>6</cp:revision>
  <dcterms:created xsi:type="dcterms:W3CDTF">2013-05-07T16:10:00Z</dcterms:created>
  <dcterms:modified xsi:type="dcterms:W3CDTF">2013-05-07T16:17:00Z</dcterms:modified>
</cp:coreProperties>
</file>