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0B" w:rsidRDefault="00CA6465">
      <w:pPr>
        <w:divId w:val="315887654"/>
        <w:rPr>
          <w:rFonts w:eastAsia="Times New Roman"/>
        </w:rPr>
      </w:pPr>
      <w:r w:rsidRPr="00CA6465">
        <w:rPr>
          <w:rFonts w:eastAsia="Times New Roman"/>
        </w:rPr>
        <w:pict>
          <v:rect id="_x0000_i1025" style="width:0;height:3pt" o:hralign="center" o:hrstd="t" o:hrnoshade="t" o:hr="t" fillcolor="black" stroked="f"/>
        </w:pict>
      </w:r>
    </w:p>
    <w:p w:rsidR="00A3140B" w:rsidRDefault="00CA6465">
      <w:pPr>
        <w:divId w:val="315887654"/>
        <w:rPr>
          <w:rFonts w:eastAsia="Times New Roman"/>
        </w:rPr>
      </w:pPr>
      <w:r w:rsidRPr="00CA6465">
        <w:rPr>
          <w:rFonts w:eastAsia="Times New Roman"/>
        </w:rPr>
        <w:pict>
          <v:rect id="_x0000_i1026" style="width:0;height:.75pt" o:hralign="center" o:hrstd="t" o:hrnoshade="t" o:hr="t" fillcolor="black" stroked="f"/>
        </w:pict>
      </w:r>
    </w:p>
    <w:p w:rsidR="00A3140B" w:rsidRDefault="004275BA" w:rsidP="004275BA">
      <w:pPr>
        <w:jc w:val="center"/>
        <w:rPr>
          <w:sz w:val="28"/>
          <w:szCs w:val="28"/>
        </w:rPr>
      </w:pPr>
      <w:r>
        <w:rPr>
          <w:b/>
          <w:bCs/>
          <w:sz w:val="28"/>
          <w:szCs w:val="28"/>
        </w:rPr>
        <w:t>UNITED STATES</w:t>
      </w:r>
    </w:p>
    <w:p w:rsidR="00A3140B" w:rsidRDefault="004275BA">
      <w:pPr>
        <w:pStyle w:val="NormalWeb"/>
        <w:spacing w:before="0" w:beforeAutospacing="0" w:after="0" w:afterAutospacing="0" w:line="320" w:lineRule="atLeast"/>
        <w:jc w:val="center"/>
        <w:rPr>
          <w:sz w:val="28"/>
          <w:szCs w:val="28"/>
        </w:rPr>
      </w:pPr>
      <w:r>
        <w:rPr>
          <w:b/>
          <w:bCs/>
          <w:sz w:val="28"/>
          <w:szCs w:val="28"/>
        </w:rPr>
        <w:t>SECURITIES AND EXCHANGE COMMISSION</w:t>
      </w:r>
    </w:p>
    <w:p w:rsidR="00A3140B" w:rsidRDefault="004275BA">
      <w:pPr>
        <w:pStyle w:val="NormalWeb"/>
        <w:spacing w:before="0" w:beforeAutospacing="0" w:after="0" w:afterAutospacing="0"/>
        <w:jc w:val="center"/>
      </w:pPr>
      <w:r>
        <w:rPr>
          <w:b/>
          <w:bCs/>
        </w:rPr>
        <w:t>Washington, D.C. 20549</w:t>
      </w:r>
    </w:p>
    <w:p w:rsidR="00A3140B" w:rsidRDefault="004275BA">
      <w:pPr>
        <w:pStyle w:val="NormalWeb"/>
        <w:spacing w:before="0" w:beforeAutospacing="0" w:after="0" w:afterAutospacing="0"/>
        <w:jc w:val="center"/>
      </w:pPr>
      <w:r>
        <w:t>———————</w:t>
      </w:r>
    </w:p>
    <w:p w:rsidR="00A3140B" w:rsidRDefault="004275BA">
      <w:pPr>
        <w:pStyle w:val="NormalWeb"/>
        <w:spacing w:before="0" w:beforeAutospacing="0" w:after="0" w:afterAutospacing="0" w:line="320" w:lineRule="atLeast"/>
        <w:jc w:val="center"/>
        <w:rPr>
          <w:sz w:val="28"/>
          <w:szCs w:val="28"/>
        </w:rPr>
      </w:pPr>
      <w:r>
        <w:rPr>
          <w:b/>
          <w:bCs/>
          <w:sz w:val="28"/>
          <w:szCs w:val="28"/>
        </w:rPr>
        <w:t>FORM 10-Q</w:t>
      </w:r>
    </w:p>
    <w:p w:rsidR="00A3140B" w:rsidRDefault="004275BA">
      <w:pPr>
        <w:pStyle w:val="NormalWeb"/>
        <w:spacing w:before="0" w:beforeAutospacing="0" w:after="0" w:afterAutospacing="0"/>
        <w:jc w:val="center"/>
      </w:pPr>
      <w:r>
        <w:t>———————</w:t>
      </w:r>
    </w:p>
    <w:p w:rsidR="00A3140B" w:rsidRDefault="004275BA">
      <w:pPr>
        <w:pStyle w:val="NormalWeb"/>
        <w:spacing w:before="0" w:beforeAutospacing="0" w:after="0" w:afterAutospacing="0"/>
        <w:jc w:val="center"/>
      </w:pPr>
      <w:r>
        <w:t>(Mark One)</w:t>
      </w:r>
    </w:p>
    <w:tbl>
      <w:tblPr>
        <w:tblW w:w="0" w:type="auto"/>
        <w:jc w:val="center"/>
        <w:tblCellSpacing w:w="0" w:type="dxa"/>
        <w:tblCellMar>
          <w:top w:w="15" w:type="dxa"/>
          <w:left w:w="15" w:type="dxa"/>
          <w:bottom w:w="15" w:type="dxa"/>
          <w:right w:w="15" w:type="dxa"/>
        </w:tblCellMar>
        <w:tblLook w:val="04A0"/>
      </w:tblPr>
      <w:tblGrid>
        <w:gridCol w:w="285"/>
        <w:gridCol w:w="10515"/>
      </w:tblGrid>
      <w:tr w:rsidR="00A3140B" w:rsidTr="004275BA">
        <w:trPr>
          <w:tblCellSpacing w:w="0" w:type="dxa"/>
          <w:jc w:val="center"/>
        </w:trPr>
        <w:tc>
          <w:tcPr>
            <w:tcW w:w="285" w:type="dxa"/>
            <w:vAlign w:val="center"/>
            <w:hideMark/>
          </w:tcPr>
          <w:p w:rsidR="00A3140B" w:rsidRDefault="00A3140B">
            <w:pPr>
              <w:rPr>
                <w:rFonts w:eastAsia="Times New Roman"/>
                <w:sz w:val="1"/>
                <w:szCs w:val="2"/>
              </w:rPr>
            </w:pPr>
          </w:p>
        </w:tc>
        <w:tc>
          <w:tcPr>
            <w:tcW w:w="10515" w:type="dxa"/>
            <w:vAlign w:val="center"/>
            <w:hideMark/>
          </w:tcPr>
          <w:p w:rsidR="00A3140B" w:rsidRDefault="00A3140B">
            <w:pPr>
              <w:rPr>
                <w:rFonts w:eastAsia="Times New Roman"/>
                <w:sz w:val="1"/>
                <w:szCs w:val="2"/>
              </w:rPr>
            </w:pPr>
          </w:p>
        </w:tc>
      </w:tr>
      <w:tr w:rsidR="00A3140B" w:rsidTr="004275BA">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A3140B" w:rsidRDefault="004275BA">
            <w:pPr>
              <w:pStyle w:val="NormalWeb"/>
              <w:spacing w:before="0" w:beforeAutospacing="0" w:after="0" w:afterAutospacing="0"/>
              <w:jc w:val="center"/>
              <w:rPr>
                <w:sz w:val="20"/>
                <w:szCs w:val="20"/>
              </w:rPr>
            </w:pPr>
            <w:r>
              <w:rPr>
                <w:b/>
                <w:bCs/>
                <w:sz w:val="20"/>
                <w:szCs w:val="20"/>
              </w:rPr>
              <w:t>X</w:t>
            </w:r>
          </w:p>
        </w:tc>
        <w:tc>
          <w:tcPr>
            <w:tcW w:w="10515" w:type="dxa"/>
            <w:hideMark/>
          </w:tcPr>
          <w:p w:rsidR="00A3140B" w:rsidRDefault="004275BA">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A3140B">
        <w:trPr>
          <w:tblCellSpacing w:w="0" w:type="dxa"/>
          <w:jc w:val="center"/>
        </w:trPr>
        <w:tc>
          <w:tcPr>
            <w:tcW w:w="10800" w:type="dxa"/>
            <w:gridSpan w:val="2"/>
            <w:hideMark/>
          </w:tcPr>
          <w:p w:rsidR="00A3140B" w:rsidRDefault="004275BA">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2013</w:t>
            </w:r>
          </w:p>
        </w:tc>
      </w:tr>
      <w:tr w:rsidR="00A3140B">
        <w:trPr>
          <w:tblCellSpacing w:w="0" w:type="dxa"/>
          <w:jc w:val="center"/>
        </w:trPr>
        <w:tc>
          <w:tcPr>
            <w:tcW w:w="10800" w:type="dxa"/>
            <w:gridSpan w:val="2"/>
            <w:hideMark/>
          </w:tcPr>
          <w:p w:rsidR="00A3140B" w:rsidRDefault="004275BA">
            <w:pPr>
              <w:pStyle w:val="NormalWeb"/>
              <w:spacing w:before="0" w:beforeAutospacing="0" w:after="0" w:afterAutospacing="0"/>
              <w:jc w:val="center"/>
              <w:rPr>
                <w:sz w:val="20"/>
                <w:szCs w:val="20"/>
              </w:rPr>
            </w:pPr>
            <w:r>
              <w:rPr>
                <w:sz w:val="20"/>
                <w:szCs w:val="20"/>
              </w:rPr>
              <w:t>Or</w:t>
            </w:r>
          </w:p>
        </w:tc>
      </w:tr>
      <w:tr w:rsidR="00A3140B" w:rsidTr="004275BA">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A3140B" w:rsidRDefault="00A3140B">
            <w:pPr>
              <w:rPr>
                <w:rFonts w:eastAsia="Times New Roman"/>
                <w:sz w:val="20"/>
                <w:szCs w:val="20"/>
              </w:rPr>
            </w:pPr>
          </w:p>
        </w:tc>
        <w:tc>
          <w:tcPr>
            <w:tcW w:w="10515" w:type="dxa"/>
            <w:hideMark/>
          </w:tcPr>
          <w:p w:rsidR="00A3140B" w:rsidRDefault="004275BA">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A3140B" w:rsidTr="004275BA">
        <w:trPr>
          <w:tblCellSpacing w:w="0" w:type="dxa"/>
          <w:jc w:val="center"/>
        </w:trPr>
        <w:tc>
          <w:tcPr>
            <w:tcW w:w="285" w:type="dxa"/>
            <w:hideMark/>
          </w:tcPr>
          <w:p w:rsidR="00A3140B" w:rsidRDefault="004275BA">
            <w:pPr>
              <w:pStyle w:val="NormalWeb"/>
              <w:rPr>
                <w:sz w:val="20"/>
                <w:szCs w:val="20"/>
              </w:rPr>
            </w:pPr>
            <w:r>
              <w:rPr>
                <w:sz w:val="20"/>
                <w:szCs w:val="20"/>
              </w:rPr>
              <w:t> </w:t>
            </w:r>
          </w:p>
        </w:tc>
        <w:tc>
          <w:tcPr>
            <w:tcW w:w="10515" w:type="dxa"/>
            <w:hideMark/>
          </w:tcPr>
          <w:p w:rsidR="00A3140B" w:rsidRDefault="00A3140B">
            <w:pPr>
              <w:rPr>
                <w:rFonts w:eastAsia="Times New Roman"/>
                <w:sz w:val="20"/>
                <w:szCs w:val="20"/>
              </w:rPr>
            </w:pPr>
          </w:p>
        </w:tc>
      </w:tr>
      <w:tr w:rsidR="00A3140B">
        <w:trPr>
          <w:tblCellSpacing w:w="0" w:type="dxa"/>
          <w:jc w:val="center"/>
        </w:trPr>
        <w:tc>
          <w:tcPr>
            <w:tcW w:w="10800" w:type="dxa"/>
            <w:gridSpan w:val="2"/>
            <w:hideMark/>
          </w:tcPr>
          <w:p w:rsidR="00A3140B" w:rsidRDefault="004275BA">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A3140B" w:rsidRDefault="00A3140B" w:rsidP="004275BA">
      <w:pPr>
        <w:pStyle w:val="NormalWeb"/>
        <w:spacing w:before="0" w:beforeAutospacing="0" w:after="0" w:afterAutospacing="0"/>
      </w:pPr>
    </w:p>
    <w:p w:rsidR="00A3140B" w:rsidRDefault="004275BA">
      <w:pPr>
        <w:pStyle w:val="NormalWeb"/>
        <w:spacing w:before="0" w:beforeAutospacing="0" w:after="0" w:afterAutospacing="0"/>
        <w:jc w:val="center"/>
      </w:pPr>
      <w:r>
        <w:t>———————</w:t>
      </w:r>
    </w:p>
    <w:p w:rsidR="00A3140B" w:rsidRDefault="004275BA">
      <w:pPr>
        <w:jc w:val="center"/>
        <w:rPr>
          <w:rFonts w:eastAsia="Times New Roman"/>
        </w:rPr>
      </w:pPr>
      <w:r>
        <w:rPr>
          <w:rStyle w:val="Strong"/>
          <w:rFonts w:eastAsia="Times New Roman"/>
          <w:sz w:val="32"/>
          <w:szCs w:val="32"/>
        </w:rPr>
        <w:t>ADVANCED OXYGEN TECHNOLOGIES, INC.</w:t>
      </w:r>
    </w:p>
    <w:p w:rsidR="00A3140B" w:rsidRDefault="004275BA">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A3140B" w:rsidRDefault="004275BA" w:rsidP="004275BA">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A3140B">
        <w:trPr>
          <w:tblCellSpacing w:w="0" w:type="dxa"/>
          <w:jc w:val="center"/>
        </w:trPr>
        <w:tc>
          <w:tcPr>
            <w:tcW w:w="3600" w:type="dxa"/>
            <w:vAlign w:val="center"/>
            <w:hideMark/>
          </w:tcPr>
          <w:p w:rsidR="00A3140B" w:rsidRDefault="00A3140B">
            <w:pPr>
              <w:rPr>
                <w:rFonts w:eastAsia="Times New Roman"/>
                <w:sz w:val="1"/>
                <w:szCs w:val="2"/>
              </w:rPr>
            </w:pPr>
          </w:p>
        </w:tc>
        <w:tc>
          <w:tcPr>
            <w:tcW w:w="3600" w:type="dxa"/>
            <w:vAlign w:val="center"/>
            <w:hideMark/>
          </w:tcPr>
          <w:p w:rsidR="00A3140B" w:rsidRDefault="00A3140B">
            <w:pPr>
              <w:rPr>
                <w:rFonts w:eastAsia="Times New Roman"/>
                <w:sz w:val="1"/>
                <w:szCs w:val="2"/>
              </w:rPr>
            </w:pPr>
          </w:p>
        </w:tc>
        <w:tc>
          <w:tcPr>
            <w:tcW w:w="3585" w:type="dxa"/>
            <w:vAlign w:val="center"/>
            <w:hideMark/>
          </w:tcPr>
          <w:p w:rsidR="00A3140B" w:rsidRDefault="00A3140B">
            <w:pPr>
              <w:rPr>
                <w:rFonts w:eastAsia="Times New Roman"/>
                <w:sz w:val="1"/>
                <w:szCs w:val="2"/>
              </w:rPr>
            </w:pPr>
          </w:p>
        </w:tc>
      </w:tr>
      <w:tr w:rsidR="00A3140B">
        <w:trPr>
          <w:tblCellSpacing w:w="0" w:type="dxa"/>
          <w:jc w:val="center"/>
        </w:trPr>
        <w:tc>
          <w:tcPr>
            <w:tcW w:w="3600" w:type="dxa"/>
            <w:hideMark/>
          </w:tcPr>
          <w:p w:rsidR="00A3140B" w:rsidRDefault="004275BA">
            <w:pPr>
              <w:pStyle w:val="NormalWeb"/>
              <w:spacing w:before="0" w:beforeAutospacing="0" w:after="0" w:afterAutospacing="0"/>
              <w:jc w:val="center"/>
              <w:rPr>
                <w:sz w:val="20"/>
                <w:szCs w:val="20"/>
              </w:rPr>
            </w:pPr>
            <w:r>
              <w:rPr>
                <w:b/>
                <w:bCs/>
                <w:sz w:val="20"/>
                <w:szCs w:val="20"/>
              </w:rPr>
              <w:t>Delaware</w:t>
            </w:r>
          </w:p>
        </w:tc>
        <w:tc>
          <w:tcPr>
            <w:tcW w:w="3600" w:type="dxa"/>
            <w:hideMark/>
          </w:tcPr>
          <w:p w:rsidR="00A3140B" w:rsidRDefault="004275BA">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A3140B" w:rsidRDefault="004275BA">
            <w:pPr>
              <w:pStyle w:val="NormalWeb"/>
              <w:spacing w:before="0" w:beforeAutospacing="0" w:after="0" w:afterAutospacing="0"/>
              <w:jc w:val="center"/>
              <w:rPr>
                <w:sz w:val="20"/>
                <w:szCs w:val="20"/>
              </w:rPr>
            </w:pPr>
            <w:r>
              <w:rPr>
                <w:rStyle w:val="Strong"/>
                <w:sz w:val="20"/>
                <w:szCs w:val="20"/>
              </w:rPr>
              <w:t>91-1143622</w:t>
            </w:r>
          </w:p>
        </w:tc>
      </w:tr>
      <w:tr w:rsidR="00A3140B">
        <w:trPr>
          <w:tblCellSpacing w:w="0" w:type="dxa"/>
          <w:jc w:val="center"/>
        </w:trPr>
        <w:tc>
          <w:tcPr>
            <w:tcW w:w="3600" w:type="dxa"/>
            <w:hideMark/>
          </w:tcPr>
          <w:p w:rsidR="00A3140B" w:rsidRDefault="004275BA">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A3140B" w:rsidRDefault="004275BA">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A3140B" w:rsidRDefault="004275BA">
            <w:pPr>
              <w:pStyle w:val="NormalWeb"/>
              <w:spacing w:before="0" w:beforeAutospacing="0" w:after="0" w:afterAutospacing="0" w:line="200" w:lineRule="atLeast"/>
              <w:jc w:val="center"/>
              <w:rPr>
                <w:sz w:val="16"/>
                <w:szCs w:val="16"/>
              </w:rPr>
            </w:pPr>
            <w:r>
              <w:rPr>
                <w:sz w:val="16"/>
                <w:szCs w:val="16"/>
              </w:rPr>
              <w:t>(I.R.S. Employer</w:t>
            </w:r>
          </w:p>
        </w:tc>
      </w:tr>
      <w:tr w:rsidR="00A3140B">
        <w:trPr>
          <w:tblCellSpacing w:w="0" w:type="dxa"/>
          <w:jc w:val="center"/>
        </w:trPr>
        <w:tc>
          <w:tcPr>
            <w:tcW w:w="3600" w:type="dxa"/>
            <w:hideMark/>
          </w:tcPr>
          <w:p w:rsidR="00A3140B" w:rsidRDefault="004275BA">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A3140B" w:rsidRDefault="004275BA">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A3140B" w:rsidRDefault="004275BA">
            <w:pPr>
              <w:pStyle w:val="NormalWeb"/>
              <w:spacing w:before="0" w:beforeAutospacing="0" w:after="0" w:afterAutospacing="0" w:line="200" w:lineRule="atLeast"/>
              <w:jc w:val="center"/>
              <w:rPr>
                <w:sz w:val="16"/>
                <w:szCs w:val="16"/>
              </w:rPr>
            </w:pPr>
            <w:r>
              <w:rPr>
                <w:sz w:val="16"/>
                <w:szCs w:val="16"/>
              </w:rPr>
              <w:t>Identification No.)</w:t>
            </w:r>
          </w:p>
        </w:tc>
      </w:tr>
    </w:tbl>
    <w:p w:rsidR="00A3140B" w:rsidRDefault="00A3140B" w:rsidP="004275BA">
      <w:pPr>
        <w:pStyle w:val="NormalWeb"/>
        <w:spacing w:before="0" w:beforeAutospacing="0" w:after="0" w:afterAutospacing="0"/>
      </w:pPr>
    </w:p>
    <w:p w:rsidR="00A3140B" w:rsidRDefault="004275BA">
      <w:pPr>
        <w:pStyle w:val="NormalWeb"/>
        <w:spacing w:before="0" w:beforeAutospacing="0" w:after="0" w:afterAutospacing="0"/>
        <w:jc w:val="center"/>
      </w:pPr>
      <w:r>
        <w:rPr>
          <w:b/>
          <w:bCs/>
        </w:rPr>
        <w:t xml:space="preserve">C/O Crossfield, Inc., 653 VT Route 12A, PO Box 189, Randolph, VT 05060 </w:t>
      </w:r>
    </w:p>
    <w:p w:rsidR="00A3140B" w:rsidRDefault="004275BA">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A3140B" w:rsidRDefault="00A3140B">
      <w:pPr>
        <w:pStyle w:val="NormalWeb"/>
        <w:spacing w:before="0" w:beforeAutospacing="0" w:after="0" w:afterAutospacing="0"/>
        <w:jc w:val="center"/>
      </w:pPr>
    </w:p>
    <w:p w:rsidR="00A3140B" w:rsidRDefault="004275BA">
      <w:pPr>
        <w:pStyle w:val="NormalWeb"/>
        <w:spacing w:before="0" w:beforeAutospacing="0" w:after="0" w:afterAutospacing="0"/>
        <w:jc w:val="center"/>
      </w:pPr>
      <w:r>
        <w:rPr>
          <w:b/>
          <w:bCs/>
        </w:rPr>
        <w:t>(212) 727-7085</w:t>
      </w:r>
    </w:p>
    <w:p w:rsidR="00A3140B" w:rsidRDefault="004275BA">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A3140B" w:rsidRDefault="004275BA">
      <w:pPr>
        <w:pStyle w:val="NormalWeb"/>
        <w:spacing w:before="89" w:beforeAutospacing="0" w:after="0" w:afterAutospacing="0"/>
        <w:jc w:val="center"/>
      </w:pPr>
      <w:r>
        <w:rPr>
          <w:b/>
          <w:bCs/>
        </w:rPr>
        <w:t>C/O Crossfield, Inc., 100 Maiden Lane, Suite 2003, New York, NY 10038</w:t>
      </w:r>
    </w:p>
    <w:p w:rsidR="00A3140B" w:rsidRDefault="004275BA">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A3140B" w:rsidRDefault="004275BA">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A3140B">
        <w:trPr>
          <w:tblCellSpacing w:w="0" w:type="dxa"/>
          <w:jc w:val="center"/>
        </w:trPr>
        <w:tc>
          <w:tcPr>
            <w:tcW w:w="3255" w:type="dxa"/>
            <w:vAlign w:val="center"/>
            <w:hideMark/>
          </w:tcPr>
          <w:p w:rsidR="00A3140B" w:rsidRDefault="00A3140B">
            <w:pPr>
              <w:rPr>
                <w:rFonts w:eastAsia="Times New Roman"/>
                <w:sz w:val="1"/>
                <w:szCs w:val="2"/>
              </w:rPr>
            </w:pPr>
          </w:p>
        </w:tc>
        <w:tc>
          <w:tcPr>
            <w:tcW w:w="255" w:type="dxa"/>
            <w:vAlign w:val="center"/>
            <w:hideMark/>
          </w:tcPr>
          <w:p w:rsidR="00A3140B" w:rsidRDefault="00A3140B">
            <w:pPr>
              <w:rPr>
                <w:rFonts w:eastAsia="Times New Roman"/>
                <w:sz w:val="1"/>
                <w:szCs w:val="2"/>
              </w:rPr>
            </w:pPr>
          </w:p>
        </w:tc>
        <w:tc>
          <w:tcPr>
            <w:tcW w:w="2940" w:type="dxa"/>
            <w:vAlign w:val="center"/>
            <w:hideMark/>
          </w:tcPr>
          <w:p w:rsidR="00A3140B" w:rsidRDefault="00A3140B">
            <w:pPr>
              <w:rPr>
                <w:rFonts w:eastAsia="Times New Roman"/>
                <w:sz w:val="1"/>
                <w:szCs w:val="2"/>
              </w:rPr>
            </w:pPr>
          </w:p>
        </w:tc>
        <w:tc>
          <w:tcPr>
            <w:tcW w:w="270" w:type="dxa"/>
            <w:vAlign w:val="center"/>
            <w:hideMark/>
          </w:tcPr>
          <w:p w:rsidR="00A3140B" w:rsidRDefault="00A3140B">
            <w:pPr>
              <w:rPr>
                <w:rFonts w:eastAsia="Times New Roman"/>
                <w:sz w:val="1"/>
                <w:szCs w:val="2"/>
              </w:rPr>
            </w:pPr>
          </w:p>
        </w:tc>
        <w:tc>
          <w:tcPr>
            <w:tcW w:w="2445" w:type="dxa"/>
            <w:vAlign w:val="center"/>
            <w:hideMark/>
          </w:tcPr>
          <w:p w:rsidR="00A3140B" w:rsidRDefault="00A3140B">
            <w:pPr>
              <w:rPr>
                <w:rFonts w:eastAsia="Times New Roman"/>
                <w:sz w:val="1"/>
                <w:szCs w:val="2"/>
              </w:rPr>
            </w:pPr>
          </w:p>
        </w:tc>
        <w:tc>
          <w:tcPr>
            <w:tcW w:w="270" w:type="dxa"/>
            <w:vAlign w:val="center"/>
            <w:hideMark/>
          </w:tcPr>
          <w:p w:rsidR="00A3140B" w:rsidRDefault="00A3140B">
            <w:pPr>
              <w:rPr>
                <w:rFonts w:eastAsia="Times New Roman"/>
                <w:sz w:val="1"/>
                <w:szCs w:val="2"/>
              </w:rPr>
            </w:pPr>
          </w:p>
        </w:tc>
        <w:tc>
          <w:tcPr>
            <w:tcW w:w="540" w:type="dxa"/>
            <w:vAlign w:val="center"/>
            <w:hideMark/>
          </w:tcPr>
          <w:p w:rsidR="00A3140B" w:rsidRDefault="00A3140B">
            <w:pPr>
              <w:rPr>
                <w:rFonts w:eastAsia="Times New Roman"/>
                <w:sz w:val="1"/>
                <w:szCs w:val="2"/>
              </w:rPr>
            </w:pPr>
          </w:p>
        </w:tc>
        <w:tc>
          <w:tcPr>
            <w:tcW w:w="270" w:type="dxa"/>
            <w:vAlign w:val="center"/>
            <w:hideMark/>
          </w:tcPr>
          <w:p w:rsidR="00A3140B" w:rsidRDefault="00A3140B">
            <w:pPr>
              <w:rPr>
                <w:rFonts w:eastAsia="Times New Roman"/>
                <w:sz w:val="1"/>
                <w:szCs w:val="2"/>
              </w:rPr>
            </w:pPr>
          </w:p>
        </w:tc>
        <w:tc>
          <w:tcPr>
            <w:tcW w:w="510" w:type="dxa"/>
            <w:vAlign w:val="center"/>
            <w:hideMark/>
          </w:tcPr>
          <w:p w:rsidR="00A3140B" w:rsidRDefault="00A3140B">
            <w:pPr>
              <w:rPr>
                <w:rFonts w:eastAsia="Times New Roman"/>
                <w:sz w:val="1"/>
                <w:szCs w:val="2"/>
              </w:rPr>
            </w:pPr>
          </w:p>
        </w:tc>
      </w:tr>
      <w:tr w:rsidR="00A3140B">
        <w:trPr>
          <w:tblCellSpacing w:w="0" w:type="dxa"/>
          <w:jc w:val="center"/>
        </w:trPr>
        <w:tc>
          <w:tcPr>
            <w:tcW w:w="10800" w:type="dxa"/>
            <w:gridSpan w:val="9"/>
            <w:hideMark/>
          </w:tcPr>
          <w:p w:rsidR="00A3140B" w:rsidRDefault="004275BA">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A3140B">
        <w:trPr>
          <w:tblCellSpacing w:w="0" w:type="dxa"/>
          <w:jc w:val="center"/>
        </w:trPr>
        <w:tc>
          <w:tcPr>
            <w:tcW w:w="9180" w:type="dxa"/>
            <w:gridSpan w:val="5"/>
            <w:tcBorders>
              <w:right w:val="single" w:sz="4" w:space="0" w:color="000000"/>
            </w:tcBorders>
            <w:hideMark/>
          </w:tcPr>
          <w:p w:rsidR="00A3140B" w:rsidRDefault="004275BA">
            <w:pPr>
              <w:pStyle w:val="NormalWeb"/>
              <w:spacing w:before="0" w:beforeAutospacing="0" w:after="0" w:afterAutospacing="0"/>
              <w:rPr>
                <w:sz w:val="20"/>
                <w:szCs w:val="20"/>
              </w:rPr>
            </w:pPr>
            <w:r>
              <w:rPr>
                <w:sz w:val="20"/>
                <w:szCs w:val="20"/>
              </w:rPr>
              <w:t>required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A3140B" w:rsidRDefault="004275BA">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rPr>
                <w:sz w:val="20"/>
                <w:szCs w:val="20"/>
              </w:rPr>
            </w:pPr>
            <w:r>
              <w:rPr>
                <w:sz w:val="20"/>
                <w:szCs w:val="20"/>
              </w:rPr>
              <w:t> </w:t>
            </w:r>
          </w:p>
        </w:tc>
        <w:tc>
          <w:tcPr>
            <w:tcW w:w="510" w:type="dxa"/>
            <w:hideMark/>
          </w:tcPr>
          <w:p w:rsidR="00A3140B" w:rsidRDefault="004275BA">
            <w:pPr>
              <w:pStyle w:val="NormalWeb"/>
              <w:spacing w:before="0" w:beforeAutospacing="0" w:after="0" w:afterAutospacing="0"/>
              <w:rPr>
                <w:sz w:val="20"/>
                <w:szCs w:val="20"/>
              </w:rPr>
            </w:pPr>
            <w:r>
              <w:rPr>
                <w:sz w:val="20"/>
                <w:szCs w:val="20"/>
              </w:rPr>
              <w:t> No</w:t>
            </w:r>
          </w:p>
        </w:tc>
      </w:tr>
      <w:tr w:rsidR="00A3140B">
        <w:trPr>
          <w:tblCellSpacing w:w="0" w:type="dxa"/>
          <w:jc w:val="center"/>
        </w:trPr>
        <w:tc>
          <w:tcPr>
            <w:tcW w:w="10800" w:type="dxa"/>
            <w:gridSpan w:val="9"/>
            <w:hideMark/>
          </w:tcPr>
          <w:p w:rsidR="00A3140B" w:rsidRDefault="004275BA">
            <w:pPr>
              <w:pStyle w:val="NormalWeb"/>
              <w:rPr>
                <w:sz w:val="20"/>
                <w:szCs w:val="20"/>
              </w:rPr>
            </w:pPr>
            <w:r>
              <w:rPr>
                <w:sz w:val="20"/>
                <w:szCs w:val="20"/>
              </w:rPr>
              <w:t> </w:t>
            </w:r>
          </w:p>
        </w:tc>
      </w:tr>
      <w:tr w:rsidR="00A3140B">
        <w:trPr>
          <w:tblCellSpacing w:w="0" w:type="dxa"/>
          <w:jc w:val="center"/>
        </w:trPr>
        <w:tc>
          <w:tcPr>
            <w:tcW w:w="10800" w:type="dxa"/>
            <w:gridSpan w:val="9"/>
            <w:hideMark/>
          </w:tcPr>
          <w:p w:rsidR="00A3140B" w:rsidRDefault="004275BA">
            <w:pPr>
              <w:pStyle w:val="NormalWeb"/>
              <w:spacing w:before="0" w:beforeAutospacing="0" w:after="0" w:afterAutospacing="0"/>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A3140B">
        <w:trPr>
          <w:tblCellSpacing w:w="0" w:type="dxa"/>
          <w:jc w:val="center"/>
        </w:trPr>
        <w:tc>
          <w:tcPr>
            <w:tcW w:w="9180" w:type="dxa"/>
            <w:gridSpan w:val="5"/>
            <w:hideMark/>
          </w:tcPr>
          <w:p w:rsidR="00A3140B" w:rsidRDefault="004275BA">
            <w:pPr>
              <w:pStyle w:val="NormalWeb"/>
              <w:rPr>
                <w:sz w:val="20"/>
                <w:szCs w:val="20"/>
              </w:rPr>
            </w:pPr>
            <w:r>
              <w:rPr>
                <w:sz w:val="20"/>
                <w:szCs w:val="20"/>
              </w:rPr>
              <w:t> </w:t>
            </w:r>
          </w:p>
        </w:tc>
        <w:tc>
          <w:tcPr>
            <w:tcW w:w="1605" w:type="dxa"/>
            <w:gridSpan w:val="4"/>
            <w:hideMark/>
          </w:tcPr>
          <w:p w:rsidR="00A3140B" w:rsidRDefault="004275BA">
            <w:pPr>
              <w:pStyle w:val="NormalWeb"/>
              <w:rPr>
                <w:sz w:val="20"/>
                <w:szCs w:val="20"/>
              </w:rPr>
            </w:pPr>
            <w:r>
              <w:rPr>
                <w:sz w:val="20"/>
                <w:szCs w:val="20"/>
              </w:rPr>
              <w:t> </w:t>
            </w:r>
          </w:p>
        </w:tc>
      </w:tr>
      <w:tr w:rsidR="00A3140B">
        <w:trPr>
          <w:tblCellSpacing w:w="0" w:type="dxa"/>
          <w:jc w:val="center"/>
        </w:trPr>
        <w:tc>
          <w:tcPr>
            <w:tcW w:w="3255" w:type="dxa"/>
            <w:tcBorders>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A3140B" w:rsidRDefault="004275BA">
            <w:pPr>
              <w:pStyle w:val="NormalWeb"/>
              <w:rPr>
                <w:sz w:val="20"/>
                <w:szCs w:val="20"/>
              </w:rPr>
            </w:pPr>
            <w:r>
              <w:rPr>
                <w:sz w:val="20"/>
                <w:szCs w:val="20"/>
              </w:rPr>
              <w:t> </w:t>
            </w:r>
          </w:p>
        </w:tc>
        <w:tc>
          <w:tcPr>
            <w:tcW w:w="2940" w:type="dxa"/>
            <w:hideMark/>
          </w:tcPr>
          <w:p w:rsidR="00A3140B" w:rsidRDefault="004275BA">
            <w:pPr>
              <w:pStyle w:val="NormalWeb"/>
              <w:rPr>
                <w:sz w:val="20"/>
                <w:szCs w:val="20"/>
              </w:rPr>
            </w:pPr>
            <w:r>
              <w:rPr>
                <w:sz w:val="20"/>
                <w:szCs w:val="20"/>
              </w:rPr>
              <w:t> </w:t>
            </w:r>
          </w:p>
        </w:tc>
        <w:tc>
          <w:tcPr>
            <w:tcW w:w="270" w:type="dxa"/>
            <w:hideMark/>
          </w:tcPr>
          <w:p w:rsidR="00A3140B" w:rsidRDefault="004275BA">
            <w:pPr>
              <w:pStyle w:val="NormalWeb"/>
              <w:rPr>
                <w:sz w:val="20"/>
                <w:szCs w:val="20"/>
              </w:rPr>
            </w:pPr>
            <w:r>
              <w:rPr>
                <w:sz w:val="20"/>
                <w:szCs w:val="20"/>
              </w:rPr>
              <w:t> </w:t>
            </w:r>
          </w:p>
        </w:tc>
        <w:tc>
          <w:tcPr>
            <w:tcW w:w="3255" w:type="dxa"/>
            <w:gridSpan w:val="3"/>
            <w:tcBorders>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rPr>
                <w:sz w:val="20"/>
                <w:szCs w:val="20"/>
              </w:rPr>
            </w:pPr>
            <w:r>
              <w:rPr>
                <w:sz w:val="20"/>
                <w:szCs w:val="20"/>
              </w:rPr>
              <w:t> </w:t>
            </w:r>
          </w:p>
        </w:tc>
        <w:tc>
          <w:tcPr>
            <w:tcW w:w="510" w:type="dxa"/>
            <w:hideMark/>
          </w:tcPr>
          <w:p w:rsidR="00A3140B" w:rsidRDefault="004275BA">
            <w:pPr>
              <w:pStyle w:val="NormalWeb"/>
              <w:rPr>
                <w:sz w:val="20"/>
                <w:szCs w:val="20"/>
              </w:rPr>
            </w:pPr>
            <w:r>
              <w:rPr>
                <w:sz w:val="20"/>
                <w:szCs w:val="20"/>
              </w:rPr>
              <w:t> </w:t>
            </w:r>
          </w:p>
        </w:tc>
      </w:tr>
      <w:tr w:rsidR="00A3140B">
        <w:trPr>
          <w:tblCellSpacing w:w="0" w:type="dxa"/>
          <w:jc w:val="center"/>
        </w:trPr>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c>
          <w:tcPr>
            <w:tcW w:w="0" w:type="auto"/>
            <w:vAlign w:val="center"/>
            <w:hideMark/>
          </w:tcPr>
          <w:p w:rsidR="00A3140B" w:rsidRDefault="00A3140B">
            <w:pPr>
              <w:rPr>
                <w:rFonts w:eastAsia="Times New Roman"/>
                <w:sz w:val="20"/>
                <w:szCs w:val="20"/>
              </w:rPr>
            </w:pPr>
          </w:p>
        </w:tc>
      </w:tr>
      <w:tr w:rsidR="00A3140B">
        <w:trPr>
          <w:tblCellSpacing w:w="0" w:type="dxa"/>
          <w:jc w:val="center"/>
        </w:trPr>
        <w:tc>
          <w:tcPr>
            <w:tcW w:w="3255" w:type="dxa"/>
            <w:tcBorders>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A3140B" w:rsidRDefault="004275BA">
            <w:pPr>
              <w:pStyle w:val="NormalWeb"/>
              <w:rPr>
                <w:sz w:val="20"/>
                <w:szCs w:val="20"/>
              </w:rPr>
            </w:pPr>
            <w:r>
              <w:rPr>
                <w:sz w:val="20"/>
                <w:szCs w:val="20"/>
              </w:rPr>
              <w:t> </w:t>
            </w:r>
          </w:p>
        </w:tc>
        <w:tc>
          <w:tcPr>
            <w:tcW w:w="2940" w:type="dxa"/>
            <w:hideMark/>
          </w:tcPr>
          <w:p w:rsidR="00A3140B" w:rsidRDefault="004275BA">
            <w:pPr>
              <w:pStyle w:val="NormalWeb"/>
              <w:rPr>
                <w:sz w:val="20"/>
                <w:szCs w:val="20"/>
              </w:rPr>
            </w:pPr>
            <w:r>
              <w:rPr>
                <w:sz w:val="20"/>
                <w:szCs w:val="20"/>
              </w:rPr>
              <w:t> </w:t>
            </w:r>
          </w:p>
        </w:tc>
        <w:tc>
          <w:tcPr>
            <w:tcW w:w="270" w:type="dxa"/>
            <w:hideMark/>
          </w:tcPr>
          <w:p w:rsidR="00A3140B" w:rsidRDefault="004275BA">
            <w:pPr>
              <w:pStyle w:val="NormalWeb"/>
              <w:rPr>
                <w:sz w:val="20"/>
                <w:szCs w:val="20"/>
              </w:rPr>
            </w:pPr>
            <w:r>
              <w:rPr>
                <w:sz w:val="20"/>
                <w:szCs w:val="20"/>
              </w:rPr>
              <w:t> </w:t>
            </w:r>
          </w:p>
        </w:tc>
        <w:tc>
          <w:tcPr>
            <w:tcW w:w="3255" w:type="dxa"/>
            <w:gridSpan w:val="3"/>
            <w:tcBorders>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X</w:t>
            </w:r>
          </w:p>
        </w:tc>
        <w:tc>
          <w:tcPr>
            <w:tcW w:w="510" w:type="dxa"/>
            <w:hideMark/>
          </w:tcPr>
          <w:p w:rsidR="00A3140B" w:rsidRDefault="004275BA">
            <w:pPr>
              <w:pStyle w:val="NormalWeb"/>
              <w:rPr>
                <w:sz w:val="20"/>
                <w:szCs w:val="20"/>
              </w:rPr>
            </w:pPr>
            <w:r>
              <w:rPr>
                <w:sz w:val="20"/>
                <w:szCs w:val="20"/>
              </w:rPr>
              <w:t> </w:t>
            </w:r>
          </w:p>
        </w:tc>
      </w:tr>
      <w:tr w:rsidR="00A3140B">
        <w:trPr>
          <w:tblCellSpacing w:w="0" w:type="dxa"/>
          <w:jc w:val="center"/>
        </w:trPr>
        <w:tc>
          <w:tcPr>
            <w:tcW w:w="9180" w:type="dxa"/>
            <w:gridSpan w:val="5"/>
            <w:hideMark/>
          </w:tcPr>
          <w:p w:rsidR="00A3140B" w:rsidRDefault="004275BA">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A3140B" w:rsidRDefault="004275BA">
            <w:pPr>
              <w:pStyle w:val="NormalWeb"/>
              <w:rPr>
                <w:sz w:val="20"/>
                <w:szCs w:val="20"/>
              </w:rPr>
            </w:pPr>
            <w:r>
              <w:rPr>
                <w:sz w:val="20"/>
                <w:szCs w:val="20"/>
              </w:rPr>
              <w:t> </w:t>
            </w:r>
          </w:p>
        </w:tc>
      </w:tr>
      <w:tr w:rsidR="00A3140B">
        <w:trPr>
          <w:tblCellSpacing w:w="0" w:type="dxa"/>
          <w:jc w:val="center"/>
        </w:trPr>
        <w:tc>
          <w:tcPr>
            <w:tcW w:w="9180" w:type="dxa"/>
            <w:gridSpan w:val="5"/>
            <w:tcBorders>
              <w:right w:val="single" w:sz="4" w:space="0" w:color="000000"/>
            </w:tcBorders>
            <w:hideMark/>
          </w:tcPr>
          <w:p w:rsidR="00A3140B" w:rsidRDefault="004275BA">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rPr>
                <w:sz w:val="20"/>
                <w:szCs w:val="20"/>
              </w:rPr>
            </w:pPr>
            <w:r>
              <w:rPr>
                <w:sz w:val="20"/>
                <w:szCs w:val="20"/>
              </w:rPr>
              <w:t> </w:t>
            </w:r>
          </w:p>
        </w:tc>
        <w:tc>
          <w:tcPr>
            <w:tcW w:w="540" w:type="dxa"/>
            <w:tcBorders>
              <w:right w:val="single" w:sz="4" w:space="0" w:color="000000"/>
            </w:tcBorders>
            <w:hideMark/>
          </w:tcPr>
          <w:p w:rsidR="00A3140B" w:rsidRDefault="004275BA">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A3140B" w:rsidRDefault="004275BA">
            <w:pPr>
              <w:pStyle w:val="NormalWeb"/>
              <w:spacing w:before="0" w:beforeAutospacing="0" w:after="0" w:afterAutospacing="0"/>
              <w:jc w:val="center"/>
              <w:rPr>
                <w:sz w:val="20"/>
                <w:szCs w:val="20"/>
              </w:rPr>
            </w:pPr>
            <w:r>
              <w:rPr>
                <w:sz w:val="20"/>
                <w:szCs w:val="20"/>
              </w:rPr>
              <w:t>X</w:t>
            </w:r>
          </w:p>
        </w:tc>
        <w:tc>
          <w:tcPr>
            <w:tcW w:w="510" w:type="dxa"/>
            <w:hideMark/>
          </w:tcPr>
          <w:p w:rsidR="00A3140B" w:rsidRDefault="004275BA">
            <w:pPr>
              <w:pStyle w:val="NormalWeb"/>
              <w:spacing w:before="0" w:beforeAutospacing="0" w:after="0" w:afterAutospacing="0"/>
              <w:rPr>
                <w:sz w:val="20"/>
                <w:szCs w:val="20"/>
              </w:rPr>
            </w:pPr>
            <w:r>
              <w:rPr>
                <w:sz w:val="20"/>
                <w:szCs w:val="20"/>
              </w:rPr>
              <w:t> No</w:t>
            </w:r>
          </w:p>
        </w:tc>
      </w:tr>
      <w:tr w:rsidR="00A3140B">
        <w:trPr>
          <w:tblCellSpacing w:w="0" w:type="dxa"/>
          <w:jc w:val="center"/>
        </w:trPr>
        <w:tc>
          <w:tcPr>
            <w:tcW w:w="9180" w:type="dxa"/>
            <w:gridSpan w:val="5"/>
            <w:hideMark/>
          </w:tcPr>
          <w:p w:rsidR="00A3140B" w:rsidRDefault="004275BA">
            <w:pPr>
              <w:pStyle w:val="NormalWeb"/>
              <w:rPr>
                <w:sz w:val="20"/>
                <w:szCs w:val="20"/>
              </w:rPr>
            </w:pPr>
            <w:r>
              <w:rPr>
                <w:sz w:val="20"/>
                <w:szCs w:val="20"/>
              </w:rPr>
              <w:t> </w:t>
            </w:r>
          </w:p>
        </w:tc>
        <w:tc>
          <w:tcPr>
            <w:tcW w:w="1605" w:type="dxa"/>
            <w:gridSpan w:val="4"/>
            <w:hideMark/>
          </w:tcPr>
          <w:p w:rsidR="00A3140B" w:rsidRDefault="004275BA">
            <w:pPr>
              <w:pStyle w:val="NormalWeb"/>
              <w:rPr>
                <w:sz w:val="20"/>
                <w:szCs w:val="20"/>
              </w:rPr>
            </w:pPr>
            <w:r>
              <w:rPr>
                <w:sz w:val="20"/>
                <w:szCs w:val="20"/>
              </w:rPr>
              <w:t> </w:t>
            </w:r>
          </w:p>
        </w:tc>
      </w:tr>
      <w:tr w:rsidR="00A3140B">
        <w:trPr>
          <w:tblCellSpacing w:w="0" w:type="dxa"/>
          <w:jc w:val="center"/>
        </w:trPr>
        <w:tc>
          <w:tcPr>
            <w:tcW w:w="10800" w:type="dxa"/>
            <w:gridSpan w:val="9"/>
            <w:hideMark/>
          </w:tcPr>
          <w:p w:rsidR="00A3140B" w:rsidRDefault="004275BA">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A3140B">
        <w:trPr>
          <w:tblCellSpacing w:w="0" w:type="dxa"/>
          <w:jc w:val="center"/>
        </w:trPr>
        <w:tc>
          <w:tcPr>
            <w:tcW w:w="10800" w:type="dxa"/>
            <w:gridSpan w:val="9"/>
            <w:hideMark/>
          </w:tcPr>
          <w:p w:rsidR="00A3140B" w:rsidRDefault="004275BA">
            <w:pPr>
              <w:pStyle w:val="NormalWeb"/>
              <w:spacing w:before="0" w:beforeAutospacing="0" w:after="0" w:afterAutospacing="0"/>
              <w:rPr>
                <w:sz w:val="20"/>
                <w:szCs w:val="20"/>
              </w:rPr>
            </w:pPr>
            <w:r>
              <w:rPr>
                <w:sz w:val="20"/>
                <w:szCs w:val="20"/>
              </w:rPr>
              <w:t>As of February 6, 2014, there were 46,973,585 issued shares and 45,853,585 outstanding shares of Advanced Oxygen Technologies, Inc. common stock, $0.01 par value.</w:t>
            </w:r>
          </w:p>
        </w:tc>
      </w:tr>
      <w:tr w:rsidR="00A3140B">
        <w:trPr>
          <w:tblCellSpacing w:w="0" w:type="dxa"/>
          <w:jc w:val="center"/>
        </w:trPr>
        <w:tc>
          <w:tcPr>
            <w:tcW w:w="10800" w:type="dxa"/>
            <w:gridSpan w:val="9"/>
            <w:hideMark/>
          </w:tcPr>
          <w:p w:rsidR="00A3140B" w:rsidRDefault="004275BA">
            <w:pPr>
              <w:pStyle w:val="NormalWeb"/>
              <w:rPr>
                <w:sz w:val="20"/>
                <w:szCs w:val="20"/>
              </w:rPr>
            </w:pPr>
            <w:r>
              <w:rPr>
                <w:sz w:val="20"/>
                <w:szCs w:val="20"/>
              </w:rPr>
              <w:t> </w:t>
            </w:r>
          </w:p>
        </w:tc>
      </w:tr>
    </w:tbl>
    <w:p w:rsidR="00A3140B" w:rsidRDefault="00CA6465">
      <w:pPr>
        <w:rPr>
          <w:rFonts w:eastAsia="Times New Roman"/>
        </w:rPr>
      </w:pPr>
      <w:r w:rsidRPr="00CA6465">
        <w:rPr>
          <w:rFonts w:eastAsia="Times New Roman"/>
        </w:rPr>
        <w:pict>
          <v:rect id="_x0000_i1027" style="width:0;height:.75pt" o:hralign="center" o:hrstd="t" o:hrnoshade="t" o:hr="t" fillcolor="black" stroked="f"/>
        </w:pict>
      </w:r>
    </w:p>
    <w:p w:rsidR="00A3140B" w:rsidRDefault="00CA6465">
      <w:pPr>
        <w:rPr>
          <w:rFonts w:eastAsia="Times New Roman"/>
        </w:rPr>
      </w:pPr>
      <w:r w:rsidRPr="00CA6465">
        <w:rPr>
          <w:rFonts w:eastAsia="Times New Roman"/>
        </w:rPr>
        <w:pict>
          <v:rect id="_x0000_i1028" style="width:0;height:3pt" o:hralign="center" o:hrstd="t" o:hrnoshade="t" o:hr="t" fillcolor="black" stroked="f"/>
        </w:pict>
      </w:r>
    </w:p>
    <w:p w:rsidR="004275BA" w:rsidRDefault="004275BA">
      <w:pPr>
        <w:rPr>
          <w:b/>
          <w:bCs/>
        </w:rPr>
      </w:pPr>
      <w:r>
        <w:rPr>
          <w:b/>
          <w:bCs/>
        </w:rPr>
        <w:br w:type="page"/>
      </w:r>
    </w:p>
    <w:p w:rsidR="00A3140B" w:rsidRDefault="004275BA">
      <w:pPr>
        <w:pStyle w:val="NormalWeb"/>
        <w:jc w:val="center"/>
      </w:pPr>
      <w:r>
        <w:rPr>
          <w:b/>
          <w:bCs/>
        </w:rPr>
        <w:lastRenderedPageBreak/>
        <w:t>ADVANCED OXYGEN TECHNOLOGIES, INC.</w:t>
      </w:r>
    </w:p>
    <w:p w:rsidR="00A3140B" w:rsidRDefault="004275BA">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A3140B">
        <w:trPr>
          <w:tblCellSpacing w:w="0" w:type="dxa"/>
          <w:jc w:val="center"/>
        </w:trPr>
        <w:tc>
          <w:tcPr>
            <w:tcW w:w="100" w:type="pct"/>
            <w:shd w:val="clear" w:color="auto" w:fill="CCFFCC"/>
            <w:vAlign w:val="center"/>
            <w:hideMark/>
          </w:tcPr>
          <w:p w:rsidR="00A3140B" w:rsidRDefault="00A3140B">
            <w:pPr>
              <w:rPr>
                <w:rFonts w:eastAsia="Times New Roman"/>
              </w:rPr>
            </w:pPr>
          </w:p>
        </w:tc>
        <w:tc>
          <w:tcPr>
            <w:tcW w:w="100" w:type="pct"/>
            <w:shd w:val="clear" w:color="auto" w:fill="CCFFCC"/>
            <w:vAlign w:val="center"/>
            <w:hideMark/>
          </w:tcPr>
          <w:p w:rsidR="00A3140B" w:rsidRDefault="00A3140B">
            <w:pPr>
              <w:rPr>
                <w:rFonts w:eastAsia="Times New Roman"/>
              </w:rPr>
            </w:pPr>
          </w:p>
        </w:tc>
        <w:tc>
          <w:tcPr>
            <w:tcW w:w="0" w:type="auto"/>
            <w:gridSpan w:val="3"/>
            <w:shd w:val="clear" w:color="auto" w:fill="CCFFCC"/>
            <w:vAlign w:val="center"/>
            <w:hideMark/>
          </w:tcPr>
          <w:p w:rsidR="00A3140B" w:rsidRDefault="004275BA">
            <w:pPr>
              <w:pStyle w:val="NormalWeb"/>
              <w:jc w:val="center"/>
            </w:pPr>
            <w:r>
              <w:rPr>
                <w:b/>
                <w:bCs/>
                <w:sz w:val="20"/>
                <w:szCs w:val="20"/>
              </w:rPr>
              <w:t>INDEX</w:t>
            </w:r>
          </w:p>
        </w:tc>
      </w:tr>
      <w:tr w:rsidR="00A3140B">
        <w:trPr>
          <w:tblCellSpacing w:w="0" w:type="dxa"/>
          <w:jc w:val="center"/>
        </w:trPr>
        <w:tc>
          <w:tcPr>
            <w:tcW w:w="0" w:type="auto"/>
            <w:gridSpan w:val="3"/>
            <w:shd w:val="clear" w:color="auto" w:fill="FFFFFF"/>
            <w:vAlign w:val="center"/>
            <w:hideMark/>
          </w:tcPr>
          <w:p w:rsidR="00A3140B" w:rsidRDefault="004275BA">
            <w:pPr>
              <w:rPr>
                <w:rFonts w:eastAsia="Times New Roman"/>
              </w:rPr>
            </w:pPr>
            <w:r>
              <w:rPr>
                <w:rFonts w:eastAsia="Times New Roman"/>
                <w:b/>
                <w:bCs/>
                <w:sz w:val="20"/>
                <w:szCs w:val="20"/>
              </w:rPr>
              <w:t>PART I</w:t>
            </w:r>
          </w:p>
        </w:tc>
        <w:tc>
          <w:tcPr>
            <w:tcW w:w="300" w:type="pct"/>
            <w:shd w:val="clear" w:color="auto" w:fill="FFFFFF"/>
            <w:vAlign w:val="center"/>
            <w:hideMark/>
          </w:tcPr>
          <w:p w:rsidR="00A3140B" w:rsidRDefault="00A3140B">
            <w:pPr>
              <w:jc w:val="right"/>
              <w:rPr>
                <w:rFonts w:eastAsia="Times New Roman"/>
              </w:rPr>
            </w:pPr>
          </w:p>
        </w:tc>
        <w:tc>
          <w:tcPr>
            <w:tcW w:w="300" w:type="pct"/>
            <w:shd w:val="clear" w:color="auto" w:fill="FFFFFF"/>
            <w:vAlign w:val="center"/>
            <w:hideMark/>
          </w:tcPr>
          <w:p w:rsidR="00A3140B" w:rsidRDefault="00A3140B">
            <w:pPr>
              <w:rPr>
                <w:rFonts w:eastAsia="Times New Roman"/>
              </w:rPr>
            </w:pP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Page</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rPr>
                <w:rFonts w:eastAsia="Times New Roman"/>
              </w:rPr>
            </w:pPr>
            <w:r>
              <w:rPr>
                <w:rFonts w:eastAsia="Times New Roman"/>
                <w:sz w:val="20"/>
                <w:szCs w:val="20"/>
              </w:rPr>
              <w:t>Unaudited consolidated Balance Sheet as of December 31, 2013, June 30, 2013 and June 30, 2012</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shd w:val="clear" w:color="auto" w:fill="CCFFCC"/>
            <w:vAlign w:val="center"/>
            <w:hideMark/>
          </w:tcPr>
          <w:p w:rsidR="00A3140B" w:rsidRDefault="00A3140B">
            <w:pPr>
              <w:jc w:val="center"/>
              <w:rPr>
                <w:rFonts w:eastAsia="Times New Roman"/>
              </w:rPr>
            </w:pPr>
          </w:p>
        </w:tc>
        <w:tc>
          <w:tcPr>
            <w:tcW w:w="0" w:type="auto"/>
            <w:shd w:val="clear" w:color="auto" w:fill="CCFFCC"/>
            <w:vAlign w:val="center"/>
            <w:hideMark/>
          </w:tcPr>
          <w:p w:rsidR="00A3140B" w:rsidRDefault="004275BA">
            <w:pPr>
              <w:rPr>
                <w:rFonts w:eastAsia="Times New Roman"/>
              </w:rPr>
            </w:pPr>
            <w:r>
              <w:rPr>
                <w:rFonts w:eastAsia="Times New Roman"/>
                <w:sz w:val="20"/>
                <w:szCs w:val="20"/>
              </w:rPr>
              <w:t>Unaudited Consolidated Statement of Operations and Changes in Accumulated Deficit for the three months and Six months ended December 31, 2013 and December 31, 2012</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3</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rPr>
                <w:rFonts w:eastAsia="Times New Roman"/>
              </w:rPr>
            </w:pPr>
            <w:r>
              <w:rPr>
                <w:rFonts w:eastAsia="Times New Roman"/>
                <w:sz w:val="20"/>
                <w:szCs w:val="20"/>
              </w:rPr>
              <w:t>Unaudited Consolidated Statement of Changes in Stockholders’ Equity and (Capital Deficiency) for the three months ended December 31, 2013 and December 31, 2012</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4</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rPr>
                <w:rFonts w:eastAsia="Times New Roman"/>
              </w:rPr>
            </w:pPr>
            <w:r>
              <w:rPr>
                <w:rFonts w:eastAsia="Times New Roman"/>
                <w:sz w:val="20"/>
                <w:szCs w:val="20"/>
              </w:rPr>
              <w:t>Unaudited Consolidated Statement of Cash Flow for the three months and six months ended December 31, 2013 and December 31, 2012</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5</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6</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11</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gridSpan w:val="2"/>
            <w:shd w:val="clear" w:color="auto" w:fill="FFFFFF"/>
            <w:vAlign w:val="center"/>
            <w:hideMark/>
          </w:tcPr>
          <w:p w:rsidR="00A3140B" w:rsidRDefault="004275BA">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16</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16</w:t>
            </w:r>
          </w:p>
        </w:tc>
      </w:tr>
      <w:tr w:rsidR="00A3140B">
        <w:trPr>
          <w:tblCellSpacing w:w="0" w:type="dxa"/>
          <w:jc w:val="center"/>
        </w:trPr>
        <w:tc>
          <w:tcPr>
            <w:tcW w:w="0" w:type="auto"/>
            <w:gridSpan w:val="3"/>
            <w:shd w:val="clear" w:color="auto" w:fill="FFFFFF"/>
            <w:vAlign w:val="center"/>
            <w:hideMark/>
          </w:tcPr>
          <w:p w:rsidR="00A3140B" w:rsidRDefault="004275BA">
            <w:pPr>
              <w:rPr>
                <w:rFonts w:eastAsia="Times New Roman"/>
              </w:rPr>
            </w:pPr>
            <w:r>
              <w:rPr>
                <w:rFonts w:eastAsia="Times New Roman"/>
                <w:sz w:val="20"/>
                <w:szCs w:val="20"/>
              </w:rPr>
              <w:t>PART II</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A3140B">
            <w:pPr>
              <w:rPr>
                <w:rFonts w:eastAsia="Times New Roman"/>
              </w:rPr>
            </w:pP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gridSpan w:val="2"/>
            <w:shd w:val="clear" w:color="auto" w:fill="FFFFFF"/>
            <w:vAlign w:val="center"/>
            <w:hideMark/>
          </w:tcPr>
          <w:p w:rsidR="00A3140B" w:rsidRDefault="004275BA">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gridSpan w:val="2"/>
            <w:shd w:val="clear" w:color="auto" w:fill="FFFFFF"/>
            <w:vAlign w:val="center"/>
            <w:hideMark/>
          </w:tcPr>
          <w:p w:rsidR="00A3140B" w:rsidRDefault="004275BA">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shd w:val="clear" w:color="auto" w:fill="CCFFCC"/>
            <w:vAlign w:val="center"/>
            <w:hideMark/>
          </w:tcPr>
          <w:p w:rsidR="00A3140B" w:rsidRDefault="00A3140B">
            <w:pPr>
              <w:rPr>
                <w:rFonts w:eastAsia="Times New Roman"/>
              </w:rPr>
            </w:pPr>
          </w:p>
        </w:tc>
        <w:tc>
          <w:tcPr>
            <w:tcW w:w="0" w:type="auto"/>
            <w:gridSpan w:val="2"/>
            <w:shd w:val="clear" w:color="auto" w:fill="CCFFCC"/>
            <w:vAlign w:val="center"/>
            <w:hideMark/>
          </w:tcPr>
          <w:p w:rsidR="00A3140B" w:rsidRDefault="004275BA">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gridSpan w:val="2"/>
            <w:shd w:val="clear" w:color="auto" w:fill="FFFFFF"/>
            <w:vAlign w:val="center"/>
            <w:hideMark/>
          </w:tcPr>
          <w:p w:rsidR="00A3140B" w:rsidRDefault="004275BA">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18</w:t>
            </w:r>
          </w:p>
        </w:tc>
      </w:tr>
      <w:tr w:rsidR="00A3140B">
        <w:trPr>
          <w:tblCellSpacing w:w="0" w:type="dxa"/>
          <w:jc w:val="center"/>
        </w:trPr>
        <w:tc>
          <w:tcPr>
            <w:tcW w:w="0" w:type="auto"/>
            <w:gridSpan w:val="3"/>
            <w:shd w:val="clear" w:color="auto" w:fill="CCFFCC"/>
            <w:vAlign w:val="center"/>
            <w:hideMark/>
          </w:tcPr>
          <w:p w:rsidR="00A3140B" w:rsidRDefault="004275BA">
            <w:pPr>
              <w:rPr>
                <w:rFonts w:eastAsia="Times New Roman"/>
              </w:rPr>
            </w:pPr>
            <w:r>
              <w:rPr>
                <w:rFonts w:eastAsia="Times New Roman"/>
                <w:sz w:val="20"/>
                <w:szCs w:val="20"/>
              </w:rPr>
              <w:t>Signature</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19</w:t>
            </w:r>
          </w:p>
        </w:tc>
      </w:tr>
      <w:tr w:rsidR="00A3140B">
        <w:trPr>
          <w:tblCellSpacing w:w="0" w:type="dxa"/>
          <w:jc w:val="center"/>
        </w:trPr>
        <w:tc>
          <w:tcPr>
            <w:tcW w:w="0" w:type="auto"/>
            <w:gridSpan w:val="3"/>
            <w:shd w:val="clear" w:color="auto" w:fill="FFFFFF"/>
            <w:vAlign w:val="center"/>
            <w:hideMark/>
          </w:tcPr>
          <w:p w:rsidR="00A3140B" w:rsidRDefault="004275BA">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EX 31</w:t>
            </w:r>
          </w:p>
        </w:tc>
      </w:tr>
      <w:tr w:rsidR="00A3140B">
        <w:trPr>
          <w:tblCellSpacing w:w="0" w:type="dxa"/>
          <w:jc w:val="center"/>
        </w:trPr>
        <w:tc>
          <w:tcPr>
            <w:tcW w:w="0" w:type="auto"/>
            <w:gridSpan w:val="3"/>
            <w:shd w:val="clear" w:color="auto" w:fill="CCFFCC"/>
            <w:vAlign w:val="center"/>
            <w:hideMark/>
          </w:tcPr>
          <w:p w:rsidR="00A3140B" w:rsidRDefault="004275BA">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EX 32</w:t>
            </w:r>
          </w:p>
        </w:tc>
      </w:tr>
      <w:tr w:rsidR="00A3140B">
        <w:trPr>
          <w:tblCellSpacing w:w="0" w:type="dxa"/>
          <w:jc w:val="center"/>
        </w:trPr>
        <w:tc>
          <w:tcPr>
            <w:tcW w:w="0" w:type="auto"/>
            <w:shd w:val="clear" w:color="auto" w:fill="FFFFFF"/>
            <w:vAlign w:val="center"/>
            <w:hideMark/>
          </w:tcPr>
          <w:p w:rsidR="00A3140B" w:rsidRDefault="00A3140B">
            <w:pPr>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rPr>
                <w:rFonts w:eastAsia="Times New Roman"/>
              </w:rPr>
            </w:pPr>
            <w:r>
              <w:rPr>
                <w:rFonts w:eastAsia="Times New Roman"/>
                <w:sz w:val="20"/>
                <w:szCs w:val="20"/>
              </w:rPr>
              <w:t> </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4275BA">
            <w:pPr>
              <w:rPr>
                <w:rFonts w:eastAsia="Times New Roman"/>
              </w:rPr>
            </w:pPr>
            <w:r>
              <w:rPr>
                <w:rFonts w:eastAsia="Times New Roman"/>
                <w:sz w:val="20"/>
                <w:szCs w:val="20"/>
              </w:rPr>
              <w:t> </w:t>
            </w:r>
          </w:p>
        </w:tc>
      </w:tr>
    </w:tbl>
    <w:p w:rsidR="00A3140B" w:rsidRDefault="00CA6465">
      <w:pPr>
        <w:rPr>
          <w:rFonts w:eastAsia="Times New Roman"/>
        </w:rPr>
      </w:pPr>
      <w:r w:rsidRPr="00CA6465">
        <w:rPr>
          <w:rFonts w:eastAsia="Times New Roman"/>
        </w:rPr>
        <w:pict>
          <v:rect id="_x0000_i1029" style="width:0;height:3pt" o:hralign="center" o:hrstd="t" o:hrnoshade="t" o:hr="t" fillcolor="black" stroked="f"/>
        </w:pict>
      </w:r>
    </w:p>
    <w:p w:rsidR="004275BA" w:rsidRDefault="004275BA">
      <w:pPr>
        <w:rPr>
          <w:b/>
          <w:bCs/>
          <w:sz w:val="20"/>
          <w:szCs w:val="20"/>
        </w:rPr>
      </w:pPr>
      <w:r>
        <w:rPr>
          <w:b/>
          <w:bCs/>
          <w:sz w:val="20"/>
          <w:szCs w:val="20"/>
        </w:rPr>
        <w:br w:type="page"/>
      </w:r>
    </w:p>
    <w:p w:rsidR="004275BA" w:rsidRDefault="004275BA" w:rsidP="004275BA">
      <w:pPr>
        <w:pStyle w:val="NormalWeb"/>
        <w:rPr>
          <w:b/>
          <w:bCs/>
          <w:sz w:val="20"/>
          <w:szCs w:val="20"/>
        </w:rPr>
      </w:pPr>
      <w:r>
        <w:rPr>
          <w:b/>
          <w:bCs/>
          <w:sz w:val="20"/>
          <w:szCs w:val="20"/>
        </w:rPr>
        <w:lastRenderedPageBreak/>
        <w:t xml:space="preserve">PART 1: FINANCIAL INFORMATION </w:t>
      </w:r>
    </w:p>
    <w:p w:rsidR="00A3140B" w:rsidRPr="004275BA" w:rsidRDefault="004275BA" w:rsidP="004275BA">
      <w:pPr>
        <w:pStyle w:val="NormalWeb"/>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the three months ending December 31, 2013 (unaudited). </w:t>
      </w:r>
    </w:p>
    <w:tbl>
      <w:tblPr>
        <w:tblW w:w="4500" w:type="pct"/>
        <w:tblCellSpacing w:w="0" w:type="dxa"/>
        <w:tblCellMar>
          <w:left w:w="0" w:type="dxa"/>
          <w:right w:w="0" w:type="dxa"/>
        </w:tblCellMar>
        <w:tblLook w:val="04A0"/>
      </w:tblPr>
      <w:tblGrid>
        <w:gridCol w:w="5656"/>
        <w:gridCol w:w="1355"/>
        <w:gridCol w:w="1355"/>
        <w:gridCol w:w="1354"/>
      </w:tblGrid>
      <w:tr w:rsidR="00A3140B">
        <w:trPr>
          <w:divId w:val="1524828679"/>
          <w:tblCellSpacing w:w="0" w:type="dxa"/>
        </w:trPr>
        <w:tc>
          <w:tcPr>
            <w:tcW w:w="0" w:type="auto"/>
            <w:gridSpan w:val="4"/>
            <w:shd w:val="clear" w:color="auto" w:fill="CCFFCC"/>
            <w:vAlign w:val="bottom"/>
            <w:hideMark/>
          </w:tcPr>
          <w:p w:rsidR="00A3140B" w:rsidRDefault="004275BA">
            <w:pPr>
              <w:jc w:val="center"/>
              <w:rPr>
                <w:rFonts w:eastAsia="Times New Roman"/>
              </w:rPr>
            </w:pPr>
            <w:r>
              <w:rPr>
                <w:rFonts w:eastAsia="Times New Roman"/>
                <w:b/>
                <w:bCs/>
                <w:sz w:val="20"/>
                <w:szCs w:val="20"/>
              </w:rPr>
              <w:t> ADVANCED OXYGEN TECHNOLOGIES, INC.</w:t>
            </w:r>
            <w:r>
              <w:rPr>
                <w:rFonts w:eastAsia="Times New Roman"/>
              </w:rPr>
              <w:t xml:space="preserve"> </w:t>
            </w:r>
          </w:p>
          <w:p w:rsidR="00A3140B" w:rsidRDefault="004275BA">
            <w:pPr>
              <w:pStyle w:val="NormalWeb"/>
              <w:jc w:val="center"/>
            </w:pPr>
            <w:r>
              <w:rPr>
                <w:b/>
                <w:bCs/>
                <w:sz w:val="20"/>
                <w:szCs w:val="20"/>
              </w:rPr>
              <w:t>AND SUBSIDIARY</w:t>
            </w:r>
          </w:p>
          <w:p w:rsidR="00A3140B" w:rsidRDefault="004275BA">
            <w:pPr>
              <w:pStyle w:val="NormalWeb"/>
              <w:jc w:val="center"/>
            </w:pPr>
            <w:r>
              <w:rPr>
                <w:b/>
                <w:bCs/>
                <w:sz w:val="20"/>
                <w:szCs w:val="20"/>
              </w:rPr>
              <w:t>CONSOLATED BALANCE SHEETS</w:t>
            </w:r>
          </w:p>
        </w:tc>
      </w:tr>
      <w:tr w:rsidR="00A3140B" w:rsidTr="004275BA">
        <w:trPr>
          <w:divId w:val="1524828679"/>
          <w:tblCellSpacing w:w="0" w:type="dxa"/>
        </w:trPr>
        <w:tc>
          <w:tcPr>
            <w:tcW w:w="2910" w:type="pct"/>
            <w:shd w:val="clear" w:color="auto" w:fill="FFFFFF"/>
            <w:vAlign w:val="bottom"/>
            <w:hideMark/>
          </w:tcPr>
          <w:p w:rsidR="00A3140B" w:rsidRDefault="00A3140B">
            <w:pPr>
              <w:rPr>
                <w:rFonts w:eastAsia="Times New Roman"/>
              </w:rPr>
            </w:pPr>
          </w:p>
        </w:tc>
        <w:tc>
          <w:tcPr>
            <w:tcW w:w="697" w:type="pct"/>
            <w:shd w:val="clear" w:color="auto" w:fill="FFFFFF"/>
            <w:vAlign w:val="bottom"/>
            <w:hideMark/>
          </w:tcPr>
          <w:p w:rsidR="00A3140B" w:rsidRDefault="004275BA">
            <w:pPr>
              <w:jc w:val="center"/>
              <w:rPr>
                <w:rFonts w:eastAsia="Times New Roman"/>
              </w:rPr>
            </w:pPr>
            <w:r>
              <w:rPr>
                <w:rFonts w:eastAsia="Times New Roman"/>
                <w:b/>
                <w:bCs/>
                <w:sz w:val="20"/>
                <w:szCs w:val="20"/>
              </w:rPr>
              <w:t xml:space="preserve">Unaudited </w:t>
            </w:r>
          </w:p>
          <w:p w:rsidR="00A3140B" w:rsidRDefault="004275BA">
            <w:pPr>
              <w:pStyle w:val="NormalWeb"/>
              <w:jc w:val="center"/>
            </w:pPr>
            <w:r>
              <w:rPr>
                <w:b/>
                <w:bCs/>
                <w:sz w:val="20"/>
                <w:szCs w:val="20"/>
              </w:rPr>
              <w:t>as of December 31,</w:t>
            </w:r>
          </w:p>
        </w:tc>
        <w:tc>
          <w:tcPr>
            <w:tcW w:w="0" w:type="auto"/>
            <w:gridSpan w:val="2"/>
            <w:shd w:val="clear" w:color="auto" w:fill="FFFFFF"/>
            <w:vAlign w:val="bottom"/>
            <w:hideMark/>
          </w:tcPr>
          <w:p w:rsidR="00A3140B" w:rsidRDefault="004275BA">
            <w:pPr>
              <w:jc w:val="center"/>
              <w:rPr>
                <w:rFonts w:eastAsia="Times New Roman"/>
              </w:rPr>
            </w:pPr>
            <w:r>
              <w:rPr>
                <w:rFonts w:eastAsia="Times New Roman"/>
                <w:b/>
                <w:bCs/>
                <w:sz w:val="20"/>
                <w:szCs w:val="20"/>
              </w:rPr>
              <w:t>Audited</w:t>
            </w:r>
            <w:r>
              <w:rPr>
                <w:rFonts w:eastAsia="Times New Roman"/>
              </w:rPr>
              <w:t xml:space="preserve"> </w:t>
            </w:r>
          </w:p>
          <w:p w:rsidR="00A3140B" w:rsidRDefault="004275BA">
            <w:pPr>
              <w:pStyle w:val="NormalWeb"/>
              <w:jc w:val="center"/>
            </w:pPr>
            <w:r>
              <w:rPr>
                <w:b/>
                <w:bCs/>
                <w:sz w:val="20"/>
                <w:szCs w:val="20"/>
              </w:rPr>
              <w:t>as of June 30,</w:t>
            </w:r>
          </w:p>
        </w:tc>
      </w:tr>
      <w:tr w:rsidR="00A3140B" w:rsidTr="004275BA">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ASSETS</w:t>
            </w:r>
          </w:p>
        </w:tc>
        <w:tc>
          <w:tcPr>
            <w:tcW w:w="697" w:type="pct"/>
            <w:shd w:val="clear" w:color="auto" w:fill="CCFFCC"/>
            <w:vAlign w:val="bottom"/>
            <w:hideMark/>
          </w:tcPr>
          <w:p w:rsidR="00A3140B" w:rsidRDefault="004275BA">
            <w:pPr>
              <w:jc w:val="center"/>
              <w:rPr>
                <w:rFonts w:eastAsia="Times New Roman"/>
              </w:rPr>
            </w:pPr>
            <w:r>
              <w:rPr>
                <w:rFonts w:eastAsia="Times New Roman"/>
                <w:b/>
                <w:bCs/>
                <w:sz w:val="20"/>
                <w:szCs w:val="20"/>
              </w:rPr>
              <w:t>2013 </w:t>
            </w:r>
          </w:p>
          <w:p w:rsidR="00A3140B" w:rsidRDefault="00CA6465">
            <w:pPr>
              <w:jc w:val="center"/>
              <w:rPr>
                <w:rFonts w:eastAsia="Times New Roman"/>
              </w:rPr>
            </w:pPr>
            <w:r w:rsidRPr="00CA6465">
              <w:rPr>
                <w:rFonts w:eastAsia="Times New Roman"/>
              </w:rPr>
              <w:pict>
                <v:rect id="_x0000_i1030" style="width:0;height:1.5pt" o:hralign="center" o:hrstd="t" o:hr="t" fillcolor="#aca899" stroked="f"/>
              </w:pict>
            </w:r>
          </w:p>
        </w:tc>
        <w:tc>
          <w:tcPr>
            <w:tcW w:w="697" w:type="pct"/>
            <w:shd w:val="clear" w:color="auto" w:fill="CCFFCC"/>
            <w:vAlign w:val="bottom"/>
            <w:hideMark/>
          </w:tcPr>
          <w:p w:rsidR="00A3140B" w:rsidRDefault="004275BA">
            <w:pPr>
              <w:jc w:val="center"/>
              <w:rPr>
                <w:rFonts w:eastAsia="Times New Roman"/>
              </w:rPr>
            </w:pPr>
            <w:r>
              <w:rPr>
                <w:rFonts w:eastAsia="Times New Roman"/>
                <w:b/>
                <w:bCs/>
                <w:sz w:val="20"/>
                <w:szCs w:val="20"/>
              </w:rPr>
              <w:t>2013  </w:t>
            </w:r>
          </w:p>
          <w:p w:rsidR="00A3140B" w:rsidRDefault="00CA6465">
            <w:pPr>
              <w:jc w:val="center"/>
              <w:rPr>
                <w:rFonts w:eastAsia="Times New Roman"/>
              </w:rPr>
            </w:pPr>
            <w:r w:rsidRPr="00CA6465">
              <w:rPr>
                <w:rFonts w:eastAsia="Times New Roman"/>
              </w:rPr>
              <w:pict>
                <v:rect id="_x0000_i1031" style="width:0;height:1.5pt" o:hralign="center" o:hrstd="t" o:hr="t" fillcolor="#aca899" stroked="f"/>
              </w:pict>
            </w:r>
          </w:p>
        </w:tc>
        <w:tc>
          <w:tcPr>
            <w:tcW w:w="697" w:type="pct"/>
            <w:shd w:val="clear" w:color="auto" w:fill="CCFFCC"/>
            <w:vAlign w:val="bottom"/>
            <w:hideMark/>
          </w:tcPr>
          <w:p w:rsidR="00A3140B" w:rsidRDefault="004275BA">
            <w:pPr>
              <w:jc w:val="center"/>
              <w:rPr>
                <w:rFonts w:eastAsia="Times New Roman"/>
              </w:rPr>
            </w:pPr>
            <w:r>
              <w:rPr>
                <w:rFonts w:eastAsia="Times New Roman"/>
                <w:b/>
                <w:bCs/>
                <w:sz w:val="20"/>
                <w:szCs w:val="20"/>
              </w:rPr>
              <w:t>2012  </w:t>
            </w:r>
          </w:p>
          <w:p w:rsidR="00A3140B" w:rsidRDefault="00CA6465">
            <w:pPr>
              <w:jc w:val="center"/>
              <w:rPr>
                <w:rFonts w:eastAsia="Times New Roman"/>
              </w:rPr>
            </w:pPr>
            <w:r w:rsidRPr="00CA6465">
              <w:rPr>
                <w:rFonts w:eastAsia="Times New Roman"/>
              </w:rPr>
              <w:pict>
                <v:rect id="_x0000_i1032" style="width:0;height:1.5pt" o:hralign="center" o:hrstd="t" o:hr="t" fillcolor="#aca899" stroked="f"/>
              </w:pic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CURRENT ASSETS</w:t>
            </w:r>
          </w:p>
        </w:tc>
        <w:tc>
          <w:tcPr>
            <w:tcW w:w="0" w:type="auto"/>
            <w:shd w:val="clear" w:color="auto" w:fill="CCFFCC"/>
            <w:vAlign w:val="bottom"/>
            <w:hideMark/>
          </w:tcPr>
          <w:p w:rsidR="00A3140B" w:rsidRDefault="00A3140B">
            <w:pPr>
              <w:jc w:val="center"/>
              <w:rPr>
                <w:rFonts w:eastAsia="Times New Roman"/>
              </w:rPr>
            </w:pPr>
          </w:p>
        </w:tc>
        <w:tc>
          <w:tcPr>
            <w:tcW w:w="0" w:type="auto"/>
            <w:shd w:val="clear" w:color="auto" w:fill="CCFFCC"/>
            <w:vAlign w:val="bottom"/>
            <w:hideMark/>
          </w:tcPr>
          <w:p w:rsidR="00A3140B" w:rsidRDefault="00A3140B">
            <w:pPr>
              <w:jc w:val="center"/>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Cash</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92,294</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5,775</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Accounts Receivable, Related Party</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Total Current Assets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92,294</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5,775</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FIXED ASSETS</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Land and buildings</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578,704</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578,704</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559,322</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b/>
                <w:bCs/>
                <w:sz w:val="20"/>
                <w:szCs w:val="20"/>
              </w:rPr>
              <w:t>TOTAL ASSETS</w:t>
            </w:r>
          </w:p>
        </w:tc>
        <w:tc>
          <w:tcPr>
            <w:tcW w:w="0" w:type="auto"/>
            <w:shd w:val="clear" w:color="auto" w:fill="FFFFFF"/>
            <w:vAlign w:val="bottom"/>
            <w:hideMark/>
          </w:tcPr>
          <w:p w:rsidR="00A3140B" w:rsidRDefault="004275BA">
            <w:pPr>
              <w:jc w:val="right"/>
              <w:rPr>
                <w:rFonts w:eastAsia="Times New Roman"/>
              </w:rPr>
            </w:pPr>
            <w:r>
              <w:rPr>
                <w:rFonts w:eastAsia="Times New Roman"/>
                <w:b/>
                <w:bCs/>
                <w:sz w:val="20"/>
                <w:szCs w:val="20"/>
              </w:rPr>
              <w:t>$    670,998</w:t>
            </w:r>
          </w:p>
        </w:tc>
        <w:tc>
          <w:tcPr>
            <w:tcW w:w="0" w:type="auto"/>
            <w:shd w:val="clear" w:color="auto" w:fill="FFFFFF"/>
            <w:vAlign w:val="bottom"/>
            <w:hideMark/>
          </w:tcPr>
          <w:p w:rsidR="00A3140B" w:rsidRDefault="004275BA">
            <w:pPr>
              <w:jc w:val="right"/>
              <w:rPr>
                <w:rFonts w:eastAsia="Times New Roman"/>
              </w:rPr>
            </w:pPr>
            <w:r>
              <w:rPr>
                <w:rFonts w:eastAsia="Times New Roman"/>
                <w:b/>
                <w:bCs/>
                <w:sz w:val="20"/>
                <w:szCs w:val="20"/>
              </w:rPr>
              <w:t>$    584,479</w:t>
            </w:r>
          </w:p>
        </w:tc>
        <w:tc>
          <w:tcPr>
            <w:tcW w:w="0" w:type="auto"/>
            <w:shd w:val="clear" w:color="auto" w:fill="FFFFFF"/>
            <w:vAlign w:val="bottom"/>
            <w:hideMark/>
          </w:tcPr>
          <w:p w:rsidR="00A3140B" w:rsidRDefault="004275BA">
            <w:pPr>
              <w:jc w:val="right"/>
              <w:rPr>
                <w:rFonts w:eastAsia="Times New Roman"/>
              </w:rPr>
            </w:pPr>
            <w:r>
              <w:rPr>
                <w:rFonts w:eastAsia="Times New Roman"/>
                <w:b/>
                <w:bCs/>
                <w:sz w:val="20"/>
                <w:szCs w:val="20"/>
              </w:rPr>
              <w:t>$    559,322</w:t>
            </w:r>
          </w:p>
        </w:tc>
      </w:tr>
      <w:tr w:rsidR="00A3140B">
        <w:trPr>
          <w:divId w:val="1524828679"/>
          <w:tblCellSpacing w:w="0" w:type="dxa"/>
        </w:trPr>
        <w:tc>
          <w:tcPr>
            <w:tcW w:w="0" w:type="auto"/>
            <w:shd w:val="clear" w:color="auto" w:fill="CCFFCC"/>
            <w:vAlign w:val="bottom"/>
            <w:hideMark/>
          </w:tcPr>
          <w:p w:rsidR="00A3140B" w:rsidRDefault="004275BA">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bl>
    <w:p w:rsidR="004275BA" w:rsidRDefault="004275BA">
      <w:pPr>
        <w:divId w:val="1524828679"/>
      </w:pPr>
      <w:r>
        <w:br w:type="page"/>
      </w:r>
    </w:p>
    <w:tbl>
      <w:tblPr>
        <w:tblW w:w="4500" w:type="pct"/>
        <w:tblCellSpacing w:w="0" w:type="dxa"/>
        <w:tblCellMar>
          <w:left w:w="0" w:type="dxa"/>
          <w:right w:w="0" w:type="dxa"/>
        </w:tblCellMar>
        <w:tblLook w:val="04A0"/>
      </w:tblPr>
      <w:tblGrid>
        <w:gridCol w:w="5658"/>
        <w:gridCol w:w="1354"/>
        <w:gridCol w:w="1354"/>
        <w:gridCol w:w="1354"/>
      </w:tblGrid>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b/>
                <w:bCs/>
                <w:sz w:val="20"/>
                <w:szCs w:val="20"/>
              </w:rPr>
              <w:lastRenderedPageBreak/>
              <w:t>            LIABILITIES AND STOCKHOLDERS' DEFICIENCY              </w:t>
            </w: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CURRENT LIABILITIES</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Accounts payable</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2,100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22,591</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9,547</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Current Bank Liability</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232</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31,524</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7,386</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7,119</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Note Payable, Affiliate</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3,390</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Note Payable</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127,029</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126,174</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136,285</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Payroll and sales taxes payable</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8,625</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61,476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67,682</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Prepaid Rental Revenues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1,294</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Total current liabilities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169,278</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217,627</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225,549</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Long Term Debt, subsidiary</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213,963</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47,560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54,469</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Due to affiliate</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56,259</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46,400</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40,268</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Total Long Term Debt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270,222</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93,960</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94,737</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Total Liabilities</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439,500</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311,587</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320,286</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STOCKHOLDERS' DEFICIENCY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rHeight w:val="300"/>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50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50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50</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16,700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16,700</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16,700</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Convertible preferred stock, Series 4; issued and outstanding,</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Convertible preferred stock, Series 5; issued, 1 share</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Common stock, par value $0.01; authorized, 90,000,000 shares; issued 46,973,585 shares</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469,736</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469,736</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469,736</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Additional paid-in capital</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20,497,769</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20,497,769</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20,497,769</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Accumulated deficit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(20,745,472)</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(20,704,078)</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(20,737,935)</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Less treasury stock, at cost</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1,670,000 shares of convertible preferred   stock, Series 3</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(7,284)</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(7,284)</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(7,284)</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1,120,000 shares of common stock</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  TOTAL SHAREHOLDERS EQUITY</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231,498</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272,893</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239,036</w:t>
            </w:r>
          </w:p>
        </w:tc>
      </w:tr>
      <w:tr w:rsidR="00A3140B">
        <w:trPr>
          <w:divId w:val="1524828679"/>
          <w:tblCellSpacing w:w="0" w:type="dxa"/>
        </w:trPr>
        <w:tc>
          <w:tcPr>
            <w:tcW w:w="0" w:type="auto"/>
            <w:shd w:val="clear" w:color="auto" w:fill="FFFFFF"/>
            <w:vAlign w:val="bottom"/>
            <w:hideMark/>
          </w:tcPr>
          <w:p w:rsidR="00A3140B" w:rsidRDefault="00A3140B">
            <w:pPr>
              <w:rPr>
                <w:rFonts w:eastAsia="Times New Roman"/>
              </w:rPr>
            </w:pP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  TOTAL LIABILITIES AND SHAREHOLDERS EQUITY</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  670,998</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   584,479</w:t>
            </w:r>
          </w:p>
        </w:tc>
        <w:tc>
          <w:tcPr>
            <w:tcW w:w="0" w:type="auto"/>
            <w:shd w:val="clear" w:color="auto" w:fill="CCFFCC"/>
            <w:vAlign w:val="bottom"/>
            <w:hideMark/>
          </w:tcPr>
          <w:p w:rsidR="00A3140B" w:rsidRDefault="004275BA">
            <w:pPr>
              <w:jc w:val="right"/>
              <w:rPr>
                <w:rFonts w:eastAsia="Times New Roman"/>
              </w:rPr>
            </w:pPr>
            <w:r>
              <w:rPr>
                <w:rFonts w:eastAsia="Times New Roman"/>
                <w:b/>
                <w:bCs/>
                <w:sz w:val="20"/>
                <w:szCs w:val="20"/>
              </w:rPr>
              <w:t>$  559,322</w:t>
            </w:r>
          </w:p>
        </w:tc>
      </w:tr>
      <w:tr w:rsidR="00A3140B">
        <w:trPr>
          <w:divId w:val="1524828679"/>
          <w:tblCellSpacing w:w="0" w:type="dxa"/>
        </w:trPr>
        <w:tc>
          <w:tcPr>
            <w:tcW w:w="0" w:type="auto"/>
            <w:shd w:val="clear" w:color="auto" w:fill="FFFFFF"/>
            <w:vAlign w:val="bottom"/>
            <w:hideMark/>
          </w:tcPr>
          <w:p w:rsidR="00A3140B" w:rsidRDefault="00A3140B">
            <w:pPr>
              <w:rPr>
                <w:rFonts w:eastAsia="Times New Roman"/>
              </w:rPr>
            </w:pP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divId w:val="1524828679"/>
          <w:tblCellSpacing w:w="0" w:type="dxa"/>
        </w:trPr>
        <w:tc>
          <w:tcPr>
            <w:tcW w:w="0" w:type="auto"/>
            <w:gridSpan w:val="4"/>
            <w:shd w:val="clear" w:color="auto" w:fill="CCFFCC"/>
            <w:vAlign w:val="bottom"/>
            <w:hideMark/>
          </w:tcPr>
          <w:p w:rsidR="00A3140B" w:rsidRDefault="004275BA">
            <w:pPr>
              <w:jc w:val="center"/>
              <w:rPr>
                <w:rFonts w:eastAsia="Times New Roman"/>
              </w:rPr>
            </w:pPr>
            <w:r>
              <w:rPr>
                <w:rFonts w:eastAsia="Times New Roman"/>
                <w:b/>
                <w:bCs/>
                <w:sz w:val="20"/>
                <w:szCs w:val="20"/>
              </w:rPr>
              <w:t>See accompanying notes to financial statements.</w:t>
            </w:r>
          </w:p>
        </w:tc>
      </w:tr>
    </w:tbl>
    <w:p w:rsidR="00A3140B" w:rsidRDefault="00CA6465">
      <w:pPr>
        <w:pStyle w:val="NormalWeb"/>
        <w:divId w:val="1524828679"/>
      </w:pPr>
      <w:hyperlink w:anchor="toc" w:history="1">
        <w:r w:rsidR="004275BA">
          <w:rPr>
            <w:rStyle w:val="Hyperlink"/>
            <w:b/>
            <w:bCs/>
            <w:sz w:val="20"/>
            <w:szCs w:val="20"/>
          </w:rPr>
          <w:t>Return to Table of Contents</w:t>
        </w:r>
      </w:hyperlink>
    </w:p>
    <w:p w:rsidR="004275BA" w:rsidRDefault="00CA6465">
      <w:pPr>
        <w:rPr>
          <w:rFonts w:eastAsia="Times New Roman"/>
        </w:rPr>
      </w:pPr>
      <w:r w:rsidRPr="00CA6465">
        <w:rPr>
          <w:rFonts w:eastAsia="Times New Roman"/>
        </w:rPr>
        <w:pict>
          <v:rect id="_x0000_i1033" style="width:0;height:3pt" o:hralign="center" o:hrstd="t" o:hrnoshade="t" o:hr="t" fillcolor="black" stroked="f"/>
        </w:pict>
      </w:r>
    </w:p>
    <w:p w:rsidR="004275BA" w:rsidRDefault="004275BA">
      <w:pPr>
        <w:rPr>
          <w:rFonts w:eastAsia="Times New Roman"/>
        </w:rPr>
      </w:pPr>
      <w:r>
        <w:rPr>
          <w:rFonts w:eastAsia="Times New Roman"/>
        </w:rPr>
        <w:br w:type="page"/>
      </w:r>
    </w:p>
    <w:tbl>
      <w:tblPr>
        <w:tblW w:w="4500" w:type="pct"/>
        <w:tblCellSpacing w:w="0" w:type="dxa"/>
        <w:tblCellMar>
          <w:left w:w="0" w:type="dxa"/>
          <w:right w:w="0" w:type="dxa"/>
        </w:tblCellMar>
        <w:tblLook w:val="04A0"/>
      </w:tblPr>
      <w:tblGrid>
        <w:gridCol w:w="4550"/>
        <w:gridCol w:w="1034"/>
        <w:gridCol w:w="1034"/>
        <w:gridCol w:w="1034"/>
        <w:gridCol w:w="1034"/>
        <w:gridCol w:w="1034"/>
      </w:tblGrid>
      <w:tr w:rsidR="00A3140B">
        <w:trPr>
          <w:tblCellSpacing w:w="0" w:type="dxa"/>
        </w:trPr>
        <w:tc>
          <w:tcPr>
            <w:tcW w:w="0" w:type="auto"/>
            <w:gridSpan w:val="5"/>
            <w:shd w:val="clear" w:color="auto" w:fill="CCFFCC"/>
            <w:hideMark/>
          </w:tcPr>
          <w:p w:rsidR="00A3140B" w:rsidRDefault="004275BA">
            <w:pPr>
              <w:pStyle w:val="NormalWeb"/>
              <w:jc w:val="center"/>
            </w:pPr>
            <w:r>
              <w:rPr>
                <w:b/>
                <w:bCs/>
                <w:sz w:val="20"/>
                <w:szCs w:val="20"/>
              </w:rPr>
              <w:lastRenderedPageBreak/>
              <w:t>ADVANCED OXYGEN TECHNOLOGIES, INC.</w:t>
            </w:r>
          </w:p>
        </w:tc>
        <w:tc>
          <w:tcPr>
            <w:tcW w:w="0" w:type="auto"/>
            <w:shd w:val="clear" w:color="auto" w:fill="CCFFCC"/>
            <w:hideMark/>
          </w:tcPr>
          <w:p w:rsidR="00A3140B" w:rsidRDefault="00A3140B">
            <w:pPr>
              <w:rPr>
                <w:rFonts w:eastAsia="Times New Roman"/>
              </w:rPr>
            </w:pPr>
          </w:p>
        </w:tc>
      </w:tr>
      <w:tr w:rsidR="00A3140B">
        <w:trPr>
          <w:tblCellSpacing w:w="0" w:type="dxa"/>
        </w:trPr>
        <w:tc>
          <w:tcPr>
            <w:tcW w:w="0" w:type="auto"/>
            <w:gridSpan w:val="5"/>
            <w:shd w:val="clear" w:color="auto" w:fill="FFFFFF"/>
            <w:hideMark/>
          </w:tcPr>
          <w:p w:rsidR="00A3140B" w:rsidRDefault="004275BA">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A3140B" w:rsidRDefault="00A3140B">
            <w:pPr>
              <w:rPr>
                <w:rFonts w:eastAsia="Times New Roman"/>
              </w:rPr>
            </w:pPr>
          </w:p>
        </w:tc>
      </w:tr>
      <w:tr w:rsidR="00A3140B" w:rsidTr="004275BA">
        <w:trPr>
          <w:tblCellSpacing w:w="0" w:type="dxa"/>
        </w:trPr>
        <w:tc>
          <w:tcPr>
            <w:tcW w:w="2341" w:type="pct"/>
            <w:shd w:val="clear" w:color="auto" w:fill="CCFFCC"/>
            <w:hideMark/>
          </w:tcPr>
          <w:p w:rsidR="00A3140B" w:rsidRDefault="00A3140B">
            <w:pPr>
              <w:rPr>
                <w:rFonts w:eastAsia="Times New Roman"/>
              </w:rPr>
            </w:pPr>
          </w:p>
        </w:tc>
        <w:tc>
          <w:tcPr>
            <w:tcW w:w="532" w:type="pct"/>
            <w:shd w:val="clear" w:color="auto" w:fill="CCFFCC"/>
            <w:hideMark/>
          </w:tcPr>
          <w:p w:rsidR="00A3140B" w:rsidRDefault="00A3140B">
            <w:pPr>
              <w:rPr>
                <w:rFonts w:eastAsia="Times New Roman"/>
              </w:rPr>
            </w:pPr>
          </w:p>
        </w:tc>
        <w:tc>
          <w:tcPr>
            <w:tcW w:w="532" w:type="pct"/>
            <w:shd w:val="clear" w:color="auto" w:fill="CCFFCC"/>
            <w:hideMark/>
          </w:tcPr>
          <w:p w:rsidR="00A3140B" w:rsidRDefault="00A3140B">
            <w:pPr>
              <w:rPr>
                <w:rFonts w:eastAsia="Times New Roman"/>
              </w:rPr>
            </w:pPr>
          </w:p>
        </w:tc>
        <w:tc>
          <w:tcPr>
            <w:tcW w:w="532" w:type="pct"/>
            <w:shd w:val="clear" w:color="auto" w:fill="CCFFCC"/>
            <w:hideMark/>
          </w:tcPr>
          <w:p w:rsidR="00A3140B" w:rsidRDefault="00A3140B">
            <w:pPr>
              <w:jc w:val="right"/>
              <w:rPr>
                <w:rFonts w:eastAsia="Times New Roman"/>
              </w:rPr>
            </w:pPr>
          </w:p>
        </w:tc>
        <w:tc>
          <w:tcPr>
            <w:tcW w:w="532" w:type="pct"/>
            <w:shd w:val="clear" w:color="auto" w:fill="CCFFCC"/>
            <w:hideMark/>
          </w:tcPr>
          <w:p w:rsidR="00A3140B" w:rsidRDefault="00A3140B">
            <w:pPr>
              <w:jc w:val="right"/>
              <w:rPr>
                <w:rFonts w:eastAsia="Times New Roman"/>
              </w:rPr>
            </w:pPr>
          </w:p>
        </w:tc>
        <w:tc>
          <w:tcPr>
            <w:tcW w:w="532" w:type="pct"/>
            <w:shd w:val="clear" w:color="auto" w:fill="CCFFCC"/>
            <w:hideMark/>
          </w:tcPr>
          <w:p w:rsidR="00A3140B" w:rsidRDefault="00A3140B">
            <w:pPr>
              <w:rPr>
                <w:rFonts w:eastAsia="Times New Roman"/>
              </w:rPr>
            </w:pPr>
          </w:p>
        </w:tc>
      </w:tr>
      <w:tr w:rsidR="00A3140B">
        <w:trPr>
          <w:tblCellSpacing w:w="0" w:type="dxa"/>
        </w:trPr>
        <w:tc>
          <w:tcPr>
            <w:tcW w:w="0" w:type="auto"/>
            <w:shd w:val="clear" w:color="auto" w:fill="FFFFFF"/>
            <w:hideMark/>
          </w:tcPr>
          <w:p w:rsidR="00A3140B" w:rsidRDefault="00A3140B">
            <w:pPr>
              <w:rPr>
                <w:rFonts w:eastAsia="Times New Roman"/>
              </w:rPr>
            </w:pPr>
          </w:p>
        </w:tc>
        <w:tc>
          <w:tcPr>
            <w:tcW w:w="0" w:type="auto"/>
            <w:gridSpan w:val="2"/>
            <w:shd w:val="clear" w:color="auto" w:fill="FFFFFF"/>
            <w:hideMark/>
          </w:tcPr>
          <w:p w:rsidR="00A3140B" w:rsidRDefault="004275BA">
            <w:pPr>
              <w:pStyle w:val="NormalWeb"/>
              <w:jc w:val="center"/>
            </w:pPr>
            <w:r>
              <w:rPr>
                <w:sz w:val="20"/>
                <w:szCs w:val="20"/>
              </w:rPr>
              <w:t>3 Month Period Ending December, 31</w:t>
            </w:r>
          </w:p>
        </w:tc>
        <w:tc>
          <w:tcPr>
            <w:tcW w:w="0" w:type="auto"/>
            <w:gridSpan w:val="2"/>
            <w:shd w:val="clear" w:color="auto" w:fill="FFFFFF"/>
            <w:hideMark/>
          </w:tcPr>
          <w:p w:rsidR="00A3140B" w:rsidRDefault="004275BA">
            <w:pPr>
              <w:pStyle w:val="NormalWeb"/>
              <w:jc w:val="center"/>
            </w:pPr>
            <w:r>
              <w:rPr>
                <w:sz w:val="20"/>
                <w:szCs w:val="20"/>
              </w:rPr>
              <w:t>6 Month Period Ending December 31,</w:t>
            </w:r>
          </w:p>
        </w:tc>
        <w:tc>
          <w:tcPr>
            <w:tcW w:w="0" w:type="auto"/>
            <w:shd w:val="clear" w:color="auto" w:fill="FFFFFF"/>
            <w:hideMark/>
          </w:tcPr>
          <w:p w:rsidR="00A3140B" w:rsidRDefault="004275BA">
            <w:pPr>
              <w:pStyle w:val="NormalWeb"/>
              <w:jc w:val="center"/>
            </w:pPr>
            <w:r>
              <w:rPr>
                <w:sz w:val="20"/>
                <w:szCs w:val="20"/>
              </w:rPr>
              <w:t>12 Month Period Ending</w:t>
            </w:r>
            <w:r>
              <w:rPr>
                <w:sz w:val="20"/>
                <w:szCs w:val="20"/>
              </w:rPr>
              <w:br/>
              <w:t>June 30,</w:t>
            </w:r>
          </w:p>
        </w:tc>
      </w:tr>
      <w:tr w:rsidR="00A3140B">
        <w:trPr>
          <w:tblCellSpacing w:w="0" w:type="dxa"/>
        </w:trPr>
        <w:tc>
          <w:tcPr>
            <w:tcW w:w="0" w:type="auto"/>
            <w:shd w:val="clear" w:color="auto" w:fill="CCFFCC"/>
            <w:hideMark/>
          </w:tcPr>
          <w:p w:rsidR="00A3140B" w:rsidRDefault="00A3140B">
            <w:pPr>
              <w:rPr>
                <w:rFonts w:eastAsia="Times New Roman"/>
              </w:rPr>
            </w:pPr>
          </w:p>
        </w:tc>
        <w:tc>
          <w:tcPr>
            <w:tcW w:w="0" w:type="auto"/>
            <w:gridSpan w:val="2"/>
            <w:shd w:val="clear" w:color="auto" w:fill="CCFFCC"/>
            <w:hideMark/>
          </w:tcPr>
          <w:p w:rsidR="00A3140B" w:rsidRDefault="004275BA">
            <w:pPr>
              <w:pStyle w:val="NormalWeb"/>
              <w:jc w:val="center"/>
            </w:pPr>
            <w:r>
              <w:rPr>
                <w:b/>
                <w:bCs/>
                <w:sz w:val="20"/>
                <w:szCs w:val="20"/>
              </w:rPr>
              <w:t>(Unaudited)</w:t>
            </w:r>
          </w:p>
        </w:tc>
        <w:tc>
          <w:tcPr>
            <w:tcW w:w="0" w:type="auto"/>
            <w:gridSpan w:val="2"/>
            <w:shd w:val="clear" w:color="auto" w:fill="CCFFCC"/>
            <w:hideMark/>
          </w:tcPr>
          <w:p w:rsidR="00A3140B" w:rsidRDefault="004275BA">
            <w:pPr>
              <w:pStyle w:val="NormalWeb"/>
              <w:jc w:val="center"/>
            </w:pPr>
            <w:r>
              <w:rPr>
                <w:b/>
                <w:bCs/>
                <w:sz w:val="20"/>
                <w:szCs w:val="20"/>
              </w:rPr>
              <w:t>(Unaudited)</w:t>
            </w:r>
          </w:p>
        </w:tc>
        <w:tc>
          <w:tcPr>
            <w:tcW w:w="0" w:type="auto"/>
            <w:shd w:val="clear" w:color="auto" w:fill="CCFFCC"/>
            <w:hideMark/>
          </w:tcPr>
          <w:p w:rsidR="00A3140B" w:rsidRDefault="004275BA">
            <w:pPr>
              <w:pStyle w:val="NormalWeb"/>
              <w:jc w:val="center"/>
            </w:pPr>
            <w:r>
              <w:rPr>
                <w:b/>
                <w:bCs/>
                <w:sz w:val="20"/>
                <w:szCs w:val="20"/>
              </w:rPr>
              <w:t>(Audited)</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0" w:type="auto"/>
            <w:shd w:val="clear" w:color="auto" w:fill="FFFFFF"/>
            <w:hideMark/>
          </w:tcPr>
          <w:p w:rsidR="00A3140B" w:rsidRDefault="004275BA">
            <w:pPr>
              <w:pStyle w:val="NormalWeb"/>
              <w:jc w:val="right"/>
            </w:pPr>
            <w:r>
              <w:rPr>
                <w:b/>
                <w:bCs/>
                <w:sz w:val="20"/>
                <w:szCs w:val="20"/>
              </w:rPr>
              <w:t>2013</w:t>
            </w:r>
          </w:p>
        </w:tc>
        <w:tc>
          <w:tcPr>
            <w:tcW w:w="0" w:type="auto"/>
            <w:shd w:val="clear" w:color="auto" w:fill="FFFFFF"/>
            <w:hideMark/>
          </w:tcPr>
          <w:p w:rsidR="00A3140B" w:rsidRDefault="004275BA">
            <w:pPr>
              <w:pStyle w:val="NormalWeb"/>
              <w:jc w:val="right"/>
            </w:pPr>
            <w:r>
              <w:rPr>
                <w:b/>
                <w:bCs/>
                <w:sz w:val="20"/>
                <w:szCs w:val="20"/>
              </w:rPr>
              <w:t>2012</w:t>
            </w:r>
          </w:p>
        </w:tc>
        <w:tc>
          <w:tcPr>
            <w:tcW w:w="0" w:type="auto"/>
            <w:shd w:val="clear" w:color="auto" w:fill="FFFFFF"/>
            <w:hideMark/>
          </w:tcPr>
          <w:p w:rsidR="00A3140B" w:rsidRDefault="004275BA">
            <w:pPr>
              <w:pStyle w:val="NormalWeb"/>
              <w:jc w:val="right"/>
            </w:pPr>
            <w:r>
              <w:rPr>
                <w:b/>
                <w:bCs/>
                <w:sz w:val="20"/>
                <w:szCs w:val="20"/>
              </w:rPr>
              <w:t>2013</w:t>
            </w:r>
          </w:p>
        </w:tc>
        <w:tc>
          <w:tcPr>
            <w:tcW w:w="0" w:type="auto"/>
            <w:shd w:val="clear" w:color="auto" w:fill="FFFFFF"/>
            <w:hideMark/>
          </w:tcPr>
          <w:p w:rsidR="00A3140B" w:rsidRDefault="004275BA">
            <w:pPr>
              <w:pStyle w:val="NormalWeb"/>
              <w:jc w:val="right"/>
            </w:pPr>
            <w:r>
              <w:rPr>
                <w:b/>
                <w:bCs/>
                <w:sz w:val="20"/>
                <w:szCs w:val="20"/>
              </w:rPr>
              <w:t>2012</w:t>
            </w:r>
          </w:p>
        </w:tc>
        <w:tc>
          <w:tcPr>
            <w:tcW w:w="0" w:type="auto"/>
            <w:shd w:val="clear" w:color="auto" w:fill="FFFFFF"/>
            <w:hideMark/>
          </w:tcPr>
          <w:p w:rsidR="00A3140B" w:rsidRDefault="004275BA">
            <w:pPr>
              <w:pStyle w:val="NormalWeb"/>
              <w:jc w:val="right"/>
            </w:pPr>
            <w:r>
              <w:rPr>
                <w:b/>
                <w:bCs/>
                <w:sz w:val="20"/>
                <w:szCs w:val="20"/>
              </w:rPr>
              <w:t>2013</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Revenues</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Real Estate Rental Income, subsidiary</w:t>
            </w:r>
          </w:p>
        </w:tc>
        <w:tc>
          <w:tcPr>
            <w:tcW w:w="0" w:type="auto"/>
            <w:shd w:val="clear" w:color="auto" w:fill="FFFFFF"/>
            <w:hideMark/>
          </w:tcPr>
          <w:p w:rsidR="00A3140B" w:rsidRDefault="004275BA">
            <w:pPr>
              <w:jc w:val="right"/>
              <w:rPr>
                <w:rFonts w:eastAsia="Times New Roman"/>
              </w:rPr>
            </w:pPr>
            <w:r>
              <w:rPr>
                <w:rFonts w:eastAsia="Times New Roman"/>
                <w:sz w:val="20"/>
                <w:szCs w:val="20"/>
              </w:rPr>
              <w:t>8,555</w:t>
            </w:r>
          </w:p>
        </w:tc>
        <w:tc>
          <w:tcPr>
            <w:tcW w:w="0" w:type="auto"/>
            <w:shd w:val="clear" w:color="auto" w:fill="FFFFFF"/>
            <w:hideMark/>
          </w:tcPr>
          <w:p w:rsidR="00A3140B" w:rsidRDefault="004275BA">
            <w:pPr>
              <w:jc w:val="right"/>
              <w:rPr>
                <w:rFonts w:eastAsia="Times New Roman"/>
              </w:rPr>
            </w:pPr>
            <w:r>
              <w:rPr>
                <w:rFonts w:eastAsia="Times New Roman"/>
                <w:sz w:val="20"/>
                <w:szCs w:val="20"/>
              </w:rPr>
              <w:t>10,276</w:t>
            </w:r>
          </w:p>
        </w:tc>
        <w:tc>
          <w:tcPr>
            <w:tcW w:w="0" w:type="auto"/>
            <w:shd w:val="clear" w:color="auto" w:fill="FFFFFF"/>
            <w:hideMark/>
          </w:tcPr>
          <w:p w:rsidR="00A3140B" w:rsidRDefault="004275BA">
            <w:pPr>
              <w:jc w:val="right"/>
              <w:rPr>
                <w:rFonts w:eastAsia="Times New Roman"/>
              </w:rPr>
            </w:pPr>
            <w:r>
              <w:rPr>
                <w:rFonts w:eastAsia="Times New Roman"/>
                <w:sz w:val="20"/>
                <w:szCs w:val="20"/>
              </w:rPr>
              <w:t>15,537</w:t>
            </w:r>
          </w:p>
        </w:tc>
        <w:tc>
          <w:tcPr>
            <w:tcW w:w="0" w:type="auto"/>
            <w:shd w:val="clear" w:color="auto" w:fill="FFFFFF"/>
            <w:hideMark/>
          </w:tcPr>
          <w:p w:rsidR="00A3140B" w:rsidRDefault="004275BA">
            <w:pPr>
              <w:jc w:val="right"/>
              <w:rPr>
                <w:rFonts w:eastAsia="Times New Roman"/>
              </w:rPr>
            </w:pPr>
            <w:r>
              <w:rPr>
                <w:rFonts w:eastAsia="Times New Roman"/>
                <w:sz w:val="20"/>
                <w:szCs w:val="20"/>
              </w:rPr>
              <w:t>36,748</w:t>
            </w:r>
          </w:p>
        </w:tc>
        <w:tc>
          <w:tcPr>
            <w:tcW w:w="0" w:type="auto"/>
            <w:shd w:val="clear" w:color="auto" w:fill="FFFFFF"/>
            <w:hideMark/>
          </w:tcPr>
          <w:p w:rsidR="00A3140B" w:rsidRDefault="004275BA">
            <w:pPr>
              <w:jc w:val="right"/>
              <w:rPr>
                <w:rFonts w:eastAsia="Times New Roman"/>
              </w:rPr>
            </w:pPr>
            <w:r>
              <w:rPr>
                <w:rFonts w:eastAsia="Times New Roman"/>
                <w:sz w:val="20"/>
                <w:szCs w:val="20"/>
              </w:rPr>
              <w:t>60,590</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Foreign Exchange Income</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1,596</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Total Revenues</w:t>
            </w:r>
          </w:p>
        </w:tc>
        <w:tc>
          <w:tcPr>
            <w:tcW w:w="0" w:type="auto"/>
            <w:shd w:val="clear" w:color="auto" w:fill="FFFFFF"/>
            <w:hideMark/>
          </w:tcPr>
          <w:p w:rsidR="00A3140B" w:rsidRDefault="004275BA">
            <w:pPr>
              <w:jc w:val="right"/>
              <w:rPr>
                <w:rFonts w:eastAsia="Times New Roman"/>
              </w:rPr>
            </w:pPr>
            <w:r>
              <w:rPr>
                <w:rFonts w:eastAsia="Times New Roman"/>
                <w:sz w:val="20"/>
                <w:szCs w:val="20"/>
              </w:rPr>
              <w:t>8,555</w:t>
            </w:r>
          </w:p>
        </w:tc>
        <w:tc>
          <w:tcPr>
            <w:tcW w:w="0" w:type="auto"/>
            <w:shd w:val="clear" w:color="auto" w:fill="FFFFFF"/>
            <w:hideMark/>
          </w:tcPr>
          <w:p w:rsidR="00A3140B" w:rsidRDefault="004275BA">
            <w:pPr>
              <w:jc w:val="right"/>
              <w:rPr>
                <w:rFonts w:eastAsia="Times New Roman"/>
              </w:rPr>
            </w:pPr>
            <w:r>
              <w:rPr>
                <w:rFonts w:eastAsia="Times New Roman"/>
                <w:sz w:val="20"/>
                <w:szCs w:val="20"/>
              </w:rPr>
              <w:t>10,276</w:t>
            </w:r>
          </w:p>
        </w:tc>
        <w:tc>
          <w:tcPr>
            <w:tcW w:w="0" w:type="auto"/>
            <w:shd w:val="clear" w:color="auto" w:fill="FFFFFF"/>
            <w:hideMark/>
          </w:tcPr>
          <w:p w:rsidR="00A3140B" w:rsidRDefault="004275BA">
            <w:pPr>
              <w:jc w:val="right"/>
              <w:rPr>
                <w:rFonts w:eastAsia="Times New Roman"/>
              </w:rPr>
            </w:pPr>
            <w:r>
              <w:rPr>
                <w:rFonts w:eastAsia="Times New Roman"/>
                <w:sz w:val="20"/>
                <w:szCs w:val="20"/>
              </w:rPr>
              <w:t>15,537</w:t>
            </w:r>
          </w:p>
        </w:tc>
        <w:tc>
          <w:tcPr>
            <w:tcW w:w="0" w:type="auto"/>
            <w:shd w:val="clear" w:color="auto" w:fill="FFFFFF"/>
            <w:hideMark/>
          </w:tcPr>
          <w:p w:rsidR="00A3140B" w:rsidRDefault="004275BA">
            <w:pPr>
              <w:jc w:val="right"/>
              <w:rPr>
                <w:rFonts w:eastAsia="Times New Roman"/>
              </w:rPr>
            </w:pPr>
            <w:r>
              <w:rPr>
                <w:rFonts w:eastAsia="Times New Roman"/>
                <w:sz w:val="20"/>
                <w:szCs w:val="20"/>
              </w:rPr>
              <w:t>36,748</w:t>
            </w:r>
          </w:p>
        </w:tc>
        <w:tc>
          <w:tcPr>
            <w:tcW w:w="0" w:type="auto"/>
            <w:shd w:val="clear" w:color="auto" w:fill="FFFFFF"/>
            <w:hideMark/>
          </w:tcPr>
          <w:p w:rsidR="00A3140B" w:rsidRDefault="004275BA">
            <w:pPr>
              <w:jc w:val="right"/>
              <w:rPr>
                <w:rFonts w:eastAsia="Times New Roman"/>
              </w:rPr>
            </w:pPr>
            <w:r>
              <w:rPr>
                <w:rFonts w:eastAsia="Times New Roman"/>
                <w:sz w:val="20"/>
                <w:szCs w:val="20"/>
              </w:rPr>
              <w:t>62,186</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Cost of Sales</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Cost of Sales, subsidiary</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Gross Profit</w:t>
            </w:r>
          </w:p>
        </w:tc>
        <w:tc>
          <w:tcPr>
            <w:tcW w:w="0" w:type="auto"/>
            <w:shd w:val="clear" w:color="auto" w:fill="CCFFCC"/>
            <w:hideMark/>
          </w:tcPr>
          <w:p w:rsidR="00A3140B" w:rsidRDefault="004275BA">
            <w:pPr>
              <w:jc w:val="right"/>
              <w:rPr>
                <w:rFonts w:eastAsia="Times New Roman"/>
              </w:rPr>
            </w:pPr>
            <w:r>
              <w:rPr>
                <w:rFonts w:eastAsia="Times New Roman"/>
                <w:sz w:val="20"/>
                <w:szCs w:val="20"/>
              </w:rPr>
              <w:t>8,555</w:t>
            </w:r>
          </w:p>
        </w:tc>
        <w:tc>
          <w:tcPr>
            <w:tcW w:w="0" w:type="auto"/>
            <w:shd w:val="clear" w:color="auto" w:fill="CCFFCC"/>
            <w:hideMark/>
          </w:tcPr>
          <w:p w:rsidR="00A3140B" w:rsidRDefault="004275BA">
            <w:pPr>
              <w:jc w:val="right"/>
              <w:rPr>
                <w:rFonts w:eastAsia="Times New Roman"/>
              </w:rPr>
            </w:pPr>
            <w:r>
              <w:rPr>
                <w:rFonts w:eastAsia="Times New Roman"/>
                <w:sz w:val="20"/>
                <w:szCs w:val="20"/>
              </w:rPr>
              <w:t>10,276</w:t>
            </w:r>
          </w:p>
        </w:tc>
        <w:tc>
          <w:tcPr>
            <w:tcW w:w="0" w:type="auto"/>
            <w:shd w:val="clear" w:color="auto" w:fill="CCFFCC"/>
            <w:hideMark/>
          </w:tcPr>
          <w:p w:rsidR="00A3140B" w:rsidRDefault="004275BA">
            <w:pPr>
              <w:jc w:val="right"/>
              <w:rPr>
                <w:rFonts w:eastAsia="Times New Roman"/>
              </w:rPr>
            </w:pPr>
            <w:r>
              <w:rPr>
                <w:rFonts w:eastAsia="Times New Roman"/>
                <w:sz w:val="20"/>
                <w:szCs w:val="20"/>
              </w:rPr>
              <w:t>15,537</w:t>
            </w:r>
          </w:p>
        </w:tc>
        <w:tc>
          <w:tcPr>
            <w:tcW w:w="0" w:type="auto"/>
            <w:shd w:val="clear" w:color="auto" w:fill="CCFFCC"/>
            <w:hideMark/>
          </w:tcPr>
          <w:p w:rsidR="00A3140B" w:rsidRDefault="004275BA">
            <w:pPr>
              <w:jc w:val="right"/>
              <w:rPr>
                <w:rFonts w:eastAsia="Times New Roman"/>
              </w:rPr>
            </w:pPr>
            <w:r>
              <w:rPr>
                <w:rFonts w:eastAsia="Times New Roman"/>
                <w:sz w:val="20"/>
                <w:szCs w:val="20"/>
              </w:rPr>
              <w:t>36,748</w:t>
            </w:r>
          </w:p>
        </w:tc>
        <w:tc>
          <w:tcPr>
            <w:tcW w:w="0" w:type="auto"/>
            <w:shd w:val="clear" w:color="auto" w:fill="CCFFCC"/>
            <w:hideMark/>
          </w:tcPr>
          <w:p w:rsidR="00A3140B" w:rsidRDefault="004275BA">
            <w:pPr>
              <w:jc w:val="right"/>
              <w:rPr>
                <w:rFonts w:eastAsia="Times New Roman"/>
              </w:rPr>
            </w:pPr>
            <w:r>
              <w:rPr>
                <w:rFonts w:eastAsia="Times New Roman"/>
                <w:sz w:val="20"/>
                <w:szCs w:val="20"/>
              </w:rPr>
              <w:t>62,186</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Expenses</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Accounting Expense</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9,821</w:t>
            </w:r>
          </w:p>
        </w:tc>
        <w:tc>
          <w:tcPr>
            <w:tcW w:w="0" w:type="auto"/>
            <w:shd w:val="clear" w:color="auto" w:fill="FFFFFF"/>
            <w:hideMark/>
          </w:tcPr>
          <w:p w:rsidR="00A3140B" w:rsidRDefault="004275BA">
            <w:pPr>
              <w:jc w:val="right"/>
              <w:rPr>
                <w:rFonts w:eastAsia="Times New Roman"/>
              </w:rPr>
            </w:pPr>
            <w:r>
              <w:rPr>
                <w:rFonts w:eastAsia="Times New Roman"/>
                <w:sz w:val="20"/>
                <w:szCs w:val="20"/>
              </w:rPr>
              <w:t>1,640</w:t>
            </w:r>
          </w:p>
        </w:tc>
        <w:tc>
          <w:tcPr>
            <w:tcW w:w="0" w:type="auto"/>
            <w:shd w:val="clear" w:color="auto" w:fill="FFFFFF"/>
            <w:hideMark/>
          </w:tcPr>
          <w:p w:rsidR="00A3140B" w:rsidRDefault="004275BA">
            <w:pPr>
              <w:jc w:val="right"/>
              <w:rPr>
                <w:rFonts w:eastAsia="Times New Roman"/>
              </w:rPr>
            </w:pPr>
            <w:r>
              <w:rPr>
                <w:rFonts w:eastAsia="Times New Roman"/>
                <w:sz w:val="20"/>
                <w:szCs w:val="20"/>
              </w:rPr>
              <w:t>9,821</w:t>
            </w:r>
          </w:p>
        </w:tc>
        <w:tc>
          <w:tcPr>
            <w:tcW w:w="0" w:type="auto"/>
            <w:shd w:val="clear" w:color="auto" w:fill="FFFFFF"/>
            <w:hideMark/>
          </w:tcPr>
          <w:p w:rsidR="00A3140B" w:rsidRDefault="004275BA">
            <w:pPr>
              <w:jc w:val="right"/>
              <w:rPr>
                <w:rFonts w:eastAsia="Times New Roman"/>
              </w:rPr>
            </w:pPr>
            <w:r>
              <w:rPr>
                <w:rFonts w:eastAsia="Times New Roman"/>
                <w:sz w:val="20"/>
                <w:szCs w:val="20"/>
              </w:rPr>
              <w:t>12,990</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Interest Expense</w:t>
            </w:r>
          </w:p>
        </w:tc>
        <w:tc>
          <w:tcPr>
            <w:tcW w:w="0" w:type="auto"/>
            <w:shd w:val="clear" w:color="auto" w:fill="CCFFCC"/>
            <w:hideMark/>
          </w:tcPr>
          <w:p w:rsidR="00A3140B" w:rsidRDefault="004275BA">
            <w:pPr>
              <w:jc w:val="right"/>
              <w:rPr>
                <w:rFonts w:eastAsia="Times New Roman"/>
              </w:rPr>
            </w:pPr>
            <w:r>
              <w:rPr>
                <w:rFonts w:eastAsia="Times New Roman"/>
                <w:sz w:val="20"/>
                <w:szCs w:val="20"/>
              </w:rPr>
              <w:t>1,053</w:t>
            </w:r>
          </w:p>
        </w:tc>
        <w:tc>
          <w:tcPr>
            <w:tcW w:w="0" w:type="auto"/>
            <w:shd w:val="clear" w:color="auto" w:fill="CCFFCC"/>
            <w:hideMark/>
          </w:tcPr>
          <w:p w:rsidR="00A3140B" w:rsidRDefault="004275BA">
            <w:pPr>
              <w:jc w:val="right"/>
              <w:rPr>
                <w:rFonts w:eastAsia="Times New Roman"/>
              </w:rPr>
            </w:pPr>
            <w:r>
              <w:rPr>
                <w:rFonts w:eastAsia="Times New Roman"/>
                <w:sz w:val="20"/>
                <w:szCs w:val="20"/>
              </w:rPr>
              <w:t>1,157</w:t>
            </w:r>
          </w:p>
        </w:tc>
        <w:tc>
          <w:tcPr>
            <w:tcW w:w="0" w:type="auto"/>
            <w:shd w:val="clear" w:color="auto" w:fill="CCFFCC"/>
            <w:hideMark/>
          </w:tcPr>
          <w:p w:rsidR="00A3140B" w:rsidRDefault="004275BA">
            <w:pPr>
              <w:jc w:val="right"/>
              <w:rPr>
                <w:rFonts w:eastAsia="Times New Roman"/>
              </w:rPr>
            </w:pPr>
            <w:r>
              <w:rPr>
                <w:rFonts w:eastAsia="Times New Roman"/>
                <w:sz w:val="20"/>
                <w:szCs w:val="20"/>
              </w:rPr>
              <w:t>2,026</w:t>
            </w:r>
          </w:p>
        </w:tc>
        <w:tc>
          <w:tcPr>
            <w:tcW w:w="0" w:type="auto"/>
            <w:shd w:val="clear" w:color="auto" w:fill="CCFFCC"/>
            <w:hideMark/>
          </w:tcPr>
          <w:p w:rsidR="00A3140B" w:rsidRDefault="004275BA">
            <w:pPr>
              <w:jc w:val="right"/>
              <w:rPr>
                <w:rFonts w:eastAsia="Times New Roman"/>
              </w:rPr>
            </w:pPr>
            <w:r>
              <w:rPr>
                <w:rFonts w:eastAsia="Times New Roman"/>
                <w:sz w:val="20"/>
                <w:szCs w:val="20"/>
              </w:rPr>
              <w:t>2,275</w:t>
            </w:r>
          </w:p>
        </w:tc>
        <w:tc>
          <w:tcPr>
            <w:tcW w:w="0" w:type="auto"/>
            <w:shd w:val="clear" w:color="auto" w:fill="CCFFCC"/>
            <w:hideMark/>
          </w:tcPr>
          <w:p w:rsidR="00A3140B" w:rsidRDefault="004275BA">
            <w:pPr>
              <w:jc w:val="right"/>
              <w:rPr>
                <w:rFonts w:eastAsia="Times New Roman"/>
              </w:rPr>
            </w:pPr>
            <w:r>
              <w:rPr>
                <w:rFonts w:eastAsia="Times New Roman"/>
                <w:sz w:val="20"/>
                <w:szCs w:val="20"/>
              </w:rPr>
              <w:t>4,353</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General &amp; Administrative</w:t>
            </w:r>
          </w:p>
        </w:tc>
        <w:tc>
          <w:tcPr>
            <w:tcW w:w="0" w:type="auto"/>
            <w:shd w:val="clear" w:color="auto" w:fill="FFFFFF"/>
            <w:hideMark/>
          </w:tcPr>
          <w:p w:rsidR="00A3140B" w:rsidRDefault="004275BA">
            <w:pPr>
              <w:jc w:val="right"/>
              <w:rPr>
                <w:rFonts w:eastAsia="Times New Roman"/>
              </w:rPr>
            </w:pPr>
            <w:r>
              <w:rPr>
                <w:rFonts w:eastAsia="Times New Roman"/>
                <w:sz w:val="20"/>
                <w:szCs w:val="20"/>
              </w:rPr>
              <w:t>7,796</w:t>
            </w:r>
          </w:p>
        </w:tc>
        <w:tc>
          <w:tcPr>
            <w:tcW w:w="0" w:type="auto"/>
            <w:shd w:val="clear" w:color="auto" w:fill="FFFFFF"/>
            <w:hideMark/>
          </w:tcPr>
          <w:p w:rsidR="00A3140B" w:rsidRDefault="004275BA">
            <w:pPr>
              <w:jc w:val="right"/>
              <w:rPr>
                <w:rFonts w:eastAsia="Times New Roman"/>
              </w:rPr>
            </w:pPr>
            <w:r>
              <w:rPr>
                <w:rFonts w:eastAsia="Times New Roman"/>
                <w:sz w:val="20"/>
                <w:szCs w:val="20"/>
              </w:rPr>
              <w:t>4,514</w:t>
            </w:r>
          </w:p>
        </w:tc>
        <w:tc>
          <w:tcPr>
            <w:tcW w:w="0" w:type="auto"/>
            <w:shd w:val="clear" w:color="auto" w:fill="FFFFFF"/>
            <w:hideMark/>
          </w:tcPr>
          <w:p w:rsidR="00A3140B" w:rsidRDefault="004275BA">
            <w:pPr>
              <w:jc w:val="right"/>
              <w:rPr>
                <w:rFonts w:eastAsia="Times New Roman"/>
              </w:rPr>
            </w:pPr>
            <w:r>
              <w:rPr>
                <w:rFonts w:eastAsia="Times New Roman"/>
                <w:sz w:val="20"/>
                <w:szCs w:val="20"/>
              </w:rPr>
              <w:t>12,310</w:t>
            </w:r>
          </w:p>
        </w:tc>
        <w:tc>
          <w:tcPr>
            <w:tcW w:w="0" w:type="auto"/>
            <w:shd w:val="clear" w:color="auto" w:fill="FFFFFF"/>
            <w:hideMark/>
          </w:tcPr>
          <w:p w:rsidR="00A3140B" w:rsidRDefault="004275BA">
            <w:pPr>
              <w:jc w:val="right"/>
              <w:rPr>
                <w:rFonts w:eastAsia="Times New Roman"/>
              </w:rPr>
            </w:pPr>
            <w:r>
              <w:rPr>
                <w:rFonts w:eastAsia="Times New Roman"/>
                <w:sz w:val="20"/>
                <w:szCs w:val="20"/>
              </w:rPr>
              <w:t>9,039</w:t>
            </w:r>
          </w:p>
        </w:tc>
        <w:tc>
          <w:tcPr>
            <w:tcW w:w="0" w:type="auto"/>
            <w:shd w:val="clear" w:color="auto" w:fill="FFFFFF"/>
            <w:hideMark/>
          </w:tcPr>
          <w:p w:rsidR="00A3140B" w:rsidRDefault="004275BA">
            <w:pPr>
              <w:jc w:val="right"/>
              <w:rPr>
                <w:rFonts w:eastAsia="Times New Roman"/>
              </w:rPr>
            </w:pPr>
            <w:r>
              <w:rPr>
                <w:rFonts w:eastAsia="Times New Roman"/>
                <w:sz w:val="20"/>
                <w:szCs w:val="20"/>
              </w:rPr>
              <w:t>12,462</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Taxes</w:t>
            </w:r>
          </w:p>
        </w:tc>
        <w:tc>
          <w:tcPr>
            <w:tcW w:w="0" w:type="auto"/>
            <w:shd w:val="clear" w:color="auto" w:fill="CCFFCC"/>
            <w:hideMark/>
          </w:tcPr>
          <w:p w:rsidR="00A3140B" w:rsidRDefault="004275BA">
            <w:pPr>
              <w:jc w:val="right"/>
              <w:rPr>
                <w:rFonts w:eastAsia="Times New Roman"/>
              </w:rPr>
            </w:pPr>
            <w:r>
              <w:rPr>
                <w:rFonts w:eastAsia="Times New Roman"/>
                <w:sz w:val="20"/>
                <w:szCs w:val="20"/>
              </w:rPr>
              <w:t>30,230</w:t>
            </w:r>
          </w:p>
        </w:tc>
        <w:tc>
          <w:tcPr>
            <w:tcW w:w="0" w:type="auto"/>
            <w:shd w:val="clear" w:color="auto" w:fill="CCFFCC"/>
            <w:hideMark/>
          </w:tcPr>
          <w:p w:rsidR="00A3140B" w:rsidRDefault="004275BA">
            <w:pPr>
              <w:jc w:val="right"/>
              <w:rPr>
                <w:rFonts w:eastAsia="Times New Roman"/>
              </w:rPr>
            </w:pPr>
            <w:r>
              <w:rPr>
                <w:rFonts w:eastAsia="Times New Roman"/>
                <w:sz w:val="20"/>
                <w:szCs w:val="20"/>
              </w:rPr>
              <w:t>2,455</w:t>
            </w:r>
          </w:p>
        </w:tc>
        <w:tc>
          <w:tcPr>
            <w:tcW w:w="0" w:type="auto"/>
            <w:shd w:val="clear" w:color="auto" w:fill="CCFFCC"/>
            <w:hideMark/>
          </w:tcPr>
          <w:p w:rsidR="00A3140B" w:rsidRDefault="004275BA">
            <w:pPr>
              <w:jc w:val="right"/>
              <w:rPr>
                <w:rFonts w:eastAsia="Times New Roman"/>
              </w:rPr>
            </w:pPr>
            <w:r>
              <w:rPr>
                <w:rFonts w:eastAsia="Times New Roman"/>
                <w:sz w:val="20"/>
                <w:szCs w:val="20"/>
              </w:rPr>
              <w:t>30,230</w:t>
            </w:r>
          </w:p>
        </w:tc>
        <w:tc>
          <w:tcPr>
            <w:tcW w:w="0" w:type="auto"/>
            <w:shd w:val="clear" w:color="auto" w:fill="CCFFCC"/>
            <w:hideMark/>
          </w:tcPr>
          <w:p w:rsidR="00A3140B" w:rsidRDefault="004275BA">
            <w:pPr>
              <w:jc w:val="right"/>
              <w:rPr>
                <w:rFonts w:eastAsia="Times New Roman"/>
              </w:rPr>
            </w:pPr>
            <w:r>
              <w:rPr>
                <w:rFonts w:eastAsia="Times New Roman"/>
                <w:sz w:val="20"/>
                <w:szCs w:val="20"/>
              </w:rPr>
              <w:t>2,455</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Transfer Agent Expenses</w:t>
            </w:r>
          </w:p>
        </w:tc>
        <w:tc>
          <w:tcPr>
            <w:tcW w:w="0" w:type="auto"/>
            <w:shd w:val="clear" w:color="auto" w:fill="FFFFFF"/>
            <w:hideMark/>
          </w:tcPr>
          <w:p w:rsidR="00A3140B" w:rsidRDefault="004275BA">
            <w:pPr>
              <w:jc w:val="right"/>
              <w:rPr>
                <w:rFonts w:eastAsia="Times New Roman"/>
              </w:rPr>
            </w:pPr>
            <w:r>
              <w:rPr>
                <w:rFonts w:eastAsia="Times New Roman"/>
                <w:sz w:val="20"/>
                <w:szCs w:val="20"/>
              </w:rPr>
              <w:t>2,100</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2,100</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2,100</w:t>
            </w:r>
          </w:p>
        </w:tc>
      </w:tr>
      <w:tr w:rsidR="00A3140B">
        <w:trPr>
          <w:tblCellSpacing w:w="0" w:type="dxa"/>
        </w:trPr>
        <w:tc>
          <w:tcPr>
            <w:tcW w:w="0" w:type="auto"/>
            <w:shd w:val="clear" w:color="auto" w:fill="CCFFCC"/>
            <w:hideMark/>
          </w:tcPr>
          <w:p w:rsidR="00A3140B" w:rsidRDefault="00A3140B">
            <w:pPr>
              <w:rPr>
                <w:rFonts w:eastAsia="Times New Roman"/>
              </w:rPr>
            </w:pP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Total Expenses</w:t>
            </w:r>
          </w:p>
        </w:tc>
        <w:tc>
          <w:tcPr>
            <w:tcW w:w="0" w:type="auto"/>
            <w:shd w:val="clear" w:color="auto" w:fill="FFFFFF"/>
            <w:hideMark/>
          </w:tcPr>
          <w:p w:rsidR="00A3140B" w:rsidRDefault="004275BA">
            <w:pPr>
              <w:jc w:val="right"/>
              <w:rPr>
                <w:rFonts w:eastAsia="Times New Roman"/>
              </w:rPr>
            </w:pPr>
            <w:r>
              <w:rPr>
                <w:rFonts w:eastAsia="Times New Roman"/>
                <w:sz w:val="20"/>
                <w:szCs w:val="20"/>
              </w:rPr>
              <w:t>41,179</w:t>
            </w:r>
          </w:p>
        </w:tc>
        <w:tc>
          <w:tcPr>
            <w:tcW w:w="0" w:type="auto"/>
            <w:shd w:val="clear" w:color="auto" w:fill="FFFFFF"/>
            <w:hideMark/>
          </w:tcPr>
          <w:p w:rsidR="00A3140B" w:rsidRDefault="004275BA">
            <w:pPr>
              <w:jc w:val="right"/>
              <w:rPr>
                <w:rFonts w:eastAsia="Times New Roman"/>
              </w:rPr>
            </w:pPr>
            <w:r>
              <w:rPr>
                <w:rFonts w:eastAsia="Times New Roman"/>
                <w:sz w:val="20"/>
                <w:szCs w:val="20"/>
              </w:rPr>
              <w:t>17,947</w:t>
            </w:r>
          </w:p>
        </w:tc>
        <w:tc>
          <w:tcPr>
            <w:tcW w:w="0" w:type="auto"/>
            <w:shd w:val="clear" w:color="auto" w:fill="FFFFFF"/>
            <w:hideMark/>
          </w:tcPr>
          <w:p w:rsidR="00A3140B" w:rsidRDefault="004275BA">
            <w:pPr>
              <w:jc w:val="right"/>
              <w:rPr>
                <w:rFonts w:eastAsia="Times New Roman"/>
              </w:rPr>
            </w:pPr>
            <w:r>
              <w:rPr>
                <w:rFonts w:eastAsia="Times New Roman"/>
                <w:sz w:val="20"/>
                <w:szCs w:val="20"/>
              </w:rPr>
              <w:t>48,306</w:t>
            </w:r>
          </w:p>
        </w:tc>
        <w:tc>
          <w:tcPr>
            <w:tcW w:w="0" w:type="auto"/>
            <w:shd w:val="clear" w:color="auto" w:fill="FFFFFF"/>
            <w:hideMark/>
          </w:tcPr>
          <w:p w:rsidR="00A3140B" w:rsidRDefault="004275BA">
            <w:pPr>
              <w:jc w:val="right"/>
              <w:rPr>
                <w:rFonts w:eastAsia="Times New Roman"/>
              </w:rPr>
            </w:pPr>
            <w:r>
              <w:rPr>
                <w:rFonts w:eastAsia="Times New Roman"/>
                <w:sz w:val="20"/>
                <w:szCs w:val="20"/>
              </w:rPr>
              <w:t>23,590</w:t>
            </w:r>
          </w:p>
        </w:tc>
        <w:tc>
          <w:tcPr>
            <w:tcW w:w="0" w:type="auto"/>
            <w:shd w:val="clear" w:color="auto" w:fill="FFFFFF"/>
            <w:hideMark/>
          </w:tcPr>
          <w:p w:rsidR="00A3140B" w:rsidRDefault="004275BA">
            <w:pPr>
              <w:jc w:val="right"/>
              <w:rPr>
                <w:rFonts w:eastAsia="Times New Roman"/>
              </w:rPr>
            </w:pPr>
            <w:r>
              <w:rPr>
                <w:rFonts w:eastAsia="Times New Roman"/>
                <w:sz w:val="20"/>
                <w:szCs w:val="20"/>
              </w:rPr>
              <w:t>31,906</w:t>
            </w:r>
          </w:p>
        </w:tc>
      </w:tr>
      <w:tr w:rsidR="00A3140B">
        <w:trPr>
          <w:tblCellSpacing w:w="0" w:type="dxa"/>
        </w:trPr>
        <w:tc>
          <w:tcPr>
            <w:tcW w:w="0" w:type="auto"/>
            <w:shd w:val="clear" w:color="auto" w:fill="CCFFCC"/>
            <w:vAlign w:val="center"/>
            <w:hideMark/>
          </w:tcPr>
          <w:p w:rsidR="00A3140B" w:rsidRDefault="00A3140B">
            <w:pPr>
              <w:rPr>
                <w:rFonts w:eastAsia="Times New Roman"/>
              </w:rPr>
            </w:pP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b/>
                <w:bCs/>
                <w:sz w:val="20"/>
                <w:szCs w:val="20"/>
              </w:rPr>
              <w:t>Income (loss) from Operations</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(32,624)</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(7,671)</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(32,769)</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13,158</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30,280</w:t>
            </w:r>
          </w:p>
        </w:tc>
      </w:tr>
      <w:tr w:rsidR="00A3140B">
        <w:trPr>
          <w:tblCellSpacing w:w="0" w:type="dxa"/>
        </w:trPr>
        <w:tc>
          <w:tcPr>
            <w:tcW w:w="0" w:type="auto"/>
            <w:shd w:val="clear" w:color="auto" w:fill="CCFFCC"/>
            <w:vAlign w:val="center"/>
            <w:hideMark/>
          </w:tcPr>
          <w:p w:rsidR="00A3140B" w:rsidRDefault="00A3140B">
            <w:pPr>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b/>
                <w:bCs/>
                <w:sz w:val="20"/>
                <w:szCs w:val="20"/>
              </w:rPr>
              <w:t>Income Taxes</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8,625</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8,625</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15,634</w:t>
            </w:r>
          </w:p>
        </w:tc>
      </w:tr>
      <w:tr w:rsidR="00A3140B">
        <w:trPr>
          <w:tblCellSpacing w:w="0" w:type="dxa"/>
        </w:trPr>
        <w:tc>
          <w:tcPr>
            <w:tcW w:w="0" w:type="auto"/>
            <w:shd w:val="clear" w:color="auto" w:fill="CCFFCC"/>
            <w:vAlign w:val="center"/>
            <w:hideMark/>
          </w:tcPr>
          <w:p w:rsidR="00A3140B" w:rsidRDefault="004275BA">
            <w:pPr>
              <w:rPr>
                <w:rFonts w:eastAsia="Times New Roman"/>
              </w:rPr>
            </w:pPr>
            <w:r>
              <w:rPr>
                <w:rFonts w:eastAsia="Times New Roman"/>
                <w:sz w:val="20"/>
                <w:szCs w:val="20"/>
              </w:rPr>
              <w:t>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sz w:val="20"/>
                <w:szCs w:val="20"/>
              </w:rPr>
              <w:t>Other Income (Expense)</w:t>
            </w: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A3140B">
            <w:pPr>
              <w:jc w:val="right"/>
              <w:rPr>
                <w:rFonts w:eastAsia="Times New Roman"/>
              </w:rPr>
            </w:pPr>
          </w:p>
        </w:tc>
        <w:tc>
          <w:tcPr>
            <w:tcW w:w="0" w:type="auto"/>
            <w:shd w:val="clear" w:color="auto" w:fill="FFFFFF"/>
            <w:vAlign w:val="center"/>
            <w:hideMark/>
          </w:tcPr>
          <w:p w:rsidR="00A3140B" w:rsidRDefault="00A3140B">
            <w:pPr>
              <w:jc w:val="right"/>
              <w:rPr>
                <w:rFonts w:eastAsia="Times New Roman"/>
              </w:rPr>
            </w:pPr>
          </w:p>
        </w:tc>
      </w:tr>
      <w:tr w:rsidR="00A3140B">
        <w:trPr>
          <w:tblCellSpacing w:w="0" w:type="dxa"/>
        </w:trPr>
        <w:tc>
          <w:tcPr>
            <w:tcW w:w="0" w:type="auto"/>
            <w:shd w:val="clear" w:color="auto" w:fill="CCFFCC"/>
            <w:vAlign w:val="center"/>
            <w:hideMark/>
          </w:tcPr>
          <w:p w:rsidR="00A3140B" w:rsidRDefault="004275BA">
            <w:pPr>
              <w:rPr>
                <w:rFonts w:eastAsia="Times New Roman"/>
              </w:rPr>
            </w:pPr>
            <w:r>
              <w:rPr>
                <w:rFonts w:eastAsia="Times New Roman"/>
                <w:sz w:val="20"/>
                <w:szCs w:val="20"/>
              </w:rPr>
              <w:t>Interest Income</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sz w:val="20"/>
                <w:szCs w:val="20"/>
              </w:rPr>
              <w:t>Foreign Exchange gain (loss) of Land and Buildings</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19,209</w:t>
            </w:r>
          </w:p>
        </w:tc>
      </w:tr>
      <w:tr w:rsidR="00A3140B">
        <w:trPr>
          <w:tblCellSpacing w:w="0" w:type="dxa"/>
        </w:trPr>
        <w:tc>
          <w:tcPr>
            <w:tcW w:w="0" w:type="auto"/>
            <w:shd w:val="clear" w:color="auto" w:fill="CCFFCC"/>
            <w:vAlign w:val="center"/>
            <w:hideMark/>
          </w:tcPr>
          <w:p w:rsidR="00A3140B" w:rsidRDefault="004275BA">
            <w:pPr>
              <w:rPr>
                <w:rFonts w:eastAsia="Times New Roman"/>
              </w:rPr>
            </w:pPr>
            <w:r>
              <w:rPr>
                <w:rFonts w:eastAsia="Times New Roman"/>
                <w:sz w:val="20"/>
                <w:szCs w:val="20"/>
              </w:rPr>
              <w:t>Vendor Debt Write Down</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center"/>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sz w:val="20"/>
                <w:szCs w:val="20"/>
              </w:rPr>
              <w:t>Total Other Income (Expense)</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center"/>
            <w:hideMark/>
          </w:tcPr>
          <w:p w:rsidR="00A3140B" w:rsidRDefault="004275BA">
            <w:pPr>
              <w:jc w:val="right"/>
              <w:rPr>
                <w:rFonts w:eastAsia="Times New Roman"/>
              </w:rPr>
            </w:pPr>
            <w:r>
              <w:rPr>
                <w:rFonts w:eastAsia="Times New Roman"/>
                <w:sz w:val="20"/>
                <w:szCs w:val="20"/>
              </w:rPr>
              <w:t>19,209</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b/>
                <w:bCs/>
                <w:sz w:val="20"/>
                <w:szCs w:val="20"/>
              </w:rPr>
              <w:t>Net Income (Loss)</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(41,249)</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(7,671)</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(41,394)</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13,158</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33,856</w:t>
            </w: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Accumulated Deficit</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0" w:type="dxa"/>
        </w:trPr>
        <w:tc>
          <w:tcPr>
            <w:tcW w:w="0" w:type="auto"/>
            <w:shd w:val="clear" w:color="auto" w:fill="CCFFCC"/>
            <w:hideMark/>
          </w:tcPr>
          <w:p w:rsidR="00A3140B" w:rsidRDefault="004275BA">
            <w:pPr>
              <w:rPr>
                <w:rFonts w:eastAsia="Times New Roman"/>
              </w:rPr>
            </w:pPr>
            <w:r>
              <w:rPr>
                <w:rFonts w:eastAsia="Times New Roman"/>
                <w:sz w:val="20"/>
                <w:szCs w:val="20"/>
              </w:rPr>
              <w:t>Beginning of Period</w:t>
            </w:r>
          </w:p>
        </w:tc>
        <w:tc>
          <w:tcPr>
            <w:tcW w:w="0" w:type="auto"/>
            <w:shd w:val="clear" w:color="auto" w:fill="CCFFCC"/>
            <w:hideMark/>
          </w:tcPr>
          <w:p w:rsidR="00A3140B" w:rsidRDefault="004275BA">
            <w:pPr>
              <w:jc w:val="right"/>
              <w:rPr>
                <w:rFonts w:eastAsia="Times New Roman"/>
              </w:rPr>
            </w:pPr>
            <w:r>
              <w:rPr>
                <w:rFonts w:eastAsia="Times New Roman"/>
                <w:sz w:val="20"/>
                <w:szCs w:val="20"/>
              </w:rPr>
              <w:t>(20,707,755)</w:t>
            </w:r>
          </w:p>
        </w:tc>
        <w:tc>
          <w:tcPr>
            <w:tcW w:w="0" w:type="auto"/>
            <w:shd w:val="clear" w:color="auto" w:fill="CCFFCC"/>
            <w:hideMark/>
          </w:tcPr>
          <w:p w:rsidR="00A3140B" w:rsidRDefault="004275BA">
            <w:pPr>
              <w:jc w:val="right"/>
              <w:rPr>
                <w:rFonts w:eastAsia="Times New Roman"/>
              </w:rPr>
            </w:pPr>
            <w:r>
              <w:rPr>
                <w:rFonts w:eastAsia="Times New Roman"/>
                <w:sz w:val="20"/>
                <w:szCs w:val="20"/>
              </w:rPr>
              <w:t>(20,717,106)</w:t>
            </w:r>
          </w:p>
        </w:tc>
        <w:tc>
          <w:tcPr>
            <w:tcW w:w="0" w:type="auto"/>
            <w:shd w:val="clear" w:color="auto" w:fill="CCFFCC"/>
            <w:hideMark/>
          </w:tcPr>
          <w:p w:rsidR="00A3140B" w:rsidRDefault="004275BA">
            <w:pPr>
              <w:jc w:val="right"/>
              <w:rPr>
                <w:rFonts w:eastAsia="Times New Roman"/>
              </w:rPr>
            </w:pPr>
            <w:r>
              <w:rPr>
                <w:rFonts w:eastAsia="Times New Roman"/>
                <w:sz w:val="20"/>
                <w:szCs w:val="20"/>
              </w:rPr>
              <w:t>(20,704,078)</w:t>
            </w:r>
          </w:p>
        </w:tc>
        <w:tc>
          <w:tcPr>
            <w:tcW w:w="0" w:type="auto"/>
            <w:shd w:val="clear" w:color="auto" w:fill="CCFFCC"/>
            <w:hideMark/>
          </w:tcPr>
          <w:p w:rsidR="00A3140B" w:rsidRDefault="004275BA">
            <w:pPr>
              <w:jc w:val="right"/>
              <w:rPr>
                <w:rFonts w:eastAsia="Times New Roman"/>
              </w:rPr>
            </w:pPr>
            <w:r>
              <w:rPr>
                <w:rFonts w:eastAsia="Times New Roman"/>
                <w:sz w:val="20"/>
                <w:szCs w:val="20"/>
              </w:rPr>
              <w:t>(20,737,935)</w:t>
            </w:r>
          </w:p>
        </w:tc>
        <w:tc>
          <w:tcPr>
            <w:tcW w:w="0" w:type="auto"/>
            <w:shd w:val="clear" w:color="auto" w:fill="CCFFCC"/>
            <w:hideMark/>
          </w:tcPr>
          <w:p w:rsidR="00A3140B" w:rsidRDefault="004275BA">
            <w:pPr>
              <w:jc w:val="right"/>
              <w:rPr>
                <w:rFonts w:eastAsia="Times New Roman"/>
              </w:rPr>
            </w:pPr>
            <w:r>
              <w:rPr>
                <w:rFonts w:eastAsia="Times New Roman"/>
                <w:sz w:val="20"/>
                <w:szCs w:val="20"/>
              </w:rPr>
              <w:t>(20,737,934)</w:t>
            </w:r>
          </w:p>
        </w:tc>
      </w:tr>
      <w:tr w:rsidR="00A3140B">
        <w:trPr>
          <w:tblCellSpacing w:w="0" w:type="dxa"/>
        </w:trPr>
        <w:tc>
          <w:tcPr>
            <w:tcW w:w="0" w:type="auto"/>
            <w:shd w:val="clear" w:color="auto" w:fill="FFFFFF"/>
            <w:hideMark/>
          </w:tcPr>
          <w:p w:rsidR="00A3140B" w:rsidRDefault="004275BA">
            <w:pPr>
              <w:rPr>
                <w:rFonts w:eastAsia="Times New Roman"/>
              </w:rPr>
            </w:pPr>
            <w:r>
              <w:rPr>
                <w:rFonts w:eastAsia="Times New Roman"/>
                <w:sz w:val="20"/>
                <w:szCs w:val="20"/>
              </w:rPr>
              <w:t>End of Period</w:t>
            </w:r>
          </w:p>
        </w:tc>
        <w:tc>
          <w:tcPr>
            <w:tcW w:w="0" w:type="auto"/>
            <w:shd w:val="clear" w:color="auto" w:fill="FFFFFF"/>
            <w:hideMark/>
          </w:tcPr>
          <w:p w:rsidR="00A3140B" w:rsidRDefault="004275BA">
            <w:pPr>
              <w:jc w:val="right"/>
              <w:rPr>
                <w:rFonts w:eastAsia="Times New Roman"/>
              </w:rPr>
            </w:pPr>
            <w:r>
              <w:rPr>
                <w:rFonts w:eastAsia="Times New Roman"/>
                <w:sz w:val="20"/>
                <w:szCs w:val="20"/>
              </w:rPr>
              <w:t>(20,745,472)</w:t>
            </w:r>
          </w:p>
        </w:tc>
        <w:tc>
          <w:tcPr>
            <w:tcW w:w="0" w:type="auto"/>
            <w:shd w:val="clear" w:color="auto" w:fill="FFFFFF"/>
            <w:hideMark/>
          </w:tcPr>
          <w:p w:rsidR="00A3140B" w:rsidRDefault="004275BA">
            <w:pPr>
              <w:jc w:val="right"/>
              <w:rPr>
                <w:rFonts w:eastAsia="Times New Roman"/>
              </w:rPr>
            </w:pPr>
            <w:r>
              <w:rPr>
                <w:rFonts w:eastAsia="Times New Roman"/>
                <w:sz w:val="20"/>
                <w:szCs w:val="20"/>
              </w:rPr>
              <w:t>(20,724,778)</w:t>
            </w:r>
          </w:p>
        </w:tc>
        <w:tc>
          <w:tcPr>
            <w:tcW w:w="0" w:type="auto"/>
            <w:shd w:val="clear" w:color="auto" w:fill="FFFFFF"/>
            <w:hideMark/>
          </w:tcPr>
          <w:p w:rsidR="00A3140B" w:rsidRDefault="004275BA">
            <w:pPr>
              <w:jc w:val="right"/>
              <w:rPr>
                <w:rFonts w:eastAsia="Times New Roman"/>
              </w:rPr>
            </w:pPr>
            <w:r>
              <w:rPr>
                <w:rFonts w:eastAsia="Times New Roman"/>
                <w:sz w:val="20"/>
                <w:szCs w:val="20"/>
              </w:rPr>
              <w:t>(20,745,472)</w:t>
            </w:r>
          </w:p>
        </w:tc>
        <w:tc>
          <w:tcPr>
            <w:tcW w:w="0" w:type="auto"/>
            <w:shd w:val="clear" w:color="auto" w:fill="FFFFFF"/>
            <w:hideMark/>
          </w:tcPr>
          <w:p w:rsidR="00A3140B" w:rsidRDefault="004275BA">
            <w:pPr>
              <w:jc w:val="right"/>
              <w:rPr>
                <w:rFonts w:eastAsia="Times New Roman"/>
              </w:rPr>
            </w:pPr>
            <w:r>
              <w:rPr>
                <w:rFonts w:eastAsia="Times New Roman"/>
                <w:sz w:val="20"/>
                <w:szCs w:val="20"/>
              </w:rPr>
              <w:t>(20,724,778)</w:t>
            </w:r>
          </w:p>
        </w:tc>
        <w:tc>
          <w:tcPr>
            <w:tcW w:w="0" w:type="auto"/>
            <w:shd w:val="clear" w:color="auto" w:fill="FFFFFF"/>
            <w:hideMark/>
          </w:tcPr>
          <w:p w:rsidR="00A3140B" w:rsidRDefault="004275BA">
            <w:pPr>
              <w:jc w:val="right"/>
              <w:rPr>
                <w:rFonts w:eastAsia="Times New Roman"/>
              </w:rPr>
            </w:pPr>
            <w:r>
              <w:rPr>
                <w:rFonts w:eastAsia="Times New Roman"/>
                <w:sz w:val="20"/>
                <w:szCs w:val="20"/>
              </w:rPr>
              <w:t>(20,704,078)</w:t>
            </w:r>
          </w:p>
        </w:tc>
      </w:tr>
      <w:tr w:rsidR="00A3140B">
        <w:trPr>
          <w:tblCellSpacing w:w="0" w:type="dxa"/>
        </w:trPr>
        <w:tc>
          <w:tcPr>
            <w:tcW w:w="0" w:type="auto"/>
            <w:shd w:val="clear" w:color="auto" w:fill="CCFFCC"/>
            <w:vAlign w:val="center"/>
            <w:hideMark/>
          </w:tcPr>
          <w:p w:rsidR="00A3140B" w:rsidRDefault="004275BA">
            <w:pPr>
              <w:rPr>
                <w:rFonts w:eastAsia="Times New Roman"/>
              </w:rPr>
            </w:pPr>
            <w:r>
              <w:rPr>
                <w:rFonts w:eastAsia="Times New Roman"/>
                <w:sz w:val="20"/>
                <w:szCs w:val="20"/>
              </w:rPr>
              <w:t> </w:t>
            </w: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c>
          <w:tcPr>
            <w:tcW w:w="0" w:type="auto"/>
            <w:shd w:val="clear" w:color="auto" w:fill="CCFFCC"/>
            <w:vAlign w:val="center"/>
            <w:hideMark/>
          </w:tcPr>
          <w:p w:rsidR="00A3140B" w:rsidRDefault="00A3140B">
            <w:pPr>
              <w:jc w:val="right"/>
              <w:rPr>
                <w:rFonts w:eastAsia="Times New Roman"/>
              </w:rPr>
            </w:pPr>
          </w:p>
        </w:tc>
      </w:tr>
      <w:tr w:rsidR="00A3140B">
        <w:trPr>
          <w:tblCellSpacing w:w="0" w:type="dxa"/>
        </w:trPr>
        <w:tc>
          <w:tcPr>
            <w:tcW w:w="0" w:type="auto"/>
            <w:shd w:val="clear" w:color="auto" w:fill="FFFFFF"/>
            <w:vAlign w:val="center"/>
            <w:hideMark/>
          </w:tcPr>
          <w:p w:rsidR="00A3140B" w:rsidRDefault="004275BA">
            <w:pPr>
              <w:rPr>
                <w:rFonts w:eastAsia="Times New Roman"/>
              </w:rPr>
            </w:pPr>
            <w:r>
              <w:rPr>
                <w:rFonts w:eastAsia="Times New Roman"/>
                <w:sz w:val="20"/>
                <w:szCs w:val="20"/>
              </w:rPr>
              <w:t>Earnings per Share</w:t>
            </w:r>
          </w:p>
        </w:tc>
        <w:tc>
          <w:tcPr>
            <w:tcW w:w="0" w:type="auto"/>
            <w:shd w:val="clear" w:color="auto" w:fill="FFFFFF"/>
            <w:vAlign w:val="center"/>
            <w:hideMark/>
          </w:tcPr>
          <w:p w:rsidR="00A3140B" w:rsidRDefault="004275BA">
            <w:pPr>
              <w:pStyle w:val="NormalWeb"/>
              <w:jc w:val="right"/>
            </w:pPr>
            <w:r>
              <w:rPr>
                <w:sz w:val="20"/>
                <w:szCs w:val="20"/>
              </w:rPr>
              <w:t>0.000</w:t>
            </w:r>
          </w:p>
        </w:tc>
        <w:tc>
          <w:tcPr>
            <w:tcW w:w="0" w:type="auto"/>
            <w:shd w:val="clear" w:color="auto" w:fill="FFFFFF"/>
            <w:vAlign w:val="center"/>
            <w:hideMark/>
          </w:tcPr>
          <w:p w:rsidR="00A3140B" w:rsidRDefault="004275BA">
            <w:pPr>
              <w:pStyle w:val="NormalWeb"/>
              <w:jc w:val="right"/>
            </w:pPr>
            <w:r>
              <w:rPr>
                <w:sz w:val="20"/>
                <w:szCs w:val="20"/>
              </w:rPr>
              <w:t>0.000</w:t>
            </w:r>
          </w:p>
        </w:tc>
        <w:tc>
          <w:tcPr>
            <w:tcW w:w="0" w:type="auto"/>
            <w:shd w:val="clear" w:color="auto" w:fill="FFFFFF"/>
            <w:vAlign w:val="center"/>
            <w:hideMark/>
          </w:tcPr>
          <w:p w:rsidR="00A3140B" w:rsidRDefault="004275BA">
            <w:pPr>
              <w:pStyle w:val="NormalWeb"/>
              <w:jc w:val="right"/>
            </w:pPr>
            <w:r>
              <w:rPr>
                <w:sz w:val="20"/>
                <w:szCs w:val="20"/>
              </w:rPr>
              <w:t>0.000</w:t>
            </w:r>
          </w:p>
        </w:tc>
        <w:tc>
          <w:tcPr>
            <w:tcW w:w="0" w:type="auto"/>
            <w:shd w:val="clear" w:color="auto" w:fill="FFFFFF"/>
            <w:vAlign w:val="center"/>
            <w:hideMark/>
          </w:tcPr>
          <w:p w:rsidR="00A3140B" w:rsidRDefault="004275BA">
            <w:pPr>
              <w:pStyle w:val="NormalWeb"/>
              <w:jc w:val="right"/>
            </w:pPr>
            <w:r>
              <w:rPr>
                <w:sz w:val="20"/>
                <w:szCs w:val="20"/>
              </w:rPr>
              <w:t>0.000</w:t>
            </w:r>
          </w:p>
        </w:tc>
        <w:tc>
          <w:tcPr>
            <w:tcW w:w="0" w:type="auto"/>
            <w:shd w:val="clear" w:color="auto" w:fill="FFFFFF"/>
            <w:vAlign w:val="center"/>
            <w:hideMark/>
          </w:tcPr>
          <w:p w:rsidR="00A3140B" w:rsidRDefault="004275BA">
            <w:pPr>
              <w:pStyle w:val="NormalWeb"/>
              <w:jc w:val="right"/>
            </w:pPr>
            <w:r>
              <w:rPr>
                <w:sz w:val="20"/>
                <w:szCs w:val="20"/>
              </w:rPr>
              <w:t>$0.0007</w:t>
            </w:r>
          </w:p>
        </w:tc>
      </w:tr>
      <w:tr w:rsidR="00A3140B">
        <w:trPr>
          <w:tblCellSpacing w:w="0" w:type="dxa"/>
        </w:trPr>
        <w:tc>
          <w:tcPr>
            <w:tcW w:w="0" w:type="auto"/>
            <w:gridSpan w:val="5"/>
            <w:shd w:val="clear" w:color="auto" w:fill="CCFFCC"/>
            <w:vAlign w:val="center"/>
            <w:hideMark/>
          </w:tcPr>
          <w:p w:rsidR="00A3140B" w:rsidRDefault="004275BA">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A3140B" w:rsidRDefault="00A3140B">
            <w:pPr>
              <w:rPr>
                <w:rFonts w:eastAsia="Times New Roman"/>
              </w:rPr>
            </w:pPr>
          </w:p>
        </w:tc>
      </w:tr>
    </w:tbl>
    <w:p w:rsidR="00A3140B" w:rsidRDefault="00CA6465">
      <w:pPr>
        <w:pStyle w:val="NormalWeb"/>
      </w:pPr>
      <w:hyperlink w:anchor="toc" w:history="1">
        <w:r w:rsidR="004275BA">
          <w:rPr>
            <w:rStyle w:val="Hyperlink"/>
            <w:b/>
            <w:bCs/>
            <w:sz w:val="20"/>
            <w:szCs w:val="20"/>
          </w:rPr>
          <w:t>Return to Table of Contents</w:t>
        </w:r>
      </w:hyperlink>
    </w:p>
    <w:p w:rsidR="004275BA" w:rsidRDefault="00CA6465">
      <w:pPr>
        <w:rPr>
          <w:rFonts w:eastAsia="Times New Roman"/>
        </w:rPr>
      </w:pPr>
      <w:r w:rsidRPr="00CA6465">
        <w:rPr>
          <w:rFonts w:eastAsia="Times New Roman"/>
        </w:rPr>
        <w:pict>
          <v:rect id="_x0000_i1034" style="width:0;height:3pt" o:hralign="center" o:hrstd="t" o:hrnoshade="t" o:hr="t" fillcolor="black" stroked="f"/>
        </w:pict>
      </w:r>
    </w:p>
    <w:p w:rsidR="004275BA" w:rsidRDefault="004275BA">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268"/>
        <w:gridCol w:w="1497"/>
        <w:gridCol w:w="1497"/>
        <w:gridCol w:w="1512"/>
      </w:tblGrid>
      <w:tr w:rsidR="00A3140B">
        <w:trPr>
          <w:tblCellSpacing w:w="15" w:type="dxa"/>
        </w:trPr>
        <w:tc>
          <w:tcPr>
            <w:tcW w:w="0" w:type="auto"/>
            <w:gridSpan w:val="4"/>
            <w:shd w:val="clear" w:color="auto" w:fill="CCFFCC"/>
            <w:vAlign w:val="bottom"/>
            <w:hideMark/>
          </w:tcPr>
          <w:p w:rsidR="00A3140B" w:rsidRDefault="004275BA">
            <w:pPr>
              <w:pStyle w:val="NormalWeb"/>
              <w:jc w:val="center"/>
            </w:pPr>
            <w:r>
              <w:rPr>
                <w:b/>
                <w:bCs/>
                <w:sz w:val="20"/>
                <w:szCs w:val="20"/>
              </w:rPr>
              <w:lastRenderedPageBreak/>
              <w:t>ADVANCED OXYGEN TECHNOLOGIES, INC.</w:t>
            </w:r>
          </w:p>
          <w:p w:rsidR="00A3140B" w:rsidRDefault="004275BA">
            <w:pPr>
              <w:pStyle w:val="NormalWeb"/>
              <w:jc w:val="center"/>
            </w:pPr>
            <w:r>
              <w:rPr>
                <w:b/>
                <w:bCs/>
                <w:sz w:val="20"/>
                <w:szCs w:val="20"/>
              </w:rPr>
              <w:t>AND SUBSIDIARY</w:t>
            </w:r>
          </w:p>
          <w:p w:rsidR="00A3140B" w:rsidRDefault="004275BA">
            <w:pPr>
              <w:pStyle w:val="NormalWeb"/>
              <w:jc w:val="center"/>
            </w:pPr>
            <w:r>
              <w:rPr>
                <w:b/>
                <w:bCs/>
                <w:sz w:val="20"/>
                <w:szCs w:val="20"/>
              </w:rPr>
              <w:t>CONSOLIDATED STATEMENTS OF STOCKHOLDERS' EQUITY (DEFICIENCY)</w:t>
            </w:r>
          </w:p>
        </w:tc>
      </w:tr>
      <w:tr w:rsidR="00A3140B" w:rsidTr="004275BA">
        <w:trPr>
          <w:tblCellSpacing w:w="15" w:type="dxa"/>
        </w:trPr>
        <w:tc>
          <w:tcPr>
            <w:tcW w:w="2672" w:type="pct"/>
            <w:shd w:val="clear" w:color="auto" w:fill="FFFFFF"/>
            <w:vAlign w:val="bottom"/>
            <w:hideMark/>
          </w:tcPr>
          <w:p w:rsidR="00A3140B" w:rsidRDefault="004275BA">
            <w:pPr>
              <w:rPr>
                <w:rFonts w:eastAsia="Times New Roman"/>
              </w:rPr>
            </w:pPr>
            <w:r>
              <w:rPr>
                <w:rFonts w:eastAsia="Times New Roman"/>
                <w:b/>
                <w:bCs/>
                <w:sz w:val="20"/>
                <w:szCs w:val="20"/>
              </w:rPr>
              <w:t> </w:t>
            </w:r>
          </w:p>
        </w:tc>
        <w:tc>
          <w:tcPr>
            <w:tcW w:w="750" w:type="pct"/>
            <w:shd w:val="clear" w:color="auto" w:fill="FFFFFF"/>
            <w:vAlign w:val="bottom"/>
            <w:hideMark/>
          </w:tcPr>
          <w:p w:rsidR="00A3140B" w:rsidRDefault="00A3140B">
            <w:pPr>
              <w:rPr>
                <w:rFonts w:eastAsia="Times New Roman"/>
              </w:rPr>
            </w:pPr>
          </w:p>
        </w:tc>
        <w:tc>
          <w:tcPr>
            <w:tcW w:w="750" w:type="pct"/>
            <w:shd w:val="clear" w:color="auto" w:fill="FFFFFF"/>
            <w:vAlign w:val="bottom"/>
            <w:hideMark/>
          </w:tcPr>
          <w:p w:rsidR="00A3140B" w:rsidRDefault="00A3140B">
            <w:pPr>
              <w:rPr>
                <w:rFonts w:eastAsia="Times New Roman"/>
              </w:rPr>
            </w:pPr>
          </w:p>
        </w:tc>
        <w:tc>
          <w:tcPr>
            <w:tcW w:w="750" w:type="pct"/>
            <w:shd w:val="clear" w:color="auto" w:fill="FFFFFF"/>
            <w:vAlign w:val="bottom"/>
            <w:hideMark/>
          </w:tcPr>
          <w:p w:rsidR="00A3140B" w:rsidRDefault="004275BA">
            <w:pPr>
              <w:rPr>
                <w:rFonts w:eastAsia="Times New Roman"/>
              </w:rPr>
            </w:pPr>
            <w:r>
              <w:rPr>
                <w:rFonts w:eastAsia="Times New Roman"/>
                <w:b/>
                <w:bCs/>
                <w:sz w:val="20"/>
                <w:szCs w:val="20"/>
              </w:rPr>
              <w:t> </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 </w:t>
            </w:r>
          </w:p>
        </w:tc>
        <w:tc>
          <w:tcPr>
            <w:tcW w:w="0" w:type="auto"/>
            <w:gridSpan w:val="2"/>
            <w:shd w:val="clear" w:color="auto" w:fill="CCFFCC"/>
            <w:vAlign w:val="bottom"/>
            <w:hideMark/>
          </w:tcPr>
          <w:p w:rsidR="00A3140B" w:rsidRDefault="004275BA">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A3140B" w:rsidRDefault="004275BA">
            <w:pPr>
              <w:jc w:val="center"/>
              <w:rPr>
                <w:rFonts w:eastAsia="Times New Roman"/>
              </w:rPr>
            </w:pPr>
            <w:r>
              <w:rPr>
                <w:rFonts w:eastAsia="Times New Roman"/>
                <w:b/>
                <w:bCs/>
                <w:sz w:val="20"/>
                <w:szCs w:val="20"/>
              </w:rPr>
              <w:t xml:space="preserve">Year Ending </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rPr>
              <w:t> </w:t>
            </w:r>
          </w:p>
        </w:tc>
        <w:tc>
          <w:tcPr>
            <w:tcW w:w="0" w:type="auto"/>
            <w:gridSpan w:val="2"/>
            <w:shd w:val="clear" w:color="auto" w:fill="FFFFFF"/>
            <w:vAlign w:val="bottom"/>
            <w:hideMark/>
          </w:tcPr>
          <w:p w:rsidR="00A3140B" w:rsidRDefault="004275BA">
            <w:pPr>
              <w:jc w:val="center"/>
              <w:rPr>
                <w:rFonts w:eastAsia="Times New Roman"/>
              </w:rPr>
            </w:pPr>
            <w:r>
              <w:rPr>
                <w:rFonts w:eastAsia="Times New Roman"/>
                <w:b/>
                <w:bCs/>
                <w:sz w:val="20"/>
                <w:szCs w:val="20"/>
              </w:rPr>
              <w:t>December 31,</w:t>
            </w:r>
          </w:p>
        </w:tc>
        <w:tc>
          <w:tcPr>
            <w:tcW w:w="0" w:type="auto"/>
            <w:shd w:val="clear" w:color="auto" w:fill="FFFFFF"/>
            <w:vAlign w:val="bottom"/>
            <w:hideMark/>
          </w:tcPr>
          <w:p w:rsidR="00A3140B" w:rsidRDefault="004275BA">
            <w:pPr>
              <w:jc w:val="center"/>
              <w:rPr>
                <w:rFonts w:eastAsia="Times New Roman"/>
              </w:rPr>
            </w:pPr>
            <w:r>
              <w:rPr>
                <w:rFonts w:eastAsia="Times New Roman"/>
                <w:b/>
                <w:bCs/>
                <w:sz w:val="20"/>
                <w:szCs w:val="20"/>
              </w:rPr>
              <w:t xml:space="preserve">June 30, </w:t>
            </w:r>
          </w:p>
        </w:tc>
      </w:tr>
      <w:tr w:rsidR="00A3140B">
        <w:trPr>
          <w:tblCellSpacing w:w="15" w:type="dxa"/>
        </w:trPr>
        <w:tc>
          <w:tcPr>
            <w:tcW w:w="0" w:type="auto"/>
            <w:shd w:val="clear" w:color="auto" w:fill="CCFFCC"/>
            <w:vAlign w:val="bottom"/>
            <w:hideMark/>
          </w:tcPr>
          <w:p w:rsidR="00A3140B" w:rsidRDefault="00A3140B">
            <w:pPr>
              <w:rPr>
                <w:rFonts w:eastAsia="Times New Roman"/>
              </w:rPr>
            </w:pPr>
          </w:p>
        </w:tc>
        <w:tc>
          <w:tcPr>
            <w:tcW w:w="0" w:type="auto"/>
            <w:shd w:val="clear" w:color="auto" w:fill="CCFFCC"/>
            <w:vAlign w:val="bottom"/>
            <w:hideMark/>
          </w:tcPr>
          <w:p w:rsidR="00A3140B" w:rsidRDefault="004275BA">
            <w:pPr>
              <w:jc w:val="center"/>
              <w:rPr>
                <w:rFonts w:eastAsia="Times New Roman"/>
              </w:rPr>
            </w:pPr>
            <w:r>
              <w:rPr>
                <w:rFonts w:eastAsia="Times New Roman"/>
                <w:b/>
                <w:bCs/>
                <w:sz w:val="20"/>
                <w:szCs w:val="20"/>
              </w:rPr>
              <w:t>2013</w:t>
            </w:r>
          </w:p>
        </w:tc>
        <w:tc>
          <w:tcPr>
            <w:tcW w:w="0" w:type="auto"/>
            <w:shd w:val="clear" w:color="auto" w:fill="CCFFCC"/>
            <w:vAlign w:val="bottom"/>
            <w:hideMark/>
          </w:tcPr>
          <w:p w:rsidR="00A3140B" w:rsidRDefault="004275BA">
            <w:pPr>
              <w:jc w:val="center"/>
              <w:rPr>
                <w:rFonts w:eastAsia="Times New Roman"/>
              </w:rPr>
            </w:pPr>
            <w:r>
              <w:rPr>
                <w:rFonts w:eastAsia="Times New Roman"/>
                <w:b/>
                <w:bCs/>
                <w:sz w:val="20"/>
                <w:szCs w:val="20"/>
              </w:rPr>
              <w:t>2012</w:t>
            </w:r>
          </w:p>
        </w:tc>
        <w:tc>
          <w:tcPr>
            <w:tcW w:w="0" w:type="auto"/>
            <w:shd w:val="clear" w:color="auto" w:fill="CCFFCC"/>
            <w:vAlign w:val="bottom"/>
            <w:hideMark/>
          </w:tcPr>
          <w:p w:rsidR="00A3140B" w:rsidRDefault="004275BA">
            <w:pPr>
              <w:jc w:val="center"/>
              <w:rPr>
                <w:rFonts w:eastAsia="Times New Roman"/>
              </w:rPr>
            </w:pPr>
            <w:r>
              <w:rPr>
                <w:rFonts w:eastAsia="Times New Roman"/>
                <w:b/>
                <w:bCs/>
                <w:sz w:val="20"/>
                <w:szCs w:val="20"/>
              </w:rPr>
              <w:t>2013</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gridSpan w:val="2"/>
            <w:shd w:val="clear" w:color="auto" w:fill="CCFFCC"/>
            <w:vAlign w:val="bottom"/>
            <w:hideMark/>
          </w:tcPr>
          <w:p w:rsidR="00A3140B" w:rsidRDefault="004275BA">
            <w:pPr>
              <w:jc w:val="center"/>
              <w:rPr>
                <w:rFonts w:eastAsia="Times New Roman"/>
              </w:rPr>
            </w:pPr>
            <w:r>
              <w:rPr>
                <w:rFonts w:eastAsia="Times New Roman"/>
                <w:b/>
                <w:bCs/>
                <w:sz w:val="20"/>
                <w:szCs w:val="20"/>
              </w:rPr>
              <w:t>Unaudited</w:t>
            </w:r>
          </w:p>
          <w:p w:rsidR="00A3140B" w:rsidRDefault="00CA6465">
            <w:pPr>
              <w:jc w:val="center"/>
              <w:rPr>
                <w:rFonts w:eastAsia="Times New Roman"/>
              </w:rPr>
            </w:pPr>
            <w:r w:rsidRPr="00CA6465">
              <w:rPr>
                <w:rFonts w:eastAsia="Times New Roman"/>
              </w:rPr>
              <w:pict>
                <v:rect id="_x0000_i1035" style="width:0;height:1.5pt" o:hralign="center" o:hrstd="t" o:hr="t" fillcolor="#aca899" stroked="f"/>
              </w:pict>
            </w:r>
          </w:p>
        </w:tc>
        <w:tc>
          <w:tcPr>
            <w:tcW w:w="0" w:type="auto"/>
            <w:shd w:val="clear" w:color="auto" w:fill="CCFFCC"/>
            <w:vAlign w:val="bottom"/>
            <w:hideMark/>
          </w:tcPr>
          <w:p w:rsidR="00A3140B" w:rsidRDefault="004275BA">
            <w:pPr>
              <w:jc w:val="center"/>
              <w:rPr>
                <w:rFonts w:eastAsia="Times New Roman"/>
              </w:rPr>
            </w:pPr>
            <w:r>
              <w:rPr>
                <w:rFonts w:eastAsia="Times New Roman"/>
                <w:b/>
                <w:bCs/>
                <w:sz w:val="20"/>
                <w:szCs w:val="20"/>
              </w:rPr>
              <w:t>Audited</w:t>
            </w:r>
          </w:p>
          <w:p w:rsidR="00A3140B" w:rsidRDefault="00CA6465">
            <w:pPr>
              <w:jc w:val="center"/>
              <w:rPr>
                <w:rFonts w:eastAsia="Times New Roman"/>
              </w:rPr>
            </w:pPr>
            <w:r w:rsidRPr="00CA6465">
              <w:rPr>
                <w:rFonts w:eastAsia="Times New Roman"/>
              </w:rPr>
              <w:pict>
                <v:rect id="_x0000_i1036" style="width:0;height:1.5pt" o:hralign="center" o:hrstd="t" o:hr="t" fillcolor="#aca899" stroked="f"/>
              </w:pic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Balance at beginning and end of period 46,973,585</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469,736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469,736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469,736</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20,497,769</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20,497,769</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20,497,769</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Accumulated deficit:</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(20,704,078)</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(20,717,106)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(20,737,934)</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(41,394)</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(7,671)</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33,856</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Balance at end of period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(20,745,472)</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(20,724,778)</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(20,704,078)</w:t>
            </w:r>
          </w:p>
        </w:tc>
      </w:tr>
      <w:tr w:rsidR="00A3140B">
        <w:trPr>
          <w:tblCellSpacing w:w="15" w:type="dxa"/>
        </w:trPr>
        <w:tc>
          <w:tcPr>
            <w:tcW w:w="0" w:type="auto"/>
            <w:shd w:val="clear" w:color="auto" w:fill="FFFFFF"/>
            <w:vAlign w:val="bottom"/>
            <w:hideMark/>
          </w:tcPr>
          <w:p w:rsidR="00A3140B" w:rsidRDefault="00A3140B">
            <w:pPr>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c>
          <w:tcPr>
            <w:tcW w:w="0" w:type="auto"/>
            <w:shd w:val="clear" w:color="auto" w:fill="FFFFFF"/>
            <w:vAlign w:val="bottom"/>
            <w:hideMark/>
          </w:tcPr>
          <w:p w:rsidR="00A3140B" w:rsidRDefault="00A3140B">
            <w:pPr>
              <w:jc w:val="right"/>
              <w:rPr>
                <w:rFonts w:eastAsia="Times New Roman"/>
              </w:rPr>
            </w:pP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Rounding:</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(1)</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A3140B">
            <w:pPr>
              <w:jc w:val="right"/>
              <w:rPr>
                <w:rFonts w:eastAsia="Times New Roman"/>
              </w:rPr>
            </w:pP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 </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9,466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9,466</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  9,466</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vAlign w:val="bottom"/>
            <w:hideMark/>
          </w:tcPr>
          <w:p w:rsidR="00A3140B" w:rsidRDefault="004275BA">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231,498</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252,193</w:t>
            </w:r>
          </w:p>
        </w:tc>
        <w:tc>
          <w:tcPr>
            <w:tcW w:w="0" w:type="auto"/>
            <w:shd w:val="clear" w:color="auto" w:fill="FFFFFF"/>
            <w:vAlign w:val="bottom"/>
            <w:hideMark/>
          </w:tcPr>
          <w:p w:rsidR="00A3140B" w:rsidRDefault="004275BA">
            <w:pPr>
              <w:jc w:val="right"/>
              <w:rPr>
                <w:rFonts w:eastAsia="Times New Roman"/>
              </w:rPr>
            </w:pPr>
            <w:r>
              <w:rPr>
                <w:rFonts w:eastAsia="Times New Roman"/>
                <w:sz w:val="20"/>
                <w:szCs w:val="20"/>
              </w:rPr>
              <w:t>272,893</w:t>
            </w:r>
          </w:p>
        </w:tc>
      </w:tr>
      <w:tr w:rsidR="00A3140B">
        <w:trPr>
          <w:tblCellSpacing w:w="15" w:type="dxa"/>
        </w:trPr>
        <w:tc>
          <w:tcPr>
            <w:tcW w:w="0" w:type="auto"/>
            <w:shd w:val="clear" w:color="auto" w:fill="CCFFCC"/>
            <w:vAlign w:val="bottom"/>
            <w:hideMark/>
          </w:tcPr>
          <w:p w:rsidR="00A3140B" w:rsidRDefault="004275BA">
            <w:pPr>
              <w:rPr>
                <w:rFonts w:eastAsia="Times New Roman"/>
              </w:rPr>
            </w:pPr>
            <w:r>
              <w:rPr>
                <w:rFonts w:eastAsia="Times New Roman"/>
                <w:sz w:val="20"/>
                <w:szCs w:val="20"/>
              </w:rPr>
              <w:t> </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c>
          <w:tcPr>
            <w:tcW w:w="0" w:type="auto"/>
            <w:shd w:val="clear" w:color="auto" w:fill="CCFFCC"/>
            <w:vAlign w:val="bottom"/>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gridSpan w:val="4"/>
            <w:shd w:val="clear" w:color="auto" w:fill="FFFFFF"/>
            <w:vAlign w:val="bottom"/>
            <w:hideMark/>
          </w:tcPr>
          <w:p w:rsidR="00A3140B" w:rsidRDefault="004275BA">
            <w:pPr>
              <w:jc w:val="center"/>
              <w:rPr>
                <w:rFonts w:eastAsia="Times New Roman"/>
              </w:rPr>
            </w:pPr>
            <w:r>
              <w:rPr>
                <w:rFonts w:eastAsia="Times New Roman"/>
                <w:b/>
                <w:bCs/>
                <w:sz w:val="20"/>
                <w:szCs w:val="20"/>
              </w:rPr>
              <w:t>See accompanying notes to financial statements.</w:t>
            </w:r>
          </w:p>
        </w:tc>
      </w:tr>
    </w:tbl>
    <w:p w:rsidR="00A3140B" w:rsidRDefault="00CA6465">
      <w:pPr>
        <w:pStyle w:val="NormalWeb"/>
      </w:pPr>
      <w:hyperlink w:anchor="toc" w:history="1">
        <w:r w:rsidR="004275BA">
          <w:rPr>
            <w:rStyle w:val="Hyperlink"/>
            <w:b/>
            <w:bCs/>
            <w:sz w:val="20"/>
            <w:szCs w:val="20"/>
          </w:rPr>
          <w:t>Return to Table of Contents</w:t>
        </w:r>
      </w:hyperlink>
    </w:p>
    <w:p w:rsidR="004275BA" w:rsidRDefault="00CA6465">
      <w:pPr>
        <w:rPr>
          <w:rFonts w:eastAsia="Times New Roman"/>
        </w:rPr>
      </w:pPr>
      <w:r w:rsidRPr="00CA6465">
        <w:rPr>
          <w:rFonts w:eastAsia="Times New Roman"/>
        </w:rPr>
        <w:pict>
          <v:rect id="_x0000_i1037" style="width:0;height:3pt" o:hralign="center" o:hrstd="t" o:hrnoshade="t" o:hr="t" fillcolor="black" stroked="f"/>
        </w:pict>
      </w:r>
    </w:p>
    <w:p w:rsidR="004275BA" w:rsidRDefault="004275BA">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802"/>
        <w:gridCol w:w="990"/>
        <w:gridCol w:w="989"/>
        <w:gridCol w:w="989"/>
        <w:gridCol w:w="1004"/>
      </w:tblGrid>
      <w:tr w:rsidR="00A3140B">
        <w:trPr>
          <w:tblCellSpacing w:w="15" w:type="dxa"/>
        </w:trPr>
        <w:tc>
          <w:tcPr>
            <w:tcW w:w="0" w:type="auto"/>
            <w:gridSpan w:val="5"/>
            <w:shd w:val="clear" w:color="auto" w:fill="CCFFCC"/>
            <w:hideMark/>
          </w:tcPr>
          <w:p w:rsidR="00A3140B" w:rsidRDefault="004275BA">
            <w:pPr>
              <w:pStyle w:val="NormalWeb"/>
              <w:jc w:val="center"/>
            </w:pPr>
            <w:r>
              <w:rPr>
                <w:b/>
                <w:bCs/>
                <w:sz w:val="20"/>
                <w:szCs w:val="20"/>
              </w:rPr>
              <w:lastRenderedPageBreak/>
              <w:t>ADVANCED OXYGEN TECHNOLOGIES, INC.</w:t>
            </w:r>
          </w:p>
        </w:tc>
      </w:tr>
      <w:tr w:rsidR="00A3140B">
        <w:trPr>
          <w:tblCellSpacing w:w="15" w:type="dxa"/>
        </w:trPr>
        <w:tc>
          <w:tcPr>
            <w:tcW w:w="0" w:type="auto"/>
            <w:gridSpan w:val="5"/>
            <w:shd w:val="clear" w:color="auto" w:fill="FFFFFF"/>
            <w:hideMark/>
          </w:tcPr>
          <w:p w:rsidR="00A3140B" w:rsidRDefault="004275BA">
            <w:pPr>
              <w:jc w:val="center"/>
              <w:rPr>
                <w:rFonts w:eastAsia="Times New Roman"/>
              </w:rPr>
            </w:pPr>
            <w:r>
              <w:rPr>
                <w:rFonts w:eastAsia="Times New Roman"/>
                <w:b/>
                <w:bCs/>
                <w:sz w:val="20"/>
                <w:szCs w:val="20"/>
              </w:rPr>
              <w:t>Consolidated Statement of Cash Flow </w:t>
            </w:r>
          </w:p>
        </w:tc>
      </w:tr>
      <w:tr w:rsidR="00A3140B" w:rsidTr="004275BA">
        <w:trPr>
          <w:tblCellSpacing w:w="15" w:type="dxa"/>
        </w:trPr>
        <w:tc>
          <w:tcPr>
            <w:tcW w:w="2945" w:type="pct"/>
            <w:shd w:val="clear" w:color="auto" w:fill="CCFFCC"/>
            <w:hideMark/>
          </w:tcPr>
          <w:p w:rsidR="00A3140B" w:rsidRDefault="00A3140B">
            <w:pPr>
              <w:rPr>
                <w:rFonts w:eastAsia="Times New Roman"/>
              </w:rPr>
            </w:pPr>
          </w:p>
        </w:tc>
        <w:tc>
          <w:tcPr>
            <w:tcW w:w="491" w:type="pct"/>
            <w:shd w:val="clear" w:color="auto" w:fill="CCFFCC"/>
            <w:hideMark/>
          </w:tcPr>
          <w:p w:rsidR="00A3140B" w:rsidRDefault="00A3140B">
            <w:pPr>
              <w:rPr>
                <w:rFonts w:eastAsia="Times New Roman"/>
              </w:rPr>
            </w:pPr>
          </w:p>
        </w:tc>
        <w:tc>
          <w:tcPr>
            <w:tcW w:w="491" w:type="pct"/>
            <w:shd w:val="clear" w:color="auto" w:fill="CCFFCC"/>
            <w:hideMark/>
          </w:tcPr>
          <w:p w:rsidR="00A3140B" w:rsidRDefault="00A3140B">
            <w:pPr>
              <w:rPr>
                <w:rFonts w:eastAsia="Times New Roman"/>
              </w:rPr>
            </w:pPr>
          </w:p>
        </w:tc>
        <w:tc>
          <w:tcPr>
            <w:tcW w:w="491" w:type="pct"/>
            <w:shd w:val="clear" w:color="auto" w:fill="CCFFCC"/>
            <w:hideMark/>
          </w:tcPr>
          <w:p w:rsidR="00A3140B" w:rsidRDefault="00A3140B">
            <w:pPr>
              <w:rPr>
                <w:rFonts w:eastAsia="Times New Roman"/>
              </w:rPr>
            </w:pPr>
          </w:p>
        </w:tc>
        <w:tc>
          <w:tcPr>
            <w:tcW w:w="491" w:type="pct"/>
            <w:shd w:val="clear" w:color="auto" w:fill="CCFFCC"/>
            <w:hideMark/>
          </w:tcPr>
          <w:p w:rsidR="00A3140B" w:rsidRDefault="00A3140B">
            <w:pPr>
              <w:rPr>
                <w:rFonts w:eastAsia="Times New Roman"/>
              </w:rPr>
            </w:pPr>
          </w:p>
        </w:tc>
      </w:tr>
      <w:tr w:rsidR="00A3140B">
        <w:trPr>
          <w:tblCellSpacing w:w="15" w:type="dxa"/>
        </w:trPr>
        <w:tc>
          <w:tcPr>
            <w:tcW w:w="0" w:type="auto"/>
            <w:shd w:val="clear" w:color="auto" w:fill="FFFFFF"/>
            <w:hideMark/>
          </w:tcPr>
          <w:p w:rsidR="00A3140B" w:rsidRDefault="00A3140B">
            <w:pPr>
              <w:rPr>
                <w:rFonts w:eastAsia="Times New Roman"/>
              </w:rPr>
            </w:pPr>
          </w:p>
        </w:tc>
        <w:tc>
          <w:tcPr>
            <w:tcW w:w="0" w:type="auto"/>
            <w:gridSpan w:val="2"/>
            <w:shd w:val="clear" w:color="auto" w:fill="FFFFFF"/>
            <w:hideMark/>
          </w:tcPr>
          <w:p w:rsidR="00A3140B" w:rsidRDefault="004275BA">
            <w:pPr>
              <w:pStyle w:val="NormalWeb"/>
              <w:jc w:val="center"/>
            </w:pPr>
            <w:r>
              <w:rPr>
                <w:sz w:val="20"/>
                <w:szCs w:val="20"/>
              </w:rPr>
              <w:t>3 Month Period Ending December 31,</w:t>
            </w:r>
          </w:p>
        </w:tc>
        <w:tc>
          <w:tcPr>
            <w:tcW w:w="0" w:type="auto"/>
            <w:gridSpan w:val="2"/>
            <w:shd w:val="clear" w:color="auto" w:fill="FFFFFF"/>
            <w:hideMark/>
          </w:tcPr>
          <w:p w:rsidR="00A3140B" w:rsidRDefault="004275BA">
            <w:pPr>
              <w:pStyle w:val="NormalWeb"/>
              <w:jc w:val="center"/>
            </w:pPr>
            <w:r>
              <w:rPr>
                <w:sz w:val="20"/>
                <w:szCs w:val="20"/>
              </w:rPr>
              <w:t>6 Month Period Ending December 31,</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gridSpan w:val="2"/>
            <w:shd w:val="clear" w:color="auto" w:fill="CCFFCC"/>
            <w:hideMark/>
          </w:tcPr>
          <w:p w:rsidR="00A3140B" w:rsidRDefault="004275BA">
            <w:pPr>
              <w:pStyle w:val="NormalWeb"/>
              <w:jc w:val="center"/>
            </w:pPr>
            <w:r>
              <w:rPr>
                <w:b/>
                <w:bCs/>
                <w:sz w:val="20"/>
                <w:szCs w:val="20"/>
              </w:rPr>
              <w:t xml:space="preserve">(unaudited) </w:t>
            </w:r>
          </w:p>
        </w:tc>
        <w:tc>
          <w:tcPr>
            <w:tcW w:w="0" w:type="auto"/>
            <w:gridSpan w:val="2"/>
            <w:shd w:val="clear" w:color="auto" w:fill="CCFFCC"/>
            <w:hideMark/>
          </w:tcPr>
          <w:p w:rsidR="00A3140B" w:rsidRDefault="004275BA">
            <w:pPr>
              <w:pStyle w:val="NormalWeb"/>
              <w:jc w:val="center"/>
            </w:pPr>
            <w:r>
              <w:rPr>
                <w:b/>
                <w:bCs/>
                <w:sz w:val="20"/>
                <w:szCs w:val="20"/>
              </w:rPr>
              <w:t xml:space="preserve">(unaudited) </w:t>
            </w:r>
          </w:p>
        </w:tc>
      </w:tr>
      <w:tr w:rsidR="00A3140B" w:rsidTr="004275BA">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491" w:type="pct"/>
            <w:shd w:val="clear" w:color="auto" w:fill="FFFFFF"/>
            <w:hideMark/>
          </w:tcPr>
          <w:p w:rsidR="00A3140B" w:rsidRDefault="004275BA" w:rsidP="00CC5817">
            <w:pPr>
              <w:pStyle w:val="NormalWeb"/>
              <w:jc w:val="right"/>
            </w:pPr>
            <w:r>
              <w:rPr>
                <w:b/>
                <w:bCs/>
                <w:sz w:val="20"/>
                <w:szCs w:val="20"/>
              </w:rPr>
              <w:t>201</w:t>
            </w:r>
            <w:r w:rsidR="00CC5817">
              <w:rPr>
                <w:b/>
                <w:bCs/>
                <w:sz w:val="20"/>
                <w:szCs w:val="20"/>
              </w:rPr>
              <w:t>3</w:t>
            </w:r>
          </w:p>
        </w:tc>
        <w:tc>
          <w:tcPr>
            <w:tcW w:w="491" w:type="pct"/>
            <w:shd w:val="clear" w:color="auto" w:fill="FFFFFF"/>
            <w:hideMark/>
          </w:tcPr>
          <w:p w:rsidR="00A3140B" w:rsidRDefault="004275BA" w:rsidP="00CC5817">
            <w:pPr>
              <w:pStyle w:val="NormalWeb"/>
              <w:jc w:val="right"/>
            </w:pPr>
            <w:r>
              <w:rPr>
                <w:b/>
                <w:bCs/>
                <w:sz w:val="20"/>
                <w:szCs w:val="20"/>
              </w:rPr>
              <w:t>201</w:t>
            </w:r>
            <w:r w:rsidR="00CC5817">
              <w:rPr>
                <w:b/>
                <w:bCs/>
                <w:sz w:val="20"/>
                <w:szCs w:val="20"/>
              </w:rPr>
              <w:t>2</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2013</w:t>
            </w:r>
          </w:p>
        </w:tc>
        <w:tc>
          <w:tcPr>
            <w:tcW w:w="0" w:type="auto"/>
            <w:shd w:val="clear" w:color="auto" w:fill="FFFFFF"/>
            <w:hideMark/>
          </w:tcPr>
          <w:p w:rsidR="00A3140B" w:rsidRDefault="004275BA">
            <w:pPr>
              <w:jc w:val="right"/>
              <w:rPr>
                <w:rFonts w:eastAsia="Times New Roman"/>
              </w:rPr>
            </w:pPr>
            <w:r>
              <w:rPr>
                <w:rFonts w:eastAsia="Times New Roman"/>
                <w:b/>
                <w:bCs/>
                <w:sz w:val="20"/>
                <w:szCs w:val="20"/>
              </w:rPr>
              <w:t>2012</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b/>
                <w:bCs/>
                <w:sz w:val="20"/>
                <w:szCs w:val="20"/>
              </w:rPr>
              <w:t>Cash flow from operating activities</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Net Income (Loss)</w:t>
            </w:r>
          </w:p>
        </w:tc>
        <w:tc>
          <w:tcPr>
            <w:tcW w:w="0" w:type="auto"/>
            <w:shd w:val="clear" w:color="auto" w:fill="FFFFFF"/>
            <w:hideMark/>
          </w:tcPr>
          <w:p w:rsidR="00A3140B" w:rsidRDefault="004275BA">
            <w:pPr>
              <w:jc w:val="right"/>
              <w:rPr>
                <w:rFonts w:eastAsia="Times New Roman"/>
              </w:rPr>
            </w:pPr>
            <w:r>
              <w:rPr>
                <w:rFonts w:eastAsia="Times New Roman"/>
                <w:sz w:val="20"/>
                <w:szCs w:val="20"/>
              </w:rPr>
              <w:t>(41,249)</w:t>
            </w:r>
          </w:p>
        </w:tc>
        <w:tc>
          <w:tcPr>
            <w:tcW w:w="0" w:type="auto"/>
            <w:shd w:val="clear" w:color="auto" w:fill="FFFFFF"/>
            <w:hideMark/>
          </w:tcPr>
          <w:p w:rsidR="00A3140B" w:rsidRDefault="004275BA">
            <w:pPr>
              <w:jc w:val="right"/>
              <w:rPr>
                <w:rFonts w:eastAsia="Times New Roman"/>
              </w:rPr>
            </w:pPr>
            <w:r>
              <w:rPr>
                <w:rFonts w:eastAsia="Times New Roman"/>
                <w:sz w:val="20"/>
                <w:szCs w:val="20"/>
              </w:rPr>
              <w:t>(7,671)</w:t>
            </w:r>
          </w:p>
        </w:tc>
        <w:tc>
          <w:tcPr>
            <w:tcW w:w="0" w:type="auto"/>
            <w:shd w:val="clear" w:color="auto" w:fill="FFFFFF"/>
            <w:hideMark/>
          </w:tcPr>
          <w:p w:rsidR="00A3140B" w:rsidRDefault="004275BA">
            <w:pPr>
              <w:jc w:val="right"/>
              <w:rPr>
                <w:rFonts w:eastAsia="Times New Roman"/>
              </w:rPr>
            </w:pPr>
            <w:r>
              <w:rPr>
                <w:rFonts w:eastAsia="Times New Roman"/>
                <w:sz w:val="20"/>
                <w:szCs w:val="20"/>
              </w:rPr>
              <w:t>(41,394)</w:t>
            </w:r>
          </w:p>
        </w:tc>
        <w:tc>
          <w:tcPr>
            <w:tcW w:w="0" w:type="auto"/>
            <w:shd w:val="clear" w:color="auto" w:fill="FFFFFF"/>
            <w:hideMark/>
          </w:tcPr>
          <w:p w:rsidR="00A3140B" w:rsidRDefault="004275BA">
            <w:pPr>
              <w:jc w:val="right"/>
              <w:rPr>
                <w:rFonts w:eastAsia="Times New Roman"/>
              </w:rPr>
            </w:pPr>
            <w:r>
              <w:rPr>
                <w:rFonts w:eastAsia="Times New Roman"/>
                <w:sz w:val="20"/>
                <w:szCs w:val="20"/>
              </w:rPr>
              <w:t>13,158</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Accounts Payable and Accrued Expenses</w:t>
            </w:r>
          </w:p>
        </w:tc>
        <w:tc>
          <w:tcPr>
            <w:tcW w:w="0" w:type="auto"/>
            <w:shd w:val="clear" w:color="auto" w:fill="FFFFFF"/>
            <w:hideMark/>
          </w:tcPr>
          <w:p w:rsidR="00A3140B" w:rsidRDefault="004275BA">
            <w:pPr>
              <w:jc w:val="right"/>
              <w:rPr>
                <w:rFonts w:eastAsia="Times New Roman"/>
              </w:rPr>
            </w:pPr>
            <w:r>
              <w:rPr>
                <w:rFonts w:eastAsia="Times New Roman"/>
                <w:sz w:val="20"/>
                <w:szCs w:val="20"/>
              </w:rPr>
              <w:t>(7,475)</w:t>
            </w:r>
          </w:p>
        </w:tc>
        <w:tc>
          <w:tcPr>
            <w:tcW w:w="0" w:type="auto"/>
            <w:shd w:val="clear" w:color="auto" w:fill="FFFFFF"/>
            <w:hideMark/>
          </w:tcPr>
          <w:p w:rsidR="00A3140B" w:rsidRDefault="004275BA">
            <w:pPr>
              <w:jc w:val="right"/>
              <w:rPr>
                <w:rFonts w:eastAsia="Times New Roman"/>
              </w:rPr>
            </w:pPr>
            <w:r>
              <w:rPr>
                <w:rFonts w:eastAsia="Times New Roman"/>
                <w:sz w:val="20"/>
                <w:szCs w:val="20"/>
              </w:rPr>
              <w:t>10,302</w:t>
            </w:r>
          </w:p>
        </w:tc>
        <w:tc>
          <w:tcPr>
            <w:tcW w:w="0" w:type="auto"/>
            <w:shd w:val="clear" w:color="auto" w:fill="FFFFFF"/>
            <w:hideMark/>
          </w:tcPr>
          <w:p w:rsidR="00A3140B" w:rsidRDefault="004275BA">
            <w:pPr>
              <w:jc w:val="right"/>
              <w:rPr>
                <w:rFonts w:eastAsia="Times New Roman"/>
              </w:rPr>
            </w:pPr>
            <w:r>
              <w:rPr>
                <w:rFonts w:eastAsia="Times New Roman"/>
                <w:sz w:val="20"/>
                <w:szCs w:val="20"/>
              </w:rPr>
              <w:t>(20,490)</w:t>
            </w:r>
          </w:p>
        </w:tc>
        <w:tc>
          <w:tcPr>
            <w:tcW w:w="0" w:type="auto"/>
            <w:shd w:val="clear" w:color="auto" w:fill="FFFFFF"/>
            <w:hideMark/>
          </w:tcPr>
          <w:p w:rsidR="00A3140B" w:rsidRDefault="004275BA">
            <w:pPr>
              <w:jc w:val="right"/>
              <w:rPr>
                <w:rFonts w:eastAsia="Times New Roman"/>
              </w:rPr>
            </w:pPr>
            <w:r>
              <w:rPr>
                <w:rFonts w:eastAsia="Times New Roman"/>
                <w:sz w:val="20"/>
                <w:szCs w:val="20"/>
              </w:rPr>
              <w:t>6,912</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Taxes Payable</w:t>
            </w:r>
          </w:p>
        </w:tc>
        <w:tc>
          <w:tcPr>
            <w:tcW w:w="0" w:type="auto"/>
            <w:shd w:val="clear" w:color="auto" w:fill="CCFFCC"/>
            <w:hideMark/>
          </w:tcPr>
          <w:p w:rsidR="00A3140B" w:rsidRDefault="004275BA">
            <w:pPr>
              <w:jc w:val="right"/>
              <w:rPr>
                <w:rFonts w:eastAsia="Times New Roman"/>
              </w:rPr>
            </w:pPr>
            <w:r>
              <w:rPr>
                <w:rFonts w:eastAsia="Times New Roman"/>
                <w:sz w:val="20"/>
                <w:szCs w:val="20"/>
              </w:rPr>
              <w:t>(51,639)</w:t>
            </w:r>
          </w:p>
        </w:tc>
        <w:tc>
          <w:tcPr>
            <w:tcW w:w="0" w:type="auto"/>
            <w:shd w:val="clear" w:color="auto" w:fill="CCFFCC"/>
            <w:hideMark/>
          </w:tcPr>
          <w:p w:rsidR="00A3140B" w:rsidRDefault="004275BA">
            <w:pPr>
              <w:jc w:val="right"/>
              <w:rPr>
                <w:rFonts w:eastAsia="Times New Roman"/>
              </w:rPr>
            </w:pPr>
            <w:r>
              <w:rPr>
                <w:rFonts w:eastAsia="Times New Roman"/>
                <w:sz w:val="20"/>
                <w:szCs w:val="20"/>
              </w:rPr>
              <w:t>2,569</w:t>
            </w:r>
          </w:p>
        </w:tc>
        <w:tc>
          <w:tcPr>
            <w:tcW w:w="0" w:type="auto"/>
            <w:shd w:val="clear" w:color="auto" w:fill="CCFFCC"/>
            <w:hideMark/>
          </w:tcPr>
          <w:p w:rsidR="00A3140B" w:rsidRDefault="004275BA">
            <w:pPr>
              <w:jc w:val="right"/>
              <w:rPr>
                <w:rFonts w:eastAsia="Times New Roman"/>
              </w:rPr>
            </w:pPr>
            <w:r>
              <w:rPr>
                <w:rFonts w:eastAsia="Times New Roman"/>
                <w:sz w:val="20"/>
                <w:szCs w:val="20"/>
              </w:rPr>
              <w:t>(52,851)</w:t>
            </w:r>
          </w:p>
        </w:tc>
        <w:tc>
          <w:tcPr>
            <w:tcW w:w="0" w:type="auto"/>
            <w:shd w:val="clear" w:color="auto" w:fill="CCFFCC"/>
            <w:hideMark/>
          </w:tcPr>
          <w:p w:rsidR="00A3140B" w:rsidRDefault="004275BA">
            <w:pPr>
              <w:jc w:val="right"/>
              <w:rPr>
                <w:rFonts w:eastAsia="Times New Roman"/>
              </w:rPr>
            </w:pPr>
            <w:r>
              <w:rPr>
                <w:rFonts w:eastAsia="Times New Roman"/>
                <w:sz w:val="20"/>
                <w:szCs w:val="20"/>
              </w:rPr>
              <w:t>3,066</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Notes Payable</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855</w:t>
            </w:r>
          </w:p>
        </w:tc>
        <w:tc>
          <w:tcPr>
            <w:tcW w:w="0" w:type="auto"/>
            <w:shd w:val="clear" w:color="auto" w:fill="FFFFFF"/>
            <w:hideMark/>
          </w:tcPr>
          <w:p w:rsidR="00A3140B" w:rsidRDefault="004275BA">
            <w:pPr>
              <w:jc w:val="right"/>
              <w:rPr>
                <w:rFonts w:eastAsia="Times New Roman"/>
              </w:rPr>
            </w:pPr>
            <w:r>
              <w:rPr>
                <w:rFonts w:eastAsia="Times New Roman"/>
                <w:sz w:val="20"/>
                <w:szCs w:val="20"/>
              </w:rPr>
              <w:t>(16,949)</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Current Bank Liability</w:t>
            </w:r>
          </w:p>
        </w:tc>
        <w:tc>
          <w:tcPr>
            <w:tcW w:w="0" w:type="auto"/>
            <w:shd w:val="clear" w:color="auto" w:fill="FFFFFF"/>
            <w:hideMark/>
          </w:tcPr>
          <w:p w:rsidR="00A3140B" w:rsidRDefault="004275BA">
            <w:pPr>
              <w:jc w:val="right"/>
              <w:rPr>
                <w:rFonts w:eastAsia="Times New Roman"/>
              </w:rPr>
            </w:pPr>
            <w:r>
              <w:rPr>
                <w:rFonts w:eastAsia="Times New Roman"/>
                <w:sz w:val="20"/>
                <w:szCs w:val="20"/>
              </w:rPr>
              <w:t>(2,278)</w:t>
            </w:r>
          </w:p>
        </w:tc>
        <w:tc>
          <w:tcPr>
            <w:tcW w:w="0" w:type="auto"/>
            <w:shd w:val="clear" w:color="auto" w:fill="FFFFFF"/>
            <w:hideMark/>
          </w:tcPr>
          <w:p w:rsidR="00A3140B" w:rsidRDefault="004275BA">
            <w:pPr>
              <w:jc w:val="right"/>
              <w:rPr>
                <w:rFonts w:eastAsia="Times New Roman"/>
              </w:rPr>
            </w:pPr>
            <w:r>
              <w:rPr>
                <w:rFonts w:eastAsia="Times New Roman"/>
                <w:sz w:val="20"/>
                <w:szCs w:val="20"/>
              </w:rPr>
              <w:t>(2,642)</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(232)</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Current Portion of Long Term Debt</w:t>
            </w:r>
          </w:p>
        </w:tc>
        <w:tc>
          <w:tcPr>
            <w:tcW w:w="0" w:type="auto"/>
            <w:shd w:val="clear" w:color="auto" w:fill="FFFFFF"/>
            <w:hideMark/>
          </w:tcPr>
          <w:p w:rsidR="00A3140B" w:rsidRDefault="004275BA">
            <w:pPr>
              <w:jc w:val="right"/>
              <w:rPr>
                <w:rFonts w:eastAsia="Times New Roman"/>
              </w:rPr>
            </w:pPr>
            <w:r>
              <w:rPr>
                <w:rFonts w:eastAsia="Times New Roman"/>
                <w:sz w:val="20"/>
                <w:szCs w:val="20"/>
              </w:rPr>
              <w:t>24,138</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24,138</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Total Adjustments</w:t>
            </w:r>
          </w:p>
        </w:tc>
        <w:tc>
          <w:tcPr>
            <w:tcW w:w="0" w:type="auto"/>
            <w:shd w:val="clear" w:color="auto" w:fill="CCFFCC"/>
            <w:hideMark/>
          </w:tcPr>
          <w:p w:rsidR="00A3140B" w:rsidRDefault="004275BA">
            <w:pPr>
              <w:jc w:val="right"/>
              <w:rPr>
                <w:rFonts w:eastAsia="Times New Roman"/>
              </w:rPr>
            </w:pPr>
            <w:r>
              <w:rPr>
                <w:rFonts w:eastAsia="Times New Roman"/>
                <w:sz w:val="20"/>
                <w:szCs w:val="20"/>
              </w:rPr>
              <w:t>(37,254)</w:t>
            </w:r>
          </w:p>
        </w:tc>
        <w:tc>
          <w:tcPr>
            <w:tcW w:w="0" w:type="auto"/>
            <w:shd w:val="clear" w:color="auto" w:fill="CCFFCC"/>
            <w:hideMark/>
          </w:tcPr>
          <w:p w:rsidR="00A3140B" w:rsidRDefault="004275BA">
            <w:pPr>
              <w:jc w:val="right"/>
              <w:rPr>
                <w:rFonts w:eastAsia="Times New Roman"/>
              </w:rPr>
            </w:pPr>
            <w:r>
              <w:rPr>
                <w:rFonts w:eastAsia="Times New Roman"/>
                <w:sz w:val="20"/>
                <w:szCs w:val="20"/>
              </w:rPr>
              <w:t>10,229</w:t>
            </w:r>
          </w:p>
        </w:tc>
        <w:tc>
          <w:tcPr>
            <w:tcW w:w="0" w:type="auto"/>
            <w:shd w:val="clear" w:color="auto" w:fill="CCFFCC"/>
            <w:hideMark/>
          </w:tcPr>
          <w:p w:rsidR="00A3140B" w:rsidRDefault="004275BA">
            <w:pPr>
              <w:jc w:val="right"/>
              <w:rPr>
                <w:rFonts w:eastAsia="Times New Roman"/>
              </w:rPr>
            </w:pPr>
            <w:r>
              <w:rPr>
                <w:rFonts w:eastAsia="Times New Roman"/>
                <w:sz w:val="20"/>
                <w:szCs w:val="20"/>
              </w:rPr>
              <w:t>(48,348)</w:t>
            </w:r>
          </w:p>
        </w:tc>
        <w:tc>
          <w:tcPr>
            <w:tcW w:w="0" w:type="auto"/>
            <w:shd w:val="clear" w:color="auto" w:fill="CCFFCC"/>
            <w:hideMark/>
          </w:tcPr>
          <w:p w:rsidR="00A3140B" w:rsidRDefault="004275BA">
            <w:pPr>
              <w:jc w:val="right"/>
              <w:rPr>
                <w:rFonts w:eastAsia="Times New Roman"/>
              </w:rPr>
            </w:pPr>
            <w:r>
              <w:rPr>
                <w:rFonts w:eastAsia="Times New Roman"/>
                <w:sz w:val="20"/>
                <w:szCs w:val="20"/>
              </w:rPr>
              <w:t>(8,497)</w:t>
            </w:r>
          </w:p>
        </w:tc>
      </w:tr>
      <w:tr w:rsidR="00A3140B">
        <w:trPr>
          <w:tblCellSpacing w:w="15" w:type="dxa"/>
        </w:trPr>
        <w:tc>
          <w:tcPr>
            <w:tcW w:w="0" w:type="auto"/>
            <w:shd w:val="clear" w:color="auto" w:fill="CCFFCC"/>
            <w:hideMark/>
          </w:tcPr>
          <w:p w:rsidR="00A3140B" w:rsidRDefault="00A3140B">
            <w:pPr>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Net Cash provided (used) by operations</w:t>
            </w:r>
          </w:p>
        </w:tc>
        <w:tc>
          <w:tcPr>
            <w:tcW w:w="0" w:type="auto"/>
            <w:shd w:val="clear" w:color="auto" w:fill="FFFFFF"/>
            <w:hideMark/>
          </w:tcPr>
          <w:p w:rsidR="00A3140B" w:rsidRDefault="004275BA">
            <w:pPr>
              <w:jc w:val="right"/>
              <w:rPr>
                <w:rFonts w:eastAsia="Times New Roman"/>
              </w:rPr>
            </w:pPr>
            <w:r>
              <w:rPr>
                <w:rFonts w:eastAsia="Times New Roman"/>
                <w:sz w:val="20"/>
                <w:szCs w:val="20"/>
              </w:rPr>
              <w:t>(78,503)</w:t>
            </w:r>
          </w:p>
        </w:tc>
        <w:tc>
          <w:tcPr>
            <w:tcW w:w="0" w:type="auto"/>
            <w:shd w:val="clear" w:color="auto" w:fill="FFFFFF"/>
            <w:hideMark/>
          </w:tcPr>
          <w:p w:rsidR="00A3140B" w:rsidRDefault="004275BA">
            <w:pPr>
              <w:jc w:val="right"/>
              <w:rPr>
                <w:rFonts w:eastAsia="Times New Roman"/>
              </w:rPr>
            </w:pPr>
            <w:r>
              <w:rPr>
                <w:rFonts w:eastAsia="Times New Roman"/>
                <w:sz w:val="20"/>
                <w:szCs w:val="20"/>
              </w:rPr>
              <w:t>2,558</w:t>
            </w:r>
          </w:p>
        </w:tc>
        <w:tc>
          <w:tcPr>
            <w:tcW w:w="0" w:type="auto"/>
            <w:shd w:val="clear" w:color="auto" w:fill="FFFFFF"/>
            <w:hideMark/>
          </w:tcPr>
          <w:p w:rsidR="00A3140B" w:rsidRDefault="004275BA">
            <w:pPr>
              <w:jc w:val="right"/>
              <w:rPr>
                <w:rFonts w:eastAsia="Times New Roman"/>
              </w:rPr>
            </w:pPr>
            <w:r>
              <w:rPr>
                <w:rFonts w:eastAsia="Times New Roman"/>
                <w:sz w:val="20"/>
                <w:szCs w:val="20"/>
              </w:rPr>
              <w:t>(89,742)</w:t>
            </w:r>
          </w:p>
        </w:tc>
        <w:tc>
          <w:tcPr>
            <w:tcW w:w="0" w:type="auto"/>
            <w:shd w:val="clear" w:color="auto" w:fill="FFFFFF"/>
            <w:hideMark/>
          </w:tcPr>
          <w:p w:rsidR="00A3140B" w:rsidRDefault="004275BA">
            <w:pPr>
              <w:jc w:val="right"/>
              <w:rPr>
                <w:rFonts w:eastAsia="Times New Roman"/>
              </w:rPr>
            </w:pPr>
            <w:r>
              <w:rPr>
                <w:rFonts w:eastAsia="Times New Roman"/>
                <w:sz w:val="20"/>
                <w:szCs w:val="20"/>
              </w:rPr>
              <w:t>4,661</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b/>
                <w:bCs/>
                <w:sz w:val="20"/>
                <w:szCs w:val="20"/>
              </w:rPr>
              <w:t>Cash Flows from financing activities:</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Proceeds From:</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Long Term Bank Debt, Subsidiary</w:t>
            </w:r>
          </w:p>
        </w:tc>
        <w:tc>
          <w:tcPr>
            <w:tcW w:w="0" w:type="auto"/>
            <w:shd w:val="clear" w:color="auto" w:fill="FFFFFF"/>
            <w:hideMark/>
          </w:tcPr>
          <w:p w:rsidR="00A3140B" w:rsidRDefault="004275BA">
            <w:pPr>
              <w:jc w:val="right"/>
              <w:rPr>
                <w:rFonts w:eastAsia="Times New Roman"/>
              </w:rPr>
            </w:pPr>
            <w:r>
              <w:rPr>
                <w:rFonts w:eastAsia="Times New Roman"/>
                <w:sz w:val="20"/>
                <w:szCs w:val="20"/>
              </w:rPr>
              <w:t>195,172</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c>
          <w:tcPr>
            <w:tcW w:w="0" w:type="auto"/>
            <w:shd w:val="clear" w:color="auto" w:fill="FFFFFF"/>
            <w:hideMark/>
          </w:tcPr>
          <w:p w:rsidR="00A3140B" w:rsidRDefault="004275BA">
            <w:pPr>
              <w:jc w:val="right"/>
              <w:rPr>
                <w:rFonts w:eastAsia="Times New Roman"/>
              </w:rPr>
            </w:pPr>
            <w:r>
              <w:rPr>
                <w:rFonts w:eastAsia="Times New Roman"/>
                <w:sz w:val="20"/>
                <w:szCs w:val="20"/>
              </w:rPr>
              <w:t>195,172</w:t>
            </w:r>
          </w:p>
        </w:tc>
        <w:tc>
          <w:tcPr>
            <w:tcW w:w="0" w:type="auto"/>
            <w:shd w:val="clear" w:color="auto" w:fill="FFFFFF"/>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Note Payable Crossfield:</w:t>
            </w:r>
          </w:p>
        </w:tc>
        <w:tc>
          <w:tcPr>
            <w:tcW w:w="0" w:type="auto"/>
            <w:shd w:val="clear" w:color="auto" w:fill="FFFFFF"/>
            <w:hideMark/>
          </w:tcPr>
          <w:p w:rsidR="00A3140B" w:rsidRDefault="004275BA">
            <w:pPr>
              <w:jc w:val="right"/>
              <w:rPr>
                <w:rFonts w:eastAsia="Times New Roman"/>
              </w:rPr>
            </w:pPr>
            <w:r>
              <w:rPr>
                <w:rFonts w:eastAsia="Times New Roman"/>
                <w:sz w:val="20"/>
                <w:szCs w:val="20"/>
              </w:rPr>
              <w:t>2,100</w:t>
            </w:r>
          </w:p>
        </w:tc>
        <w:tc>
          <w:tcPr>
            <w:tcW w:w="0" w:type="auto"/>
            <w:shd w:val="clear" w:color="auto" w:fill="FFFFFF"/>
            <w:hideMark/>
          </w:tcPr>
          <w:p w:rsidR="00A3140B" w:rsidRDefault="004275BA">
            <w:pPr>
              <w:jc w:val="right"/>
              <w:rPr>
                <w:rFonts w:eastAsia="Times New Roman"/>
              </w:rPr>
            </w:pPr>
            <w:r>
              <w:rPr>
                <w:rFonts w:eastAsia="Times New Roman"/>
                <w:sz w:val="20"/>
                <w:szCs w:val="20"/>
              </w:rPr>
              <w:t>1,975</w:t>
            </w:r>
          </w:p>
        </w:tc>
        <w:tc>
          <w:tcPr>
            <w:tcW w:w="0" w:type="auto"/>
            <w:shd w:val="clear" w:color="auto" w:fill="FFFFFF"/>
            <w:hideMark/>
          </w:tcPr>
          <w:p w:rsidR="00A3140B" w:rsidRDefault="004275BA">
            <w:pPr>
              <w:jc w:val="right"/>
              <w:rPr>
                <w:rFonts w:eastAsia="Times New Roman"/>
              </w:rPr>
            </w:pPr>
            <w:r>
              <w:rPr>
                <w:rFonts w:eastAsia="Times New Roman"/>
                <w:sz w:val="20"/>
                <w:szCs w:val="20"/>
              </w:rPr>
              <w:t>9,859</w:t>
            </w:r>
          </w:p>
        </w:tc>
        <w:tc>
          <w:tcPr>
            <w:tcW w:w="0" w:type="auto"/>
            <w:shd w:val="clear" w:color="auto" w:fill="FFFFFF"/>
            <w:hideMark/>
          </w:tcPr>
          <w:p w:rsidR="00A3140B" w:rsidRDefault="004275BA">
            <w:pPr>
              <w:jc w:val="right"/>
              <w:rPr>
                <w:rFonts w:eastAsia="Times New Roman"/>
              </w:rPr>
            </w:pPr>
            <w:r>
              <w:rPr>
                <w:rFonts w:eastAsia="Times New Roman"/>
                <w:sz w:val="20"/>
                <w:szCs w:val="20"/>
              </w:rPr>
              <w:t>1,975</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Used For:</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Long Term Debt, Subsidiary</w:t>
            </w:r>
          </w:p>
        </w:tc>
        <w:tc>
          <w:tcPr>
            <w:tcW w:w="0" w:type="auto"/>
            <w:shd w:val="clear" w:color="auto" w:fill="FFFFFF"/>
            <w:hideMark/>
          </w:tcPr>
          <w:p w:rsidR="00A3140B" w:rsidRDefault="004275BA">
            <w:pPr>
              <w:jc w:val="right"/>
              <w:rPr>
                <w:rFonts w:eastAsia="Times New Roman"/>
              </w:rPr>
            </w:pPr>
            <w:r>
              <w:rPr>
                <w:rFonts w:eastAsia="Times New Roman"/>
                <w:sz w:val="20"/>
                <w:szCs w:val="20"/>
              </w:rPr>
              <w:t>(26,474)</w:t>
            </w:r>
          </w:p>
        </w:tc>
        <w:tc>
          <w:tcPr>
            <w:tcW w:w="0" w:type="auto"/>
            <w:shd w:val="clear" w:color="auto" w:fill="FFFFFF"/>
            <w:hideMark/>
          </w:tcPr>
          <w:p w:rsidR="00A3140B" w:rsidRDefault="004275BA">
            <w:pPr>
              <w:jc w:val="right"/>
              <w:rPr>
                <w:rFonts w:eastAsia="Times New Roman"/>
              </w:rPr>
            </w:pPr>
            <w:r>
              <w:rPr>
                <w:rFonts w:eastAsia="Times New Roman"/>
                <w:sz w:val="20"/>
                <w:szCs w:val="20"/>
              </w:rPr>
              <w:t>(2,255)</w:t>
            </w:r>
          </w:p>
        </w:tc>
        <w:tc>
          <w:tcPr>
            <w:tcW w:w="0" w:type="auto"/>
            <w:shd w:val="clear" w:color="auto" w:fill="FFFFFF"/>
            <w:hideMark/>
          </w:tcPr>
          <w:p w:rsidR="00A3140B" w:rsidRDefault="004275BA">
            <w:pPr>
              <w:jc w:val="right"/>
              <w:rPr>
                <w:rFonts w:eastAsia="Times New Roman"/>
              </w:rPr>
            </w:pPr>
            <w:r>
              <w:rPr>
                <w:rFonts w:eastAsia="Times New Roman"/>
                <w:sz w:val="20"/>
                <w:szCs w:val="20"/>
              </w:rPr>
              <w:t>(28,769)</w:t>
            </w:r>
          </w:p>
        </w:tc>
        <w:tc>
          <w:tcPr>
            <w:tcW w:w="0" w:type="auto"/>
            <w:shd w:val="clear" w:color="auto" w:fill="FFFFFF"/>
            <w:hideMark/>
          </w:tcPr>
          <w:p w:rsidR="00A3140B" w:rsidRDefault="004275BA">
            <w:pPr>
              <w:jc w:val="right"/>
              <w:rPr>
                <w:rFonts w:eastAsia="Times New Roman"/>
              </w:rPr>
            </w:pPr>
            <w:r>
              <w:rPr>
                <w:rFonts w:eastAsia="Times New Roman"/>
                <w:sz w:val="20"/>
                <w:szCs w:val="20"/>
              </w:rPr>
              <w:t>(4,358)</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b/>
                <w:bCs/>
                <w:sz w:val="20"/>
                <w:szCs w:val="20"/>
              </w:rPr>
              <w:t>Net Cash Flows From (used) in Financing Activities:</w:t>
            </w:r>
          </w:p>
        </w:tc>
        <w:tc>
          <w:tcPr>
            <w:tcW w:w="0" w:type="auto"/>
            <w:shd w:val="clear" w:color="auto" w:fill="CCFFCC"/>
            <w:hideMark/>
          </w:tcPr>
          <w:p w:rsidR="00A3140B" w:rsidRDefault="004275BA">
            <w:pPr>
              <w:jc w:val="right"/>
              <w:rPr>
                <w:rFonts w:eastAsia="Times New Roman"/>
              </w:rPr>
            </w:pPr>
            <w:r>
              <w:rPr>
                <w:rFonts w:eastAsia="Times New Roman"/>
                <w:sz w:val="20"/>
                <w:szCs w:val="20"/>
              </w:rPr>
              <w:t>170,798</w:t>
            </w:r>
          </w:p>
        </w:tc>
        <w:tc>
          <w:tcPr>
            <w:tcW w:w="0" w:type="auto"/>
            <w:shd w:val="clear" w:color="auto" w:fill="CCFFCC"/>
            <w:hideMark/>
          </w:tcPr>
          <w:p w:rsidR="00A3140B" w:rsidRDefault="004275BA">
            <w:pPr>
              <w:jc w:val="right"/>
              <w:rPr>
                <w:rFonts w:eastAsia="Times New Roman"/>
              </w:rPr>
            </w:pPr>
            <w:r>
              <w:rPr>
                <w:rFonts w:eastAsia="Times New Roman"/>
                <w:sz w:val="20"/>
                <w:szCs w:val="20"/>
              </w:rPr>
              <w:t>(280)</w:t>
            </w:r>
          </w:p>
        </w:tc>
        <w:tc>
          <w:tcPr>
            <w:tcW w:w="0" w:type="auto"/>
            <w:shd w:val="clear" w:color="auto" w:fill="CCFFCC"/>
            <w:hideMark/>
          </w:tcPr>
          <w:p w:rsidR="00A3140B" w:rsidRDefault="004275BA">
            <w:pPr>
              <w:jc w:val="right"/>
              <w:rPr>
                <w:rFonts w:eastAsia="Times New Roman"/>
              </w:rPr>
            </w:pPr>
            <w:r>
              <w:rPr>
                <w:rFonts w:eastAsia="Times New Roman"/>
                <w:sz w:val="20"/>
                <w:szCs w:val="20"/>
              </w:rPr>
              <w:t>176,262</w:t>
            </w:r>
          </w:p>
        </w:tc>
        <w:tc>
          <w:tcPr>
            <w:tcW w:w="0" w:type="auto"/>
            <w:shd w:val="clear" w:color="auto" w:fill="CCFFCC"/>
            <w:hideMark/>
          </w:tcPr>
          <w:p w:rsidR="00A3140B" w:rsidRDefault="004275BA">
            <w:pPr>
              <w:jc w:val="right"/>
              <w:rPr>
                <w:rFonts w:eastAsia="Times New Roman"/>
              </w:rPr>
            </w:pPr>
            <w:r>
              <w:rPr>
                <w:rFonts w:eastAsia="Times New Roman"/>
                <w:sz w:val="20"/>
                <w:szCs w:val="20"/>
              </w:rPr>
              <w:t>(2,383)</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b/>
                <w:bCs/>
                <w:sz w:val="20"/>
                <w:szCs w:val="20"/>
              </w:rPr>
              <w:t>Net Increase (decrease) in Cash</w:t>
            </w:r>
          </w:p>
        </w:tc>
        <w:tc>
          <w:tcPr>
            <w:tcW w:w="0" w:type="auto"/>
            <w:shd w:val="clear" w:color="auto" w:fill="CCFFCC"/>
            <w:hideMark/>
          </w:tcPr>
          <w:p w:rsidR="00A3140B" w:rsidRDefault="004275BA">
            <w:pPr>
              <w:jc w:val="right"/>
              <w:rPr>
                <w:rFonts w:eastAsia="Times New Roman"/>
              </w:rPr>
            </w:pPr>
            <w:r>
              <w:rPr>
                <w:rFonts w:eastAsia="Times New Roman"/>
                <w:b/>
                <w:bCs/>
                <w:sz w:val="20"/>
                <w:szCs w:val="20"/>
              </w:rPr>
              <w:t>92,295</w:t>
            </w:r>
          </w:p>
        </w:tc>
        <w:tc>
          <w:tcPr>
            <w:tcW w:w="0" w:type="auto"/>
            <w:shd w:val="clear" w:color="auto" w:fill="CCFFCC"/>
            <w:hideMark/>
          </w:tcPr>
          <w:p w:rsidR="00A3140B" w:rsidRDefault="004275BA">
            <w:pPr>
              <w:jc w:val="right"/>
              <w:rPr>
                <w:rFonts w:eastAsia="Times New Roman"/>
              </w:rPr>
            </w:pPr>
            <w:r>
              <w:rPr>
                <w:rFonts w:eastAsia="Times New Roman"/>
                <w:b/>
                <w:bCs/>
                <w:sz w:val="20"/>
                <w:szCs w:val="20"/>
              </w:rPr>
              <w:t>2,278</w:t>
            </w:r>
          </w:p>
        </w:tc>
        <w:tc>
          <w:tcPr>
            <w:tcW w:w="0" w:type="auto"/>
            <w:shd w:val="clear" w:color="auto" w:fill="CCFFCC"/>
            <w:hideMark/>
          </w:tcPr>
          <w:p w:rsidR="00A3140B" w:rsidRDefault="004275BA">
            <w:pPr>
              <w:jc w:val="right"/>
              <w:rPr>
                <w:rFonts w:eastAsia="Times New Roman"/>
              </w:rPr>
            </w:pPr>
            <w:r>
              <w:rPr>
                <w:rFonts w:eastAsia="Times New Roman"/>
                <w:b/>
                <w:bCs/>
                <w:sz w:val="20"/>
                <w:szCs w:val="20"/>
              </w:rPr>
              <w:t>86,520</w:t>
            </w:r>
          </w:p>
        </w:tc>
        <w:tc>
          <w:tcPr>
            <w:tcW w:w="0" w:type="auto"/>
            <w:shd w:val="clear" w:color="auto" w:fill="CCFFCC"/>
            <w:hideMark/>
          </w:tcPr>
          <w:p w:rsidR="00A3140B" w:rsidRDefault="004275BA">
            <w:pPr>
              <w:jc w:val="right"/>
              <w:rPr>
                <w:rFonts w:eastAsia="Times New Roman"/>
              </w:rPr>
            </w:pPr>
            <w:r>
              <w:rPr>
                <w:rFonts w:eastAsia="Times New Roman"/>
                <w:b/>
                <w:bCs/>
                <w:sz w:val="20"/>
                <w:szCs w:val="20"/>
              </w:rPr>
              <w:t>2,278</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sz w:val="20"/>
                <w:szCs w:val="20"/>
              </w:rPr>
              <w:t> </w:t>
            </w: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c>
          <w:tcPr>
            <w:tcW w:w="0" w:type="auto"/>
            <w:shd w:val="clear" w:color="auto" w:fill="FFFFFF"/>
            <w:hideMark/>
          </w:tcPr>
          <w:p w:rsidR="00A3140B" w:rsidRDefault="00A3140B">
            <w:pPr>
              <w:jc w:val="right"/>
              <w:rPr>
                <w:rFonts w:eastAsia="Times New Roman"/>
              </w:rPr>
            </w:pP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b/>
                <w:bCs/>
                <w:sz w:val="20"/>
                <w:szCs w:val="20"/>
              </w:rPr>
              <w:t>Cash Balance at beginning of Period</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c>
          <w:tcPr>
            <w:tcW w:w="0" w:type="auto"/>
            <w:shd w:val="clear" w:color="auto" w:fill="CCFFCC"/>
            <w:hideMark/>
          </w:tcPr>
          <w:p w:rsidR="00A3140B" w:rsidRDefault="004275BA">
            <w:pPr>
              <w:jc w:val="right"/>
              <w:rPr>
                <w:rFonts w:eastAsia="Times New Roman"/>
              </w:rPr>
            </w:pPr>
            <w:r>
              <w:rPr>
                <w:rFonts w:eastAsia="Times New Roman"/>
                <w:sz w:val="20"/>
                <w:szCs w:val="20"/>
              </w:rPr>
              <w:t>5,775</w:t>
            </w:r>
          </w:p>
        </w:tc>
        <w:tc>
          <w:tcPr>
            <w:tcW w:w="0" w:type="auto"/>
            <w:shd w:val="clear" w:color="auto" w:fill="CCFFCC"/>
            <w:hideMark/>
          </w:tcPr>
          <w:p w:rsidR="00A3140B" w:rsidRDefault="004275BA">
            <w:pPr>
              <w:jc w:val="right"/>
              <w:rPr>
                <w:rFonts w:eastAsia="Times New Roman"/>
              </w:rPr>
            </w:pPr>
            <w:r>
              <w:rPr>
                <w:rFonts w:eastAsia="Times New Roman"/>
                <w:sz w:val="20"/>
                <w:szCs w:val="20"/>
              </w:rPr>
              <w:t>-</w:t>
            </w:r>
          </w:p>
        </w:tc>
      </w:tr>
      <w:tr w:rsidR="00A3140B">
        <w:trPr>
          <w:tblCellSpacing w:w="15" w:type="dxa"/>
        </w:trPr>
        <w:tc>
          <w:tcPr>
            <w:tcW w:w="0" w:type="auto"/>
            <w:shd w:val="clear" w:color="auto" w:fill="FFFFFF"/>
            <w:hideMark/>
          </w:tcPr>
          <w:p w:rsidR="00A3140B" w:rsidRDefault="004275BA">
            <w:pPr>
              <w:rPr>
                <w:rFonts w:eastAsia="Times New Roman"/>
              </w:rPr>
            </w:pPr>
            <w:r>
              <w:rPr>
                <w:rFonts w:eastAsia="Times New Roman"/>
                <w:b/>
                <w:bCs/>
                <w:sz w:val="20"/>
                <w:szCs w:val="20"/>
              </w:rPr>
              <w:t>Cash Balance at End of Period</w:t>
            </w:r>
          </w:p>
        </w:tc>
        <w:tc>
          <w:tcPr>
            <w:tcW w:w="0" w:type="auto"/>
            <w:shd w:val="clear" w:color="auto" w:fill="FFFFFF"/>
            <w:hideMark/>
          </w:tcPr>
          <w:p w:rsidR="00A3140B" w:rsidRDefault="004275BA">
            <w:pPr>
              <w:jc w:val="right"/>
              <w:rPr>
                <w:rFonts w:eastAsia="Times New Roman"/>
              </w:rPr>
            </w:pPr>
            <w:r>
              <w:rPr>
                <w:rFonts w:eastAsia="Times New Roman"/>
                <w:sz w:val="20"/>
                <w:szCs w:val="20"/>
              </w:rPr>
              <w:t>92,295</w:t>
            </w:r>
          </w:p>
        </w:tc>
        <w:tc>
          <w:tcPr>
            <w:tcW w:w="0" w:type="auto"/>
            <w:shd w:val="clear" w:color="auto" w:fill="FFFFFF"/>
            <w:hideMark/>
          </w:tcPr>
          <w:p w:rsidR="00A3140B" w:rsidRDefault="004275BA">
            <w:pPr>
              <w:jc w:val="right"/>
              <w:rPr>
                <w:rFonts w:eastAsia="Times New Roman"/>
              </w:rPr>
            </w:pPr>
            <w:r>
              <w:rPr>
                <w:rFonts w:eastAsia="Times New Roman"/>
                <w:sz w:val="20"/>
                <w:szCs w:val="20"/>
              </w:rPr>
              <w:t>2,277</w:t>
            </w:r>
          </w:p>
        </w:tc>
        <w:tc>
          <w:tcPr>
            <w:tcW w:w="0" w:type="auto"/>
            <w:shd w:val="clear" w:color="auto" w:fill="FFFFFF"/>
            <w:hideMark/>
          </w:tcPr>
          <w:p w:rsidR="00A3140B" w:rsidRDefault="004275BA">
            <w:pPr>
              <w:jc w:val="right"/>
              <w:rPr>
                <w:rFonts w:eastAsia="Times New Roman"/>
              </w:rPr>
            </w:pPr>
            <w:r>
              <w:rPr>
                <w:rFonts w:eastAsia="Times New Roman"/>
                <w:sz w:val="20"/>
                <w:szCs w:val="20"/>
              </w:rPr>
              <w:t>92,295</w:t>
            </w:r>
          </w:p>
        </w:tc>
        <w:tc>
          <w:tcPr>
            <w:tcW w:w="0" w:type="auto"/>
            <w:shd w:val="clear" w:color="auto" w:fill="FFFFFF"/>
            <w:hideMark/>
          </w:tcPr>
          <w:p w:rsidR="00A3140B" w:rsidRDefault="004275BA">
            <w:pPr>
              <w:jc w:val="right"/>
              <w:rPr>
                <w:rFonts w:eastAsia="Times New Roman"/>
              </w:rPr>
            </w:pPr>
            <w:r>
              <w:rPr>
                <w:rFonts w:eastAsia="Times New Roman"/>
                <w:sz w:val="20"/>
                <w:szCs w:val="20"/>
              </w:rPr>
              <w:t>2,277</w:t>
            </w:r>
          </w:p>
        </w:tc>
      </w:tr>
      <w:tr w:rsidR="00A3140B">
        <w:trPr>
          <w:tblCellSpacing w:w="15" w:type="dxa"/>
        </w:trPr>
        <w:tc>
          <w:tcPr>
            <w:tcW w:w="0" w:type="auto"/>
            <w:shd w:val="clear" w:color="auto" w:fill="CCFFCC"/>
            <w:hideMark/>
          </w:tcPr>
          <w:p w:rsidR="00A3140B" w:rsidRDefault="004275BA">
            <w:pPr>
              <w:rPr>
                <w:rFonts w:eastAsia="Times New Roman"/>
              </w:rPr>
            </w:pPr>
            <w:r>
              <w:rPr>
                <w:rFonts w:eastAsia="Times New Roman"/>
                <w:sz w:val="20"/>
                <w:szCs w:val="20"/>
              </w:rPr>
              <w:t> </w:t>
            </w: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c>
          <w:tcPr>
            <w:tcW w:w="0" w:type="auto"/>
            <w:shd w:val="clear" w:color="auto" w:fill="CCFFCC"/>
            <w:hideMark/>
          </w:tcPr>
          <w:p w:rsidR="00A3140B" w:rsidRDefault="00A3140B">
            <w:pPr>
              <w:jc w:val="right"/>
              <w:rPr>
                <w:rFonts w:eastAsia="Times New Roman"/>
              </w:rPr>
            </w:pPr>
          </w:p>
        </w:tc>
      </w:tr>
      <w:tr w:rsidR="00A3140B">
        <w:trPr>
          <w:tblCellSpacing w:w="15" w:type="dxa"/>
        </w:trPr>
        <w:tc>
          <w:tcPr>
            <w:tcW w:w="0" w:type="auto"/>
            <w:gridSpan w:val="5"/>
            <w:shd w:val="clear" w:color="auto" w:fill="FFFFFF"/>
            <w:hideMark/>
          </w:tcPr>
          <w:p w:rsidR="00A3140B" w:rsidRDefault="004275BA">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A3140B" w:rsidRDefault="00CA6465">
      <w:pPr>
        <w:pStyle w:val="NormalWeb"/>
      </w:pPr>
      <w:hyperlink w:anchor="toc" w:history="1">
        <w:r w:rsidR="004275BA">
          <w:rPr>
            <w:rStyle w:val="Hyperlink"/>
            <w:b/>
            <w:bCs/>
            <w:sz w:val="20"/>
            <w:szCs w:val="20"/>
          </w:rPr>
          <w:t>Return to Table of Contents</w:t>
        </w:r>
      </w:hyperlink>
    </w:p>
    <w:p w:rsidR="004275BA" w:rsidRDefault="00CA6465">
      <w:pPr>
        <w:rPr>
          <w:rFonts w:eastAsia="Times New Roman"/>
        </w:rPr>
      </w:pPr>
      <w:r w:rsidRPr="00CA6465">
        <w:rPr>
          <w:rFonts w:eastAsia="Times New Roman"/>
        </w:rPr>
        <w:pict>
          <v:rect id="_x0000_i1038" style="width:0;height:3pt" o:hralign="center" o:hrstd="t" o:hrnoshade="t" o:hr="t" fillcolor="black" stroked="f"/>
        </w:pict>
      </w:r>
    </w:p>
    <w:p w:rsidR="004275BA" w:rsidRDefault="004275BA">
      <w:pPr>
        <w:rPr>
          <w:rFonts w:eastAsia="Times New Roman"/>
        </w:rPr>
      </w:pPr>
      <w:r>
        <w:rPr>
          <w:rFonts w:eastAsia="Times New Roman"/>
        </w:rPr>
        <w:br w:type="page"/>
      </w:r>
    </w:p>
    <w:p w:rsidR="00A3140B" w:rsidRPr="004275BA" w:rsidRDefault="004275BA">
      <w:pPr>
        <w:pStyle w:val="NormalWeb"/>
        <w:rPr>
          <w:sz w:val="18"/>
          <w:szCs w:val="18"/>
        </w:rPr>
      </w:pPr>
      <w:bookmarkStart w:id="1" w:name="notes"/>
      <w:bookmarkEnd w:id="1"/>
      <w:r w:rsidRPr="004275BA">
        <w:rPr>
          <w:b/>
          <w:bCs/>
          <w:sz w:val="18"/>
          <w:szCs w:val="18"/>
        </w:rPr>
        <w:lastRenderedPageBreak/>
        <w:t>NOTE 1- ORGANIZATION AND LINE OF BUSINESS</w:t>
      </w:r>
    </w:p>
    <w:p w:rsidR="00A3140B" w:rsidRPr="004275BA" w:rsidRDefault="004275BA">
      <w:pPr>
        <w:pStyle w:val="NormalWeb"/>
        <w:rPr>
          <w:sz w:val="18"/>
          <w:szCs w:val="18"/>
        </w:rPr>
      </w:pPr>
      <w:r w:rsidRPr="004275BA">
        <w:rPr>
          <w:b/>
          <w:bCs/>
          <w:sz w:val="18"/>
          <w:szCs w:val="18"/>
        </w:rPr>
        <w:t>LINE OF BUSINESS</w:t>
      </w:r>
    </w:p>
    <w:p w:rsidR="00A3140B" w:rsidRPr="004275BA" w:rsidRDefault="004275BA">
      <w:pPr>
        <w:pStyle w:val="NormalWeb"/>
        <w:rPr>
          <w:sz w:val="18"/>
          <w:szCs w:val="18"/>
        </w:rPr>
      </w:pPr>
      <w:r w:rsidRPr="004275BA">
        <w:rPr>
          <w:sz w:val="18"/>
          <w:szCs w:val="18"/>
        </w:rPr>
        <w:t>Organization:</w:t>
      </w:r>
    </w:p>
    <w:p w:rsidR="00A3140B" w:rsidRPr="004275BA" w:rsidRDefault="004275BA">
      <w:pPr>
        <w:pStyle w:val="NormalWeb"/>
        <w:rPr>
          <w:sz w:val="18"/>
          <w:szCs w:val="18"/>
        </w:rPr>
      </w:pPr>
      <w:r w:rsidRPr="004275BA">
        <w:rPr>
          <w:sz w:val="18"/>
          <w:szCs w:val="18"/>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A3140B" w:rsidRPr="004275BA" w:rsidRDefault="004275BA">
      <w:pPr>
        <w:pStyle w:val="NormalWeb"/>
        <w:rPr>
          <w:sz w:val="18"/>
          <w:szCs w:val="18"/>
        </w:rPr>
      </w:pPr>
      <w:r w:rsidRPr="004275BA">
        <w:rPr>
          <w:sz w:val="18"/>
          <w:szCs w:val="18"/>
        </w:rPr>
        <w:t>Lines of Business:</w:t>
      </w:r>
    </w:p>
    <w:p w:rsidR="00A3140B" w:rsidRPr="004275BA" w:rsidRDefault="004275BA">
      <w:pPr>
        <w:pStyle w:val="NormalWeb"/>
        <w:rPr>
          <w:sz w:val="18"/>
          <w:szCs w:val="18"/>
        </w:rPr>
      </w:pPr>
      <w:r w:rsidRPr="004275BA">
        <w:rPr>
          <w:sz w:val="18"/>
          <w:szCs w:val="18"/>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A3140B" w:rsidRPr="004275BA" w:rsidRDefault="004275BA">
      <w:pPr>
        <w:pStyle w:val="NormalWeb"/>
        <w:rPr>
          <w:sz w:val="18"/>
          <w:szCs w:val="18"/>
        </w:rPr>
      </w:pPr>
      <w:r w:rsidRPr="004275BA">
        <w:rPr>
          <w:b/>
          <w:bCs/>
          <w:sz w:val="18"/>
          <w:szCs w:val="18"/>
        </w:rPr>
        <w:t>NOTE 2 - SUMMARY OF SIGNIFICANT ACCOUNTING POLICIES:</w:t>
      </w:r>
      <w:r w:rsidRPr="004275BA">
        <w:rPr>
          <w:sz w:val="18"/>
          <w:szCs w:val="18"/>
        </w:rPr>
        <w:br/>
      </w:r>
      <w:r w:rsidRPr="004275BA">
        <w:rPr>
          <w:sz w:val="18"/>
          <w:szCs w:val="18"/>
        </w:rPr>
        <w:br/>
      </w:r>
      <w:r w:rsidRPr="004275BA">
        <w:rPr>
          <w:i/>
          <w:iCs/>
          <w:sz w:val="18"/>
          <w:szCs w:val="18"/>
        </w:rPr>
        <w:t>Revenue Recognition</w:t>
      </w:r>
      <w:r w:rsidRPr="004275BA">
        <w:rPr>
          <w:sz w:val="18"/>
          <w:szCs w:val="18"/>
        </w:rPr>
        <w:t>:</w:t>
      </w:r>
    </w:p>
    <w:p w:rsidR="00A3140B" w:rsidRPr="004275BA" w:rsidRDefault="004275BA">
      <w:pPr>
        <w:pStyle w:val="NormalWeb"/>
        <w:rPr>
          <w:sz w:val="18"/>
          <w:szCs w:val="18"/>
        </w:rPr>
      </w:pPr>
      <w:r w:rsidRPr="004275BA">
        <w:rPr>
          <w:i/>
          <w:iCs/>
          <w:sz w:val="18"/>
          <w:szCs w:val="18"/>
        </w:rPr>
        <w:t xml:space="preserve">Recognition of rental income: </w:t>
      </w:r>
      <w:r w:rsidRPr="004275BA">
        <w:rPr>
          <w:sz w:val="18"/>
          <w:szCs w:val="18"/>
        </w:rPr>
        <w:t>Rental income for commercial property leases is recognized on a straight-line basis over the respective lease terms.</w:t>
      </w:r>
    </w:p>
    <w:p w:rsidR="00A3140B" w:rsidRPr="004275BA" w:rsidRDefault="004275BA">
      <w:pPr>
        <w:pStyle w:val="NormalWeb"/>
        <w:rPr>
          <w:sz w:val="18"/>
          <w:szCs w:val="18"/>
        </w:rPr>
      </w:pPr>
      <w:r w:rsidRPr="004275BA">
        <w:rPr>
          <w:i/>
          <w:iCs/>
          <w:sz w:val="18"/>
          <w:szCs w:val="18"/>
        </w:rPr>
        <w:t>Real Estate Accounting Principles</w:t>
      </w:r>
      <w:r w:rsidRPr="004275BA">
        <w:rPr>
          <w:sz w:val="18"/>
          <w:szCs w:val="18"/>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A3140B" w:rsidRPr="004275BA" w:rsidRDefault="004275BA">
      <w:pPr>
        <w:rPr>
          <w:rFonts w:eastAsia="Times New Roman"/>
          <w:sz w:val="18"/>
          <w:szCs w:val="18"/>
        </w:rPr>
      </w:pPr>
      <w:r w:rsidRPr="004275BA">
        <w:rPr>
          <w:rFonts w:eastAsia="Times New Roman"/>
          <w:i/>
          <w:iCs/>
          <w:sz w:val="18"/>
          <w:szCs w:val="18"/>
        </w:rPr>
        <w:t>Revenue recognition on the sale of real estate:</w:t>
      </w:r>
      <w:r w:rsidRPr="004275BA">
        <w:rPr>
          <w:rFonts w:eastAsia="Times New Roman"/>
          <w:sz w:val="18"/>
          <w:szCs w:val="18"/>
        </w:rPr>
        <w:t xml:space="preserve"> </w:t>
      </w:r>
    </w:p>
    <w:p w:rsidR="00A3140B" w:rsidRPr="004275BA" w:rsidRDefault="004275BA">
      <w:pPr>
        <w:pStyle w:val="NormalWeb"/>
        <w:rPr>
          <w:sz w:val="18"/>
          <w:szCs w:val="18"/>
        </w:rPr>
      </w:pPr>
      <w:r w:rsidRPr="004275BA">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A3140B" w:rsidRPr="004275BA" w:rsidRDefault="004275BA">
      <w:pPr>
        <w:spacing w:before="100" w:beforeAutospacing="1" w:after="240"/>
        <w:rPr>
          <w:sz w:val="18"/>
          <w:szCs w:val="18"/>
        </w:rPr>
      </w:pPr>
      <w:r w:rsidRPr="004275BA">
        <w:rPr>
          <w:b/>
          <w:bCs/>
          <w:i/>
          <w:iCs/>
          <w:sz w:val="18"/>
          <w:szCs w:val="18"/>
        </w:rPr>
        <w:t>Real Estate Investments</w:t>
      </w:r>
      <w:r w:rsidRPr="004275BA">
        <w:rPr>
          <w:b/>
          <w:bCs/>
          <w:i/>
          <w:iCs/>
          <w:sz w:val="18"/>
          <w:szCs w:val="18"/>
        </w:rPr>
        <w:br/>
      </w:r>
      <w:r w:rsidRPr="004275BA">
        <w:rPr>
          <w:sz w:val="18"/>
          <w:szCs w:val="18"/>
        </w:rPr>
        <w:br/>
      </w:r>
      <w:r w:rsidRPr="004275BA">
        <w:rPr>
          <w:i/>
          <w:iCs/>
          <w:sz w:val="18"/>
          <w:szCs w:val="18"/>
        </w:rPr>
        <w:t>Depreciation and Amortization</w:t>
      </w:r>
    </w:p>
    <w:p w:rsidR="00A3140B" w:rsidRPr="004275BA" w:rsidRDefault="004275BA">
      <w:pPr>
        <w:spacing w:before="100" w:beforeAutospacing="1" w:after="240"/>
        <w:rPr>
          <w:sz w:val="18"/>
          <w:szCs w:val="18"/>
        </w:rPr>
      </w:pPr>
      <w:r w:rsidRPr="004275BA">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 three to 40 years, buildings and building improvements: three to 40 years, and furniture and equipment: one to 20 years.</w:t>
      </w:r>
    </w:p>
    <w:p w:rsidR="00A3140B" w:rsidRPr="004275BA" w:rsidRDefault="00CA6465">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pPr>
        <w:rPr>
          <w:rFonts w:eastAsia="Times New Roman"/>
          <w:sz w:val="18"/>
          <w:szCs w:val="18"/>
        </w:rPr>
      </w:pPr>
      <w:r w:rsidRPr="00CA6465">
        <w:rPr>
          <w:rFonts w:eastAsia="Times New Roman"/>
          <w:sz w:val="18"/>
          <w:szCs w:val="18"/>
        </w:rPr>
        <w:pict>
          <v:rect id="_x0000_i1039" style="width:0;height:3pt" o:hralign="center" o:hrstd="t" o:hrnoshade="t" o:hr="t" fillcolor="black" stroked="f"/>
        </w:pict>
      </w:r>
    </w:p>
    <w:p w:rsidR="004275BA" w:rsidRDefault="004275BA">
      <w:pPr>
        <w:rPr>
          <w:rFonts w:eastAsia="Times New Roman"/>
          <w:sz w:val="18"/>
          <w:szCs w:val="18"/>
        </w:rPr>
      </w:pPr>
      <w:r>
        <w:rPr>
          <w:rFonts w:eastAsia="Times New Roman"/>
          <w:sz w:val="18"/>
          <w:szCs w:val="18"/>
        </w:rPr>
        <w:br w:type="page"/>
      </w:r>
    </w:p>
    <w:p w:rsidR="00A3140B" w:rsidRPr="004275BA" w:rsidRDefault="004275BA">
      <w:pPr>
        <w:spacing w:before="100" w:beforeAutospacing="1" w:after="240"/>
        <w:rPr>
          <w:sz w:val="18"/>
          <w:szCs w:val="18"/>
        </w:rPr>
      </w:pPr>
      <w:r w:rsidRPr="004275BA">
        <w:rPr>
          <w:i/>
          <w:iCs/>
          <w:sz w:val="18"/>
          <w:szCs w:val="18"/>
        </w:rPr>
        <w:lastRenderedPageBreak/>
        <w:t>Impairment of Real Estate Investments</w:t>
      </w:r>
    </w:p>
    <w:p w:rsidR="00A3140B" w:rsidRPr="004275BA" w:rsidRDefault="004275BA">
      <w:pPr>
        <w:spacing w:before="100" w:beforeAutospacing="1" w:after="100" w:afterAutospacing="1"/>
        <w:rPr>
          <w:sz w:val="18"/>
          <w:szCs w:val="18"/>
        </w:rPr>
      </w:pPr>
      <w:r w:rsidRPr="004275BA">
        <w:rPr>
          <w:sz w:val="18"/>
          <w:szCs w:val="18"/>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The Company recorded no impairment loss on its real estate investments during the period ending December 31, 2013.</w:t>
      </w:r>
    </w:p>
    <w:p w:rsidR="00A3140B" w:rsidRPr="004275BA" w:rsidRDefault="004275BA">
      <w:pPr>
        <w:rPr>
          <w:rFonts w:eastAsia="Times New Roman"/>
          <w:sz w:val="18"/>
          <w:szCs w:val="18"/>
        </w:rPr>
      </w:pPr>
      <w:r w:rsidRPr="004275BA">
        <w:rPr>
          <w:rFonts w:eastAsia="Times New Roman"/>
          <w:i/>
          <w:iCs/>
          <w:sz w:val="18"/>
          <w:szCs w:val="18"/>
        </w:rPr>
        <w:t>Interest Recognition on Notes Receivable</w:t>
      </w:r>
    </w:p>
    <w:p w:rsidR="00A3140B" w:rsidRPr="004275BA" w:rsidRDefault="004275BA">
      <w:pPr>
        <w:pStyle w:val="NormalWeb"/>
        <w:rPr>
          <w:sz w:val="18"/>
          <w:szCs w:val="18"/>
        </w:rPr>
      </w:pPr>
      <w:r w:rsidRPr="004275BA">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A3140B" w:rsidRPr="004275BA" w:rsidRDefault="004275BA">
      <w:pPr>
        <w:pStyle w:val="NormalWeb"/>
        <w:rPr>
          <w:sz w:val="18"/>
          <w:szCs w:val="18"/>
        </w:rPr>
      </w:pPr>
      <w:r w:rsidRPr="004275BA">
        <w:rPr>
          <w:i/>
          <w:iCs/>
          <w:sz w:val="18"/>
          <w:szCs w:val="18"/>
        </w:rPr>
        <w:t>Foreign currency translation:</w:t>
      </w:r>
    </w:p>
    <w:p w:rsidR="00A3140B" w:rsidRPr="004275BA" w:rsidRDefault="004275BA">
      <w:pPr>
        <w:pStyle w:val="NormalWeb"/>
        <w:rPr>
          <w:sz w:val="18"/>
          <w:szCs w:val="18"/>
        </w:rPr>
      </w:pPr>
      <w:r w:rsidRPr="004275BA">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4275BA">
        <w:rPr>
          <w:sz w:val="18"/>
          <w:szCs w:val="18"/>
        </w:rPr>
        <w:br/>
      </w:r>
      <w:r w:rsidRPr="004275BA">
        <w:rPr>
          <w:sz w:val="18"/>
          <w:szCs w:val="18"/>
        </w:rPr>
        <w:br/>
      </w:r>
      <w:r w:rsidRPr="004275BA">
        <w:rPr>
          <w:i/>
          <w:iCs/>
          <w:sz w:val="18"/>
          <w:szCs w:val="18"/>
        </w:rPr>
        <w:t>Income Taxes:</w:t>
      </w:r>
    </w:p>
    <w:p w:rsidR="00A3140B" w:rsidRPr="004275BA" w:rsidRDefault="004275BA">
      <w:pPr>
        <w:pStyle w:val="NormalWeb"/>
        <w:rPr>
          <w:sz w:val="18"/>
          <w:szCs w:val="18"/>
        </w:rPr>
      </w:pPr>
      <w:r w:rsidRPr="004275BA">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4275BA">
        <w:rPr>
          <w:sz w:val="18"/>
          <w:szCs w:val="18"/>
        </w:rPr>
        <w:br/>
      </w:r>
      <w:r w:rsidRPr="004275BA">
        <w:rPr>
          <w:sz w:val="18"/>
          <w:szCs w:val="18"/>
        </w:rPr>
        <w:br/>
      </w:r>
      <w:r w:rsidRPr="004275BA">
        <w:rPr>
          <w:i/>
          <w:iCs/>
          <w:sz w:val="18"/>
          <w:szCs w:val="18"/>
        </w:rPr>
        <w:t>Net Earnings per Share:</w:t>
      </w:r>
    </w:p>
    <w:p w:rsidR="00A3140B" w:rsidRPr="004275BA" w:rsidRDefault="004275BA">
      <w:pPr>
        <w:pStyle w:val="NormalWeb"/>
        <w:rPr>
          <w:sz w:val="18"/>
          <w:szCs w:val="18"/>
        </w:rPr>
      </w:pPr>
      <w:r w:rsidRPr="004275BA">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4275BA">
        <w:rPr>
          <w:sz w:val="18"/>
          <w:szCs w:val="18"/>
        </w:rPr>
        <w:br/>
      </w:r>
      <w:r w:rsidRPr="004275BA">
        <w:rPr>
          <w:sz w:val="18"/>
          <w:szCs w:val="18"/>
        </w:rPr>
        <w:br/>
      </w:r>
      <w:r w:rsidRPr="004275BA">
        <w:rPr>
          <w:i/>
          <w:iCs/>
          <w:sz w:val="18"/>
          <w:szCs w:val="18"/>
        </w:rPr>
        <w:t>Cash and Cash Equivalents:</w:t>
      </w:r>
    </w:p>
    <w:p w:rsidR="00A3140B" w:rsidRPr="004275BA" w:rsidRDefault="004275BA">
      <w:pPr>
        <w:pStyle w:val="NormalWeb"/>
        <w:rPr>
          <w:sz w:val="18"/>
          <w:szCs w:val="18"/>
        </w:rPr>
      </w:pPr>
      <w:r w:rsidRPr="004275BA">
        <w:rPr>
          <w:sz w:val="18"/>
          <w:szCs w:val="18"/>
        </w:rPr>
        <w:t>For purposes of the statement of cash flows, the Company considers all highly-liquid investments purchased with original maturities of three months or less to be cash equivalents.</w:t>
      </w:r>
      <w:r w:rsidRPr="004275BA">
        <w:rPr>
          <w:sz w:val="18"/>
          <w:szCs w:val="18"/>
        </w:rPr>
        <w:br/>
      </w:r>
      <w:r w:rsidRPr="004275BA">
        <w:rPr>
          <w:sz w:val="18"/>
          <w:szCs w:val="18"/>
        </w:rPr>
        <w:br/>
        <w:t>The Company maintains its cash in bank deposit accounts which, at December 31, 2013 did not exceed federally insured limits. The Company has not experienced any losses in such accounts and believes that it is not exposed to any significant credit risk on such amounts.</w:t>
      </w:r>
      <w:r w:rsidRPr="004275BA">
        <w:rPr>
          <w:sz w:val="18"/>
          <w:szCs w:val="18"/>
        </w:rPr>
        <w:br/>
      </w:r>
      <w:r w:rsidRPr="004275BA">
        <w:rPr>
          <w:sz w:val="18"/>
          <w:szCs w:val="18"/>
        </w:rPr>
        <w:br/>
      </w:r>
      <w:r w:rsidRPr="004275BA">
        <w:rPr>
          <w:i/>
          <w:iCs/>
          <w:sz w:val="18"/>
          <w:szCs w:val="18"/>
        </w:rPr>
        <w:t>Estimates:</w:t>
      </w:r>
    </w:p>
    <w:p w:rsidR="00A3140B" w:rsidRPr="004275BA" w:rsidRDefault="004275BA">
      <w:pPr>
        <w:pStyle w:val="NormalWeb"/>
        <w:rPr>
          <w:sz w:val="18"/>
          <w:szCs w:val="18"/>
        </w:rPr>
      </w:pPr>
      <w:r w:rsidRPr="004275BA">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4275BA">
        <w:rPr>
          <w:sz w:val="18"/>
          <w:szCs w:val="18"/>
        </w:rPr>
        <w:br/>
      </w:r>
      <w:r w:rsidRPr="004275BA">
        <w:rPr>
          <w:sz w:val="18"/>
          <w:szCs w:val="18"/>
        </w:rPr>
        <w:br/>
      </w:r>
      <w:r w:rsidRPr="004275BA">
        <w:rPr>
          <w:i/>
          <w:iCs/>
          <w:sz w:val="18"/>
          <w:szCs w:val="18"/>
        </w:rPr>
        <w:t>Concentrations of Credit Risk:</w:t>
      </w:r>
    </w:p>
    <w:p w:rsidR="00A3140B" w:rsidRPr="004275BA" w:rsidRDefault="004275BA">
      <w:pPr>
        <w:pStyle w:val="NormalWeb"/>
        <w:rPr>
          <w:sz w:val="18"/>
          <w:szCs w:val="18"/>
        </w:rPr>
      </w:pPr>
      <w:r w:rsidRPr="004275BA">
        <w:rPr>
          <w:sz w:val="18"/>
          <w:szCs w:val="18"/>
        </w:rPr>
        <w:t>Financial instruments that potentially subject the Company to major credit risk consist principally of a single subsidiary of Anton Nielsen Vojens ApS and its customer concentration.</w:t>
      </w:r>
    </w:p>
    <w:p w:rsidR="00A3140B" w:rsidRPr="004275BA" w:rsidRDefault="00CA6465">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pPr>
        <w:rPr>
          <w:rFonts w:eastAsia="Times New Roman"/>
          <w:sz w:val="18"/>
          <w:szCs w:val="18"/>
        </w:rPr>
      </w:pPr>
      <w:r w:rsidRPr="00CA6465">
        <w:rPr>
          <w:rFonts w:eastAsia="Times New Roman"/>
          <w:sz w:val="18"/>
          <w:szCs w:val="18"/>
        </w:rPr>
        <w:pict>
          <v:rect id="_x0000_i1040" style="width:0;height:3pt" o:hralign="center" o:hrstd="t" o:hrnoshade="t" o:hr="t" fillcolor="black" stroked="f"/>
        </w:pict>
      </w:r>
    </w:p>
    <w:p w:rsidR="004275BA" w:rsidRDefault="004275BA">
      <w:pPr>
        <w:rPr>
          <w:rFonts w:eastAsia="Times New Roman"/>
          <w:sz w:val="18"/>
          <w:szCs w:val="18"/>
        </w:rPr>
      </w:pPr>
      <w:r>
        <w:rPr>
          <w:rFonts w:eastAsia="Times New Roman"/>
          <w:sz w:val="18"/>
          <w:szCs w:val="18"/>
        </w:rPr>
        <w:br w:type="page"/>
      </w:r>
    </w:p>
    <w:p w:rsidR="00A3140B" w:rsidRPr="004275BA" w:rsidRDefault="004275BA">
      <w:pPr>
        <w:pStyle w:val="NormalWeb"/>
        <w:spacing w:after="240" w:afterAutospacing="0"/>
        <w:rPr>
          <w:sz w:val="18"/>
          <w:szCs w:val="18"/>
        </w:rPr>
      </w:pPr>
      <w:r w:rsidRPr="004275BA">
        <w:rPr>
          <w:i/>
          <w:iCs/>
          <w:sz w:val="18"/>
          <w:szCs w:val="18"/>
        </w:rPr>
        <w:lastRenderedPageBreak/>
        <w:t>Recently Issued Accounting Standards</w:t>
      </w:r>
    </w:p>
    <w:p w:rsidR="00A3140B" w:rsidRPr="004275BA" w:rsidRDefault="004275BA">
      <w:pPr>
        <w:pStyle w:val="NormalWeb"/>
        <w:rPr>
          <w:sz w:val="18"/>
          <w:szCs w:val="18"/>
        </w:rPr>
      </w:pPr>
      <w:r w:rsidRPr="004275BA">
        <w:rPr>
          <w:sz w:val="18"/>
          <w:szCs w:val="18"/>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A3140B" w:rsidRPr="004275BA" w:rsidRDefault="004275BA">
      <w:pPr>
        <w:pStyle w:val="NormalWeb"/>
        <w:rPr>
          <w:sz w:val="18"/>
          <w:szCs w:val="18"/>
        </w:rPr>
      </w:pPr>
      <w:r w:rsidRPr="004275BA">
        <w:rPr>
          <w:sz w:val="18"/>
          <w:szCs w:val="18"/>
        </w:rPr>
        <w:t>In March 2006, the FASB issued SFAS No. 156, “Accounting for Servicing of Financial Assets “ 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A3140B" w:rsidRPr="004275BA" w:rsidRDefault="004275BA">
      <w:pPr>
        <w:pStyle w:val="NormalWeb"/>
        <w:spacing w:after="240" w:afterAutospacing="0"/>
        <w:rPr>
          <w:sz w:val="18"/>
          <w:szCs w:val="18"/>
        </w:rPr>
      </w:pPr>
      <w:r w:rsidRPr="004275BA">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sidRPr="004275BA">
        <w:rPr>
          <w:sz w:val="18"/>
          <w:szCs w:val="18"/>
        </w:rPr>
        <w:br/>
      </w:r>
      <w:r w:rsidRPr="004275BA">
        <w:rPr>
          <w:sz w:val="18"/>
          <w:szCs w:val="18"/>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A3140B" w:rsidRPr="004275BA" w:rsidRDefault="004275BA">
      <w:pPr>
        <w:pStyle w:val="NormalWeb"/>
        <w:rPr>
          <w:sz w:val="18"/>
          <w:szCs w:val="18"/>
        </w:rPr>
      </w:pPr>
      <w:r w:rsidRPr="004275BA">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A3140B" w:rsidRPr="004275BA" w:rsidRDefault="004275BA">
      <w:pPr>
        <w:pStyle w:val="NormalWeb"/>
        <w:rPr>
          <w:sz w:val="18"/>
          <w:szCs w:val="18"/>
        </w:rPr>
      </w:pPr>
      <w:r w:rsidRPr="004275BA">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r w:rsidRPr="004275BA">
        <w:rPr>
          <w:sz w:val="18"/>
          <w:szCs w:val="18"/>
        </w:rPr>
        <w:br/>
      </w:r>
      <w:r w:rsidRPr="004275BA">
        <w:rPr>
          <w:sz w:val="18"/>
          <w:szCs w:val="18"/>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A3140B" w:rsidRPr="004275BA" w:rsidRDefault="004275BA">
      <w:pPr>
        <w:pStyle w:val="NormalWeb"/>
        <w:rPr>
          <w:sz w:val="18"/>
          <w:szCs w:val="18"/>
        </w:rPr>
      </w:pPr>
      <w:r w:rsidRPr="004275BA">
        <w:rPr>
          <w:sz w:val="18"/>
          <w:szCs w:val="18"/>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A3140B" w:rsidRPr="004275BA" w:rsidRDefault="004275BA">
      <w:pPr>
        <w:pStyle w:val="NormalWeb"/>
        <w:rPr>
          <w:sz w:val="18"/>
          <w:szCs w:val="18"/>
        </w:rPr>
      </w:pPr>
      <w:r w:rsidRPr="004275BA">
        <w:rPr>
          <w:sz w:val="18"/>
          <w:szCs w:val="18"/>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A3140B" w:rsidRPr="004275BA" w:rsidRDefault="004275BA">
      <w:pPr>
        <w:pStyle w:val="NormalWeb"/>
        <w:rPr>
          <w:sz w:val="18"/>
          <w:szCs w:val="18"/>
        </w:rPr>
      </w:pPr>
      <w:r w:rsidRPr="004275BA">
        <w:rPr>
          <w:sz w:val="18"/>
          <w:szCs w:val="18"/>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41" style="width:0;height:3pt" o:hralign="center" o:hrstd="t" o:hrnoshade="t" o:hr="t" fillcolor="black" stroked="f"/>
        </w:pict>
      </w:r>
    </w:p>
    <w:p w:rsidR="004275BA" w:rsidRDefault="004275BA">
      <w:pPr>
        <w:rPr>
          <w:sz w:val="18"/>
          <w:szCs w:val="18"/>
        </w:rPr>
      </w:pPr>
      <w:r>
        <w:rPr>
          <w:sz w:val="18"/>
          <w:szCs w:val="18"/>
        </w:rPr>
        <w:br w:type="page"/>
      </w:r>
    </w:p>
    <w:p w:rsidR="00A3140B" w:rsidRPr="004275BA" w:rsidRDefault="004275BA">
      <w:pPr>
        <w:pStyle w:val="NormalWeb"/>
        <w:rPr>
          <w:sz w:val="18"/>
          <w:szCs w:val="18"/>
        </w:rPr>
      </w:pPr>
      <w:r w:rsidRPr="004275BA">
        <w:rPr>
          <w:sz w:val="18"/>
          <w:szCs w:val="18"/>
        </w:rPr>
        <w:lastRenderedPageBreak/>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and the Company does not expect the adoption to have a material impact on its consolidated financial position, results of operations or cash flows.</w:t>
      </w:r>
    </w:p>
    <w:p w:rsidR="00A3140B" w:rsidRPr="004275BA" w:rsidRDefault="004275BA">
      <w:pPr>
        <w:pStyle w:val="NormalWeb"/>
        <w:rPr>
          <w:sz w:val="18"/>
          <w:szCs w:val="18"/>
        </w:rPr>
      </w:pPr>
      <w:r w:rsidRPr="004275BA">
        <w:rPr>
          <w:b/>
          <w:bCs/>
          <w:sz w:val="18"/>
          <w:szCs w:val="18"/>
        </w:rPr>
        <w:t>NOTE 3 - MAJOR CUSTOMER:</w:t>
      </w:r>
    </w:p>
    <w:p w:rsidR="00A3140B" w:rsidRPr="004275BA" w:rsidRDefault="004275BA">
      <w:pPr>
        <w:pStyle w:val="NormalWeb"/>
        <w:rPr>
          <w:sz w:val="18"/>
          <w:szCs w:val="18"/>
        </w:rPr>
      </w:pPr>
      <w:r w:rsidRPr="004275BA">
        <w:rPr>
          <w:sz w:val="18"/>
          <w:szCs w:val="18"/>
        </w:rPr>
        <w:t xml:space="preserve">The Company's subsidiary, Anton Nielsen Vojens, ApS has sales to two major customers who were non related parts. For the period ending December 31, 2013, June 30, 2013, and June 30, 2012 the major customer concentrations were as follows: </w:t>
      </w:r>
    </w:p>
    <w:tbl>
      <w:tblPr>
        <w:tblW w:w="2500" w:type="pct"/>
        <w:tblCellSpacing w:w="15" w:type="dxa"/>
        <w:tblCellMar>
          <w:left w:w="0" w:type="dxa"/>
          <w:right w:w="0" w:type="dxa"/>
        </w:tblCellMar>
        <w:tblLook w:val="04A0"/>
      </w:tblPr>
      <w:tblGrid>
        <w:gridCol w:w="1485"/>
        <w:gridCol w:w="1470"/>
        <w:gridCol w:w="1470"/>
        <w:gridCol w:w="1485"/>
      </w:tblGrid>
      <w:tr w:rsidR="00A3140B" w:rsidRPr="004275BA">
        <w:trPr>
          <w:tblCellSpacing w:w="15" w:type="dxa"/>
        </w:trPr>
        <w:tc>
          <w:tcPr>
            <w:tcW w:w="2000" w:type="pct"/>
            <w:shd w:val="clear" w:color="auto" w:fill="CCFFCC"/>
            <w:vAlign w:val="center"/>
            <w:hideMark/>
          </w:tcPr>
          <w:p w:rsidR="00A3140B" w:rsidRPr="004275BA" w:rsidRDefault="00A3140B">
            <w:pPr>
              <w:rPr>
                <w:rFonts w:eastAsia="Times New Roman"/>
                <w:sz w:val="18"/>
                <w:szCs w:val="18"/>
              </w:rPr>
            </w:pPr>
          </w:p>
        </w:tc>
        <w:tc>
          <w:tcPr>
            <w:tcW w:w="0" w:type="auto"/>
            <w:gridSpan w:val="3"/>
            <w:shd w:val="clear" w:color="auto" w:fill="CCFFCC"/>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 xml:space="preserve">Percent of Sales </w:t>
            </w:r>
            <w:r w:rsidRPr="004275BA">
              <w:rPr>
                <w:rFonts w:eastAsia="Times New Roman"/>
                <w:sz w:val="18"/>
                <w:szCs w:val="18"/>
              </w:rPr>
              <w:br/>
            </w:r>
            <w:r w:rsidRPr="004275BA">
              <w:rPr>
                <w:rFonts w:eastAsia="Times New Roman"/>
                <w:b/>
                <w:bCs/>
                <w:sz w:val="18"/>
                <w:szCs w:val="18"/>
              </w:rPr>
              <w:t>for the Period ending</w:t>
            </w:r>
          </w:p>
        </w:tc>
      </w:tr>
      <w:tr w:rsidR="00A3140B" w:rsidRPr="004275BA">
        <w:trPr>
          <w:tblCellSpacing w:w="15" w:type="dxa"/>
        </w:trPr>
        <w:tc>
          <w:tcPr>
            <w:tcW w:w="0" w:type="auto"/>
            <w:shd w:val="clear" w:color="auto" w:fill="FFFFFF"/>
            <w:vAlign w:val="center"/>
            <w:hideMark/>
          </w:tcPr>
          <w:p w:rsidR="00A3140B" w:rsidRPr="004275BA" w:rsidRDefault="00A3140B">
            <w:pPr>
              <w:rPr>
                <w:rFonts w:eastAsia="Times New Roman"/>
                <w:sz w:val="18"/>
                <w:szCs w:val="18"/>
              </w:rPr>
            </w:pPr>
          </w:p>
        </w:tc>
        <w:tc>
          <w:tcPr>
            <w:tcW w:w="1000" w:type="pct"/>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December 31,</w:t>
            </w:r>
          </w:p>
        </w:tc>
        <w:tc>
          <w:tcPr>
            <w:tcW w:w="0" w:type="auto"/>
            <w:gridSpan w:val="2"/>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June 30,</w:t>
            </w:r>
          </w:p>
        </w:tc>
      </w:tr>
      <w:tr w:rsidR="00A3140B" w:rsidRPr="004275BA">
        <w:trPr>
          <w:tblCellSpacing w:w="15" w:type="dxa"/>
        </w:trPr>
        <w:tc>
          <w:tcPr>
            <w:tcW w:w="0" w:type="auto"/>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Customer</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u w:val="single"/>
              </w:rPr>
              <w:t>2013</w:t>
            </w:r>
          </w:p>
        </w:tc>
        <w:tc>
          <w:tcPr>
            <w:tcW w:w="1000" w:type="pct"/>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u w:val="single"/>
              </w:rPr>
              <w:t>2013</w:t>
            </w:r>
          </w:p>
        </w:tc>
        <w:tc>
          <w:tcPr>
            <w:tcW w:w="1000" w:type="pct"/>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u w:val="single"/>
              </w:rPr>
              <w:t>2012</w:t>
            </w:r>
          </w:p>
        </w:tc>
      </w:tr>
      <w:tr w:rsidR="00A3140B" w:rsidRPr="004275BA">
        <w:trPr>
          <w:tblCellSpacing w:w="15" w:type="dxa"/>
        </w:trPr>
        <w:tc>
          <w:tcPr>
            <w:tcW w:w="0" w:type="auto"/>
            <w:shd w:val="clear" w:color="auto" w:fill="CCFFCC"/>
            <w:vAlign w:val="center"/>
            <w:hideMark/>
          </w:tcPr>
          <w:p w:rsidR="00A3140B" w:rsidRPr="004275BA" w:rsidRDefault="004275BA">
            <w:pPr>
              <w:jc w:val="center"/>
              <w:rPr>
                <w:rFonts w:eastAsia="Times New Roman"/>
                <w:sz w:val="18"/>
                <w:szCs w:val="18"/>
              </w:rPr>
            </w:pPr>
            <w:r w:rsidRPr="004275BA">
              <w:rPr>
                <w:rFonts w:eastAsia="Times New Roman"/>
                <w:sz w:val="18"/>
                <w:szCs w:val="18"/>
              </w:rPr>
              <w:t>A</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100%</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100%</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100%</w:t>
            </w:r>
          </w:p>
        </w:tc>
      </w:tr>
      <w:tr w:rsidR="00A3140B" w:rsidRPr="004275BA">
        <w:trPr>
          <w:tblCellSpacing w:w="15" w:type="dxa"/>
        </w:trPr>
        <w:tc>
          <w:tcPr>
            <w:tcW w:w="0" w:type="auto"/>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sz w:val="18"/>
                <w:szCs w:val="18"/>
              </w:rPr>
              <w:t>B</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sz w:val="18"/>
                <w:szCs w:val="18"/>
              </w:rPr>
              <w:t>0%</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sz w:val="18"/>
                <w:szCs w:val="18"/>
              </w:rPr>
              <w:t>0%</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sz w:val="18"/>
                <w:szCs w:val="18"/>
              </w:rPr>
              <w:t>0%</w:t>
            </w:r>
          </w:p>
        </w:tc>
      </w:tr>
      <w:tr w:rsidR="00A3140B" w:rsidRPr="004275BA">
        <w:trPr>
          <w:tblCellSpacing w:w="15" w:type="dxa"/>
        </w:trPr>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2" style="width:0;height:1.5pt" o:hralign="center" o:hrstd="t" o:hr="t" fillcolor="#aca899" stroked="f"/>
              </w:pict>
            </w:r>
          </w:p>
        </w:tc>
        <w:tc>
          <w:tcPr>
            <w:tcW w:w="0" w:type="auto"/>
            <w:shd w:val="clear" w:color="auto" w:fill="CCFFCC"/>
            <w:vAlign w:val="center"/>
            <w:hideMark/>
          </w:tcPr>
          <w:p w:rsidR="00A3140B" w:rsidRPr="004275BA" w:rsidRDefault="00CA6465">
            <w:pPr>
              <w:rPr>
                <w:rFonts w:eastAsia="Times New Roman"/>
                <w:sz w:val="18"/>
                <w:szCs w:val="18"/>
              </w:rPr>
            </w:pPr>
            <w:r w:rsidRPr="00CA6465">
              <w:rPr>
                <w:rFonts w:eastAsia="Times New Roman"/>
                <w:sz w:val="18"/>
                <w:szCs w:val="18"/>
              </w:rPr>
              <w:pict>
                <v:rect id="_x0000_i1043" style="width:0;height:1.5pt" o:hralign="center" o:hrstd="t" o:hr="t" fillcolor="#aca899" stroked="f"/>
              </w:pict>
            </w:r>
          </w:p>
        </w:tc>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4" style="width:0;height:1.5pt" o:hralign="center" o:hrstd="t" o:hr="t" fillcolor="#aca899" stroked="f"/>
              </w:pict>
            </w:r>
          </w:p>
        </w:tc>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5" style="width:0;height:1.5pt" o:hralign="center" o:hrstd="t" o:hr="t" fillcolor="#aca899" stroked="f"/>
              </w:pict>
            </w:r>
          </w:p>
        </w:tc>
      </w:tr>
      <w:tr w:rsidR="00A3140B" w:rsidRPr="004275BA">
        <w:trPr>
          <w:tblCellSpacing w:w="15" w:type="dxa"/>
        </w:trPr>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rPr>
              <w:t>Total Sales from Major Customers</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rPr>
              <w:t>100%</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rPr>
              <w:t>100%</w:t>
            </w:r>
          </w:p>
        </w:tc>
        <w:tc>
          <w:tcPr>
            <w:tcW w:w="0" w:type="auto"/>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b/>
                <w:bCs/>
                <w:sz w:val="18"/>
                <w:szCs w:val="18"/>
              </w:rPr>
              <w:t>100%</w:t>
            </w:r>
          </w:p>
        </w:tc>
      </w:tr>
    </w:tbl>
    <w:p w:rsidR="00A3140B" w:rsidRPr="004275BA" w:rsidRDefault="004275BA">
      <w:pPr>
        <w:spacing w:before="100" w:beforeAutospacing="1" w:after="100" w:afterAutospacing="1"/>
        <w:rPr>
          <w:sz w:val="18"/>
          <w:szCs w:val="18"/>
        </w:rPr>
      </w:pPr>
      <w:r w:rsidRPr="004275BA">
        <w:rPr>
          <w:b/>
          <w:bCs/>
          <w:sz w:val="18"/>
          <w:szCs w:val="18"/>
        </w:rPr>
        <w:t>NOTE 4 - LAND AND BUILDINGS :</w:t>
      </w:r>
    </w:p>
    <w:p w:rsidR="00A3140B" w:rsidRPr="004275BA" w:rsidRDefault="004275BA">
      <w:pPr>
        <w:rPr>
          <w:rFonts w:eastAsia="Times New Roman"/>
          <w:sz w:val="18"/>
          <w:szCs w:val="18"/>
        </w:rPr>
      </w:pPr>
      <w:r w:rsidRPr="004275BA">
        <w:rPr>
          <w:rFonts w:eastAsia="Times New Roman"/>
          <w:sz w:val="18"/>
          <w:szCs w:val="18"/>
        </w:rPr>
        <w:t xml:space="preserve">The Land owned by the Company's wholly owned subsidiary constitutes the largest asset of the Company. During the period ending December 31, 2013 the Company recorded no change in the value of the Land. The value of the Land of the Company was as follows: </w:t>
      </w:r>
    </w:p>
    <w:tbl>
      <w:tblPr>
        <w:tblW w:w="2500" w:type="pct"/>
        <w:tblCellSpacing w:w="15" w:type="dxa"/>
        <w:tblCellMar>
          <w:left w:w="0" w:type="dxa"/>
          <w:right w:w="0" w:type="dxa"/>
        </w:tblCellMar>
        <w:tblLook w:val="04A0"/>
      </w:tblPr>
      <w:tblGrid>
        <w:gridCol w:w="1485"/>
        <w:gridCol w:w="1470"/>
        <w:gridCol w:w="1470"/>
        <w:gridCol w:w="1485"/>
      </w:tblGrid>
      <w:tr w:rsidR="00A3140B" w:rsidRPr="004275BA">
        <w:trPr>
          <w:tblCellSpacing w:w="15" w:type="dxa"/>
        </w:trPr>
        <w:tc>
          <w:tcPr>
            <w:tcW w:w="2500" w:type="pct"/>
            <w:shd w:val="clear" w:color="auto" w:fill="CCFFCC"/>
            <w:vAlign w:val="center"/>
            <w:hideMark/>
          </w:tcPr>
          <w:p w:rsidR="00A3140B" w:rsidRPr="004275BA" w:rsidRDefault="00A3140B">
            <w:pPr>
              <w:rPr>
                <w:rFonts w:eastAsia="Times New Roman"/>
                <w:sz w:val="18"/>
                <w:szCs w:val="18"/>
              </w:rPr>
            </w:pPr>
          </w:p>
        </w:tc>
        <w:tc>
          <w:tcPr>
            <w:tcW w:w="0" w:type="auto"/>
            <w:gridSpan w:val="3"/>
            <w:shd w:val="clear" w:color="auto" w:fill="CCFFCC"/>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Value of Land,</w:t>
            </w:r>
          </w:p>
        </w:tc>
      </w:tr>
      <w:tr w:rsidR="00A3140B" w:rsidRPr="004275BA">
        <w:trPr>
          <w:tblCellSpacing w:w="15" w:type="dxa"/>
        </w:trPr>
        <w:tc>
          <w:tcPr>
            <w:tcW w:w="2500" w:type="pct"/>
            <w:shd w:val="clear" w:color="auto" w:fill="CCFFCC"/>
            <w:vAlign w:val="center"/>
            <w:hideMark/>
          </w:tcPr>
          <w:p w:rsidR="00A3140B" w:rsidRPr="004275BA" w:rsidRDefault="00A3140B">
            <w:pPr>
              <w:rPr>
                <w:rFonts w:eastAsia="Times New Roman"/>
                <w:sz w:val="18"/>
                <w:szCs w:val="18"/>
              </w:rPr>
            </w:pPr>
          </w:p>
        </w:tc>
        <w:tc>
          <w:tcPr>
            <w:tcW w:w="0" w:type="auto"/>
            <w:shd w:val="clear" w:color="auto" w:fill="CCFFCC"/>
            <w:vAlign w:val="center"/>
            <w:hideMark/>
          </w:tcPr>
          <w:p w:rsidR="00A3140B" w:rsidRPr="004275BA" w:rsidRDefault="00A3140B">
            <w:pPr>
              <w:rPr>
                <w:rFonts w:eastAsia="Times New Roman"/>
                <w:sz w:val="18"/>
                <w:szCs w:val="18"/>
              </w:rPr>
            </w:pPr>
          </w:p>
        </w:tc>
        <w:tc>
          <w:tcPr>
            <w:tcW w:w="0" w:type="auto"/>
            <w:gridSpan w:val="2"/>
            <w:shd w:val="clear" w:color="auto" w:fill="CCFFCC"/>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June 30,</w:t>
            </w:r>
          </w:p>
        </w:tc>
      </w:tr>
      <w:tr w:rsidR="00A3140B" w:rsidRPr="004275BA">
        <w:trPr>
          <w:tblCellSpacing w:w="15" w:type="dxa"/>
        </w:trPr>
        <w:tc>
          <w:tcPr>
            <w:tcW w:w="0" w:type="auto"/>
            <w:shd w:val="clear" w:color="auto" w:fill="FFFFFF"/>
            <w:vAlign w:val="center"/>
            <w:hideMark/>
          </w:tcPr>
          <w:p w:rsidR="00A3140B" w:rsidRPr="004275BA" w:rsidRDefault="00A3140B">
            <w:pPr>
              <w:rPr>
                <w:rFonts w:eastAsia="Times New Roman"/>
                <w:sz w:val="18"/>
                <w:szCs w:val="18"/>
              </w:rPr>
            </w:pPr>
          </w:p>
        </w:tc>
        <w:tc>
          <w:tcPr>
            <w:tcW w:w="1000" w:type="pct"/>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rPr>
              <w:t>December 31, 2013</w:t>
            </w:r>
          </w:p>
        </w:tc>
        <w:tc>
          <w:tcPr>
            <w:tcW w:w="0" w:type="auto"/>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u w:val="single"/>
              </w:rPr>
              <w:t>2013</w:t>
            </w:r>
          </w:p>
        </w:tc>
        <w:tc>
          <w:tcPr>
            <w:tcW w:w="0" w:type="auto"/>
            <w:shd w:val="clear" w:color="auto" w:fill="FFFFFF"/>
            <w:vAlign w:val="center"/>
            <w:hideMark/>
          </w:tcPr>
          <w:p w:rsidR="00A3140B" w:rsidRPr="004275BA" w:rsidRDefault="004275BA">
            <w:pPr>
              <w:jc w:val="center"/>
              <w:rPr>
                <w:rFonts w:eastAsia="Times New Roman"/>
                <w:sz w:val="18"/>
                <w:szCs w:val="18"/>
              </w:rPr>
            </w:pPr>
            <w:r w:rsidRPr="004275BA">
              <w:rPr>
                <w:rFonts w:eastAsia="Times New Roman"/>
                <w:b/>
                <w:bCs/>
                <w:sz w:val="18"/>
                <w:szCs w:val="18"/>
                <w:u w:val="single"/>
              </w:rPr>
              <w:t>2012</w:t>
            </w:r>
          </w:p>
        </w:tc>
      </w:tr>
      <w:tr w:rsidR="00A3140B" w:rsidRPr="004275BA">
        <w:trPr>
          <w:tblCellSpacing w:w="15" w:type="dxa"/>
        </w:trPr>
        <w:tc>
          <w:tcPr>
            <w:tcW w:w="0" w:type="auto"/>
            <w:shd w:val="clear" w:color="auto" w:fill="CCFFCC"/>
            <w:vAlign w:val="center"/>
            <w:hideMark/>
          </w:tcPr>
          <w:p w:rsidR="00A3140B" w:rsidRPr="004275BA" w:rsidRDefault="004275BA">
            <w:pPr>
              <w:jc w:val="center"/>
              <w:rPr>
                <w:rFonts w:eastAsia="Times New Roman"/>
                <w:sz w:val="18"/>
                <w:szCs w:val="18"/>
              </w:rPr>
            </w:pPr>
            <w:r w:rsidRPr="004275BA">
              <w:rPr>
                <w:rFonts w:eastAsia="Times New Roman"/>
                <w:sz w:val="18"/>
                <w:szCs w:val="18"/>
              </w:rPr>
              <w:t>US Dollars</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$578,704</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w:t>
            </w:r>
            <w:r w:rsidR="007B44A7">
              <w:rPr>
                <w:rFonts w:eastAsia="Times New Roman"/>
                <w:sz w:val="18"/>
                <w:szCs w:val="18"/>
              </w:rPr>
              <w:t>5</w:t>
            </w:r>
            <w:r w:rsidRPr="004275BA">
              <w:rPr>
                <w:rFonts w:eastAsia="Times New Roman"/>
                <w:sz w:val="18"/>
                <w:szCs w:val="18"/>
              </w:rPr>
              <w:t>78,704</w:t>
            </w:r>
          </w:p>
        </w:tc>
        <w:tc>
          <w:tcPr>
            <w:tcW w:w="0" w:type="auto"/>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$559,322</w:t>
            </w:r>
          </w:p>
        </w:tc>
      </w:tr>
      <w:tr w:rsidR="00A3140B" w:rsidRPr="004275BA">
        <w:trPr>
          <w:tblCellSpacing w:w="15" w:type="dxa"/>
        </w:trPr>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6" style="width:0;height:1.5pt" o:hralign="center" o:hrstd="t" o:hr="t" fillcolor="#aca899" stroked="f"/>
              </w:pict>
            </w:r>
          </w:p>
        </w:tc>
        <w:tc>
          <w:tcPr>
            <w:tcW w:w="0" w:type="auto"/>
            <w:shd w:val="clear" w:color="auto" w:fill="CCFFCC"/>
            <w:vAlign w:val="center"/>
            <w:hideMark/>
          </w:tcPr>
          <w:p w:rsidR="00A3140B" w:rsidRPr="004275BA" w:rsidRDefault="00CA6465">
            <w:pPr>
              <w:rPr>
                <w:rFonts w:eastAsia="Times New Roman"/>
                <w:sz w:val="18"/>
                <w:szCs w:val="18"/>
              </w:rPr>
            </w:pPr>
            <w:r w:rsidRPr="00CA6465">
              <w:rPr>
                <w:rFonts w:eastAsia="Times New Roman"/>
                <w:sz w:val="18"/>
                <w:szCs w:val="18"/>
              </w:rPr>
              <w:pict>
                <v:rect id="_x0000_i1047" style="width:0;height:1.5pt" o:hralign="center" o:hrstd="t" o:hr="t" fillcolor="#aca899" stroked="f"/>
              </w:pict>
            </w:r>
          </w:p>
        </w:tc>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8" style="width:0;height:1.5pt" o:hralign="center" o:hrstd="t" o:hr="t" fillcolor="#aca899" stroked="f"/>
              </w:pict>
            </w:r>
          </w:p>
        </w:tc>
        <w:tc>
          <w:tcPr>
            <w:tcW w:w="0" w:type="auto"/>
            <w:shd w:val="clear" w:color="auto" w:fill="CCFFCC"/>
            <w:vAlign w:val="center"/>
            <w:hideMark/>
          </w:tcPr>
          <w:p w:rsidR="00A3140B" w:rsidRPr="004275BA" w:rsidRDefault="00CA6465">
            <w:pPr>
              <w:jc w:val="right"/>
              <w:rPr>
                <w:rFonts w:eastAsia="Times New Roman"/>
                <w:sz w:val="18"/>
                <w:szCs w:val="18"/>
              </w:rPr>
            </w:pPr>
            <w:r w:rsidRPr="00CA6465">
              <w:rPr>
                <w:rFonts w:eastAsia="Times New Roman"/>
                <w:sz w:val="18"/>
                <w:szCs w:val="18"/>
              </w:rPr>
              <w:pict>
                <v:rect id="_x0000_i1049" style="width:0;height:1.5pt" o:hralign="center" o:hrstd="t" o:hr="t" fillcolor="#aca899" stroked="f"/>
              </w:pict>
            </w:r>
          </w:p>
        </w:tc>
      </w:tr>
    </w:tbl>
    <w:p w:rsidR="00A3140B" w:rsidRPr="004275BA" w:rsidRDefault="004275BA">
      <w:pPr>
        <w:pStyle w:val="NormalWeb"/>
        <w:rPr>
          <w:sz w:val="18"/>
          <w:szCs w:val="18"/>
        </w:rPr>
      </w:pPr>
      <w:r w:rsidRPr="004275BA">
        <w:rPr>
          <w:b/>
          <w:bCs/>
          <w:sz w:val="18"/>
          <w:szCs w:val="18"/>
        </w:rPr>
        <w:t>NOTE 5 - RELATED PARTY TRANSACTIONS ANTON NIELSEN VOJENS, ApS</w:t>
      </w:r>
      <w:r w:rsidRPr="004275BA">
        <w:rPr>
          <w:b/>
          <w:bCs/>
          <w:sz w:val="18"/>
          <w:szCs w:val="18"/>
        </w:rPr>
        <w:br/>
      </w:r>
      <w:r w:rsidRPr="004275BA">
        <w:rPr>
          <w:sz w:val="18"/>
          <w:szCs w:val="18"/>
        </w:rPr>
        <w:br/>
        <w:t>The Company purchased Anton Nielsen Vojens ApS from a previous shareholder of the Company, Borkwood Development LTD ("Borkwood"). At the time of the acquisition, even though Borkwood was not a shareholder,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debt to Borkwood Development LTD at December 31, 2013 was $127,029 .</w:t>
      </w:r>
    </w:p>
    <w:p w:rsidR="00A3140B" w:rsidRPr="004275BA" w:rsidRDefault="004275BA">
      <w:pPr>
        <w:pStyle w:val="NormalWeb"/>
        <w:rPr>
          <w:sz w:val="18"/>
          <w:szCs w:val="18"/>
        </w:rPr>
      </w:pPr>
      <w:r w:rsidRPr="004275BA">
        <w:rPr>
          <w:b/>
          <w:bCs/>
          <w:sz w:val="18"/>
          <w:szCs w:val="18"/>
        </w:rPr>
        <w:t>NOTE 6 - COMMITMENTS AND CONTINGENCIES:</w:t>
      </w:r>
    </w:p>
    <w:p w:rsidR="00A3140B" w:rsidRPr="004275BA" w:rsidRDefault="004275BA">
      <w:pPr>
        <w:pStyle w:val="NormalWeb"/>
        <w:rPr>
          <w:sz w:val="18"/>
          <w:szCs w:val="18"/>
        </w:rPr>
      </w:pPr>
      <w:r w:rsidRPr="004275BA">
        <w:rPr>
          <w:i/>
          <w:iCs/>
          <w:sz w:val="18"/>
          <w:szCs w:val="18"/>
        </w:rPr>
        <w:t>Commitments</w:t>
      </w:r>
      <w:r w:rsidRPr="004275BA">
        <w:rPr>
          <w:sz w:val="18"/>
          <w:szCs w:val="18"/>
        </w:rPr>
        <w:t>:</w:t>
      </w:r>
    </w:p>
    <w:p w:rsidR="00A3140B" w:rsidRPr="004275BA" w:rsidRDefault="004275BA">
      <w:pPr>
        <w:pStyle w:val="NormalWeb"/>
        <w:rPr>
          <w:sz w:val="18"/>
          <w:szCs w:val="18"/>
        </w:rPr>
      </w:pPr>
      <w:r w:rsidRPr="004275BA">
        <w:rPr>
          <w:sz w:val="18"/>
          <w:szCs w:val="18"/>
        </w:rPr>
        <w:t>The Company has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2014 and interest waived through the period ending June 30, 2013.</w:t>
      </w:r>
    </w:p>
    <w:p w:rsidR="00A3140B" w:rsidRPr="004275BA" w:rsidRDefault="004275BA">
      <w:pPr>
        <w:pStyle w:val="NormalWeb"/>
        <w:rPr>
          <w:sz w:val="18"/>
          <w:szCs w:val="18"/>
        </w:rPr>
      </w:pPr>
      <w:r w:rsidRPr="004275BA">
        <w:rPr>
          <w:sz w:val="18"/>
          <w:szCs w:val="18"/>
        </w:rPr>
        <w:t>The Company's wholly owned subsidiary Anton Nielsen Vojens, ApS has a note payable with a bank ("Note A"). The original amount of Note A was kr 750,000 Danish Krone (kr). Note A is secured by the revenues of the lease with Statoil, with a 7.00% interest rate and 5 years left on the term. The balances on the note as of December 31, 2013 and December 31, 2012 were $50,315 and $57,230 respectively and the yearly payments are fixed at kr 75,000.</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0" style="width:0;height:3pt" o:hralign="center" o:hrstd="t" o:hrnoshade="t" o:hr="t" fillcolor="black" stroked="f"/>
        </w:pict>
      </w:r>
    </w:p>
    <w:p w:rsidR="00A3140B" w:rsidRPr="004275BA" w:rsidRDefault="004275BA">
      <w:pPr>
        <w:pStyle w:val="NormalWeb"/>
        <w:rPr>
          <w:sz w:val="18"/>
          <w:szCs w:val="18"/>
        </w:rPr>
      </w:pPr>
      <w:r w:rsidRPr="004275BA">
        <w:rPr>
          <w:sz w:val="18"/>
          <w:szCs w:val="18"/>
        </w:rPr>
        <w:lastRenderedPageBreak/>
        <w:t>The Company's wholly owned subsidiary Anton Nielsen Vojens, ApS has a note payable with a bank ("Note B"). The original amount of Note B was kr 1,132,000 Danish Krone (kr). Note B is secured by the subsidiary;s real estate, with a 2.00% interest rate and 10 years left on the term. The balances on the note as of December 31, 2013 were $195,172.</w:t>
      </w:r>
    </w:p>
    <w:p w:rsidR="00A3140B" w:rsidRPr="004275BA" w:rsidRDefault="004275BA">
      <w:pPr>
        <w:pStyle w:val="NormalWeb"/>
        <w:rPr>
          <w:sz w:val="18"/>
          <w:szCs w:val="18"/>
        </w:rPr>
      </w:pPr>
      <w:r w:rsidRPr="004275BA">
        <w:rPr>
          <w:b/>
          <w:bCs/>
          <w:sz w:val="18"/>
          <w:szCs w:val="18"/>
        </w:rPr>
        <w:t>NOTE 7 - DUE TO AFFILIATE</w:t>
      </w:r>
    </w:p>
    <w:p w:rsidR="00A3140B" w:rsidRPr="004275BA" w:rsidRDefault="004275BA">
      <w:pPr>
        <w:pStyle w:val="NormalWeb"/>
        <w:rPr>
          <w:sz w:val="18"/>
          <w:szCs w:val="18"/>
        </w:rPr>
      </w:pPr>
      <w:r w:rsidRPr="004275BA">
        <w:rPr>
          <w:i/>
          <w:iCs/>
          <w:sz w:val="18"/>
          <w:szCs w:val="18"/>
        </w:rPr>
        <w:t>Due to affiliate consisted of:</w:t>
      </w:r>
      <w:r w:rsidRPr="004275BA">
        <w:rPr>
          <w:sz w:val="18"/>
          <w:szCs w:val="18"/>
        </w:rPr>
        <w:t xml:space="preserve"> Advances payable to Crossfield, Inc., a related party, which are not collateralized, non-interest bearing, and payable upon demand, however, the Company did not expect to make payment within one year. During the 3 month period ended December 31, 2013 and 2012 the Company had borrowed $2,100 and $1,975 and had balances of $56,259 and $42,243 respectively, from affiliates and officers to meet expenses. The balances were not collateralized, were non-interest bearing and were payable on demand. </w:t>
      </w:r>
    </w:p>
    <w:p w:rsidR="00A3140B" w:rsidRPr="004275BA" w:rsidRDefault="004275BA">
      <w:pPr>
        <w:pStyle w:val="NormalWeb"/>
        <w:spacing w:after="240" w:afterAutospacing="0"/>
        <w:rPr>
          <w:sz w:val="18"/>
          <w:szCs w:val="18"/>
        </w:rPr>
      </w:pPr>
      <w:r w:rsidRPr="004275BA">
        <w:rPr>
          <w:b/>
          <w:bCs/>
          <w:sz w:val="18"/>
          <w:szCs w:val="18"/>
        </w:rPr>
        <w:t>NOTE 8 - INCOME TAXES</w:t>
      </w:r>
    </w:p>
    <w:p w:rsidR="00A3140B" w:rsidRPr="004275BA" w:rsidRDefault="004275BA">
      <w:pPr>
        <w:spacing w:before="100" w:beforeAutospacing="1" w:after="240"/>
        <w:divId w:val="1163159352"/>
        <w:rPr>
          <w:sz w:val="18"/>
          <w:szCs w:val="18"/>
        </w:rPr>
      </w:pPr>
      <w:r w:rsidRPr="004275BA">
        <w:rPr>
          <w:sz w:val="18"/>
          <w:szCs w:val="18"/>
        </w:rPr>
        <w:t>As of December 31, 2013,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2317"/>
      </w:tblGrid>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rPr>
                <w:rFonts w:eastAsia="Times New Roman"/>
                <w:sz w:val="18"/>
                <w:szCs w:val="18"/>
              </w:rPr>
            </w:pPr>
            <w:r w:rsidRPr="004275BA">
              <w:rPr>
                <w:rFonts w:eastAsia="Times New Roman"/>
                <w:sz w:val="18"/>
                <w:szCs w:val="18"/>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Amount</w:t>
            </w:r>
          </w:p>
        </w:tc>
      </w:tr>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rPr>
                <w:rFonts w:eastAsia="Times New Roman"/>
                <w:sz w:val="18"/>
                <w:szCs w:val="18"/>
              </w:rPr>
            </w:pPr>
            <w:r w:rsidRPr="004275BA">
              <w:rPr>
                <w:rFonts w:eastAsia="Times New Roman"/>
                <w:sz w:val="18"/>
                <w:szCs w:val="18"/>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236,000</w:t>
            </w:r>
          </w:p>
        </w:tc>
      </w:tr>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140B" w:rsidRPr="004275BA" w:rsidRDefault="004275BA">
            <w:pPr>
              <w:rPr>
                <w:rFonts w:eastAsia="Times New Roman"/>
                <w:sz w:val="18"/>
                <w:szCs w:val="18"/>
              </w:rPr>
            </w:pPr>
            <w:r w:rsidRPr="004275BA">
              <w:rPr>
                <w:rFonts w:eastAsia="Times New Roman"/>
                <w:sz w:val="18"/>
                <w:szCs w:val="18"/>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sz w:val="18"/>
                <w:szCs w:val="18"/>
              </w:rPr>
              <w:t>548,000</w:t>
            </w:r>
          </w:p>
        </w:tc>
      </w:tr>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rPr>
                <w:rFonts w:eastAsia="Times New Roman"/>
                <w:sz w:val="18"/>
                <w:szCs w:val="18"/>
              </w:rPr>
            </w:pPr>
            <w:r w:rsidRPr="004275BA">
              <w:rPr>
                <w:rFonts w:eastAsia="Times New Roman"/>
                <w:sz w:val="18"/>
                <w:szCs w:val="18"/>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351,000</w:t>
            </w:r>
          </w:p>
        </w:tc>
      </w:tr>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140B" w:rsidRPr="004275BA" w:rsidRDefault="004275BA">
            <w:pPr>
              <w:rPr>
                <w:rFonts w:eastAsia="Times New Roman"/>
                <w:sz w:val="18"/>
                <w:szCs w:val="18"/>
              </w:rPr>
            </w:pPr>
            <w:r w:rsidRPr="004275BA">
              <w:rPr>
                <w:rFonts w:eastAsia="Times New Roman"/>
                <w:sz w:val="18"/>
                <w:szCs w:val="18"/>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140B" w:rsidRPr="004275BA" w:rsidRDefault="004275BA">
            <w:pPr>
              <w:jc w:val="right"/>
              <w:rPr>
                <w:rFonts w:eastAsia="Times New Roman"/>
                <w:sz w:val="18"/>
                <w:szCs w:val="18"/>
              </w:rPr>
            </w:pPr>
            <w:r w:rsidRPr="004275BA">
              <w:rPr>
                <w:rFonts w:eastAsia="Times New Roman"/>
                <w:sz w:val="18"/>
                <w:szCs w:val="18"/>
                <w:u w:val="single"/>
              </w:rPr>
              <w:t>29,000</w:t>
            </w:r>
          </w:p>
        </w:tc>
      </w:tr>
      <w:tr w:rsidR="00A3140B" w:rsidRPr="004275BA">
        <w:trPr>
          <w:divId w:val="11631593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rPr>
                <w:rFonts w:eastAsia="Times New Roman"/>
                <w:sz w:val="18"/>
                <w:szCs w:val="18"/>
              </w:rPr>
            </w:pPr>
            <w:r w:rsidRPr="004275BA">
              <w:rPr>
                <w:rFonts w:eastAsia="Times New Roman"/>
                <w:sz w:val="18"/>
                <w:szCs w:val="18"/>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3140B" w:rsidRPr="004275BA" w:rsidRDefault="004275BA">
            <w:pPr>
              <w:jc w:val="right"/>
              <w:rPr>
                <w:rFonts w:eastAsia="Times New Roman"/>
                <w:sz w:val="18"/>
                <w:szCs w:val="18"/>
              </w:rPr>
            </w:pPr>
            <w:r w:rsidRPr="004275BA">
              <w:rPr>
                <w:rFonts w:eastAsia="Times New Roman"/>
                <w:sz w:val="18"/>
                <w:szCs w:val="18"/>
              </w:rPr>
              <w:t>$ 1,164,000</w:t>
            </w:r>
          </w:p>
        </w:tc>
      </w:tr>
    </w:tbl>
    <w:p w:rsidR="00A3140B" w:rsidRPr="004275BA" w:rsidRDefault="004275BA">
      <w:pPr>
        <w:spacing w:before="100" w:beforeAutospacing="1" w:after="100" w:afterAutospacing="1"/>
        <w:divId w:val="1163159352"/>
        <w:rPr>
          <w:sz w:val="18"/>
          <w:szCs w:val="18"/>
        </w:rPr>
      </w:pPr>
      <w:r w:rsidRPr="004275BA">
        <w:rPr>
          <w:sz w:val="18"/>
          <w:szCs w:val="18"/>
        </w:rPr>
        <w:t>The overall effective tax rate differs from the federal statutory tax rate of 34% due to operating losses and other deferred assets not providing benefit for income tax purposes.</w:t>
      </w:r>
    </w:p>
    <w:p w:rsidR="00A3140B" w:rsidRPr="004275BA" w:rsidRDefault="004275BA">
      <w:pPr>
        <w:pStyle w:val="NormalWeb"/>
        <w:rPr>
          <w:sz w:val="18"/>
          <w:szCs w:val="18"/>
        </w:rPr>
      </w:pPr>
      <w:r w:rsidRPr="004275BA">
        <w:rPr>
          <w:b/>
          <w:bCs/>
          <w:sz w:val="18"/>
          <w:szCs w:val="18"/>
        </w:rPr>
        <w:t>NOTE 9 - SHAREHOLDERS' EQUITY:</w:t>
      </w:r>
    </w:p>
    <w:p w:rsidR="00A3140B" w:rsidRPr="004275BA" w:rsidRDefault="004275BA">
      <w:pPr>
        <w:pStyle w:val="NormalWeb"/>
        <w:rPr>
          <w:sz w:val="18"/>
          <w:szCs w:val="18"/>
        </w:rPr>
      </w:pPr>
      <w:r w:rsidRPr="004275BA">
        <w:rPr>
          <w:sz w:val="18"/>
          <w:szCs w:val="18"/>
        </w:rPr>
        <w:t>Preferred Stock:</w:t>
      </w:r>
    </w:p>
    <w:p w:rsidR="00A3140B" w:rsidRPr="004275BA" w:rsidRDefault="004275BA">
      <w:pPr>
        <w:pStyle w:val="NormalWeb"/>
        <w:rPr>
          <w:sz w:val="18"/>
          <w:szCs w:val="18"/>
        </w:rPr>
      </w:pPr>
      <w:r w:rsidRPr="004275BA">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A3140B" w:rsidRPr="004275BA" w:rsidRDefault="004275BA">
      <w:pPr>
        <w:pStyle w:val="NormalWeb"/>
        <w:rPr>
          <w:sz w:val="18"/>
          <w:szCs w:val="18"/>
        </w:rPr>
      </w:pPr>
      <w:r w:rsidRPr="004275BA">
        <w:rPr>
          <w:sz w:val="18"/>
          <w:szCs w:val="18"/>
        </w:rPr>
        <w:t>Series 2 Convertible Preferred Stock:</w:t>
      </w:r>
    </w:p>
    <w:p w:rsidR="00A3140B" w:rsidRPr="004275BA" w:rsidRDefault="004275BA">
      <w:pPr>
        <w:pStyle w:val="NormalWeb"/>
        <w:rPr>
          <w:sz w:val="18"/>
          <w:szCs w:val="18"/>
        </w:rPr>
      </w:pPr>
      <w:r w:rsidRPr="004275BA">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A3140B" w:rsidRPr="004275BA" w:rsidRDefault="004275BA">
      <w:pPr>
        <w:pStyle w:val="NormalWeb"/>
        <w:rPr>
          <w:sz w:val="18"/>
          <w:szCs w:val="18"/>
        </w:rPr>
      </w:pPr>
      <w:r w:rsidRPr="004275BA">
        <w:rPr>
          <w:sz w:val="18"/>
          <w:szCs w:val="18"/>
        </w:rPr>
        <w:t>During November 1997, 172,000 shares of Series 2 preferred stock were converted into 344,000 shares of the Company's common stock.</w:t>
      </w:r>
    </w:p>
    <w:p w:rsidR="00A3140B" w:rsidRPr="004275BA" w:rsidRDefault="004275BA">
      <w:pPr>
        <w:pStyle w:val="NormalWeb"/>
        <w:rPr>
          <w:sz w:val="18"/>
          <w:szCs w:val="18"/>
        </w:rPr>
      </w:pPr>
      <w:r w:rsidRPr="004275BA">
        <w:rPr>
          <w:sz w:val="18"/>
          <w:szCs w:val="18"/>
        </w:rPr>
        <w:t>Series 4 Convertible Preferred Stock:</w:t>
      </w:r>
    </w:p>
    <w:p w:rsidR="00A3140B" w:rsidRPr="004275BA" w:rsidRDefault="004275BA">
      <w:pPr>
        <w:pStyle w:val="NormalWeb"/>
        <w:rPr>
          <w:sz w:val="18"/>
          <w:szCs w:val="18"/>
        </w:rPr>
      </w:pPr>
      <w:r w:rsidRPr="004275BA">
        <w:rPr>
          <w:sz w:val="18"/>
          <w:szCs w:val="18"/>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A3140B" w:rsidRPr="004275BA" w:rsidRDefault="004275BA">
      <w:pPr>
        <w:pStyle w:val="NormalWeb"/>
        <w:rPr>
          <w:sz w:val="18"/>
          <w:szCs w:val="18"/>
        </w:rPr>
      </w:pPr>
      <w:r w:rsidRPr="004275BA">
        <w:rPr>
          <w:b/>
          <w:bCs/>
          <w:sz w:val="18"/>
          <w:szCs w:val="18"/>
        </w:rPr>
        <w:t>ITEM 2: MANAGEMENT'S DISCUSSION AND ANALYSIS OF FINANCIAL CONDITION AND RESULTS OF OPERATIONS.</w:t>
      </w:r>
    </w:p>
    <w:p w:rsidR="00A3140B" w:rsidRPr="004275BA" w:rsidRDefault="004275BA">
      <w:pPr>
        <w:pStyle w:val="NormalWeb"/>
        <w:rPr>
          <w:sz w:val="18"/>
          <w:szCs w:val="18"/>
        </w:rPr>
      </w:pPr>
      <w:r w:rsidRPr="004275BA">
        <w:rPr>
          <w:sz w:val="18"/>
          <w:szCs w:val="18"/>
        </w:rPr>
        <w:t>The following should be read in conjunction with our Consolidated Financial Statements and the notes thereto included in the Financial Statements."</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1" style="width:0;height:3pt" o:hralign="center" o:hrstd="t" o:hrnoshade="t" o:hr="t" fillcolor="black" stroked="f"/>
        </w:pict>
      </w:r>
    </w:p>
    <w:p w:rsidR="004275BA" w:rsidRDefault="004275BA">
      <w:pPr>
        <w:pStyle w:val="NormalWeb"/>
        <w:rPr>
          <w:sz w:val="18"/>
          <w:szCs w:val="18"/>
        </w:rPr>
      </w:pPr>
    </w:p>
    <w:p w:rsidR="004275BA" w:rsidRDefault="004275BA">
      <w:pPr>
        <w:pStyle w:val="NormalWeb"/>
        <w:rPr>
          <w:sz w:val="18"/>
          <w:szCs w:val="18"/>
        </w:rPr>
      </w:pPr>
    </w:p>
    <w:p w:rsidR="00A3140B" w:rsidRPr="004275BA" w:rsidRDefault="004275BA">
      <w:pPr>
        <w:pStyle w:val="NormalWeb"/>
        <w:rPr>
          <w:sz w:val="18"/>
          <w:szCs w:val="18"/>
        </w:rPr>
      </w:pPr>
      <w:r w:rsidRPr="004275BA">
        <w:rPr>
          <w:sz w:val="18"/>
          <w:szCs w:val="18"/>
        </w:rPr>
        <w:lastRenderedPageBreak/>
        <w:t xml:space="preserve">FORWARD LOOKING STATEMENTS: </w:t>
      </w:r>
    </w:p>
    <w:p w:rsidR="00A3140B" w:rsidRPr="004275BA" w:rsidRDefault="004275BA">
      <w:pPr>
        <w:pStyle w:val="NormalWeb"/>
        <w:rPr>
          <w:sz w:val="18"/>
          <w:szCs w:val="18"/>
        </w:rPr>
      </w:pPr>
      <w:r w:rsidRPr="004275BA">
        <w:rPr>
          <w:sz w:val="18"/>
          <w:szCs w:val="18"/>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A3140B" w:rsidRPr="004275BA" w:rsidRDefault="004275BA">
      <w:pPr>
        <w:pStyle w:val="NormalWeb"/>
        <w:rPr>
          <w:sz w:val="18"/>
          <w:szCs w:val="18"/>
        </w:rPr>
      </w:pPr>
      <w:r w:rsidRPr="004275BA">
        <w:rPr>
          <w:sz w:val="18"/>
          <w:szCs w:val="18"/>
        </w:rPr>
        <w:t>CRITICAL ACCOUNTING POLICIES AND ESTIMATES</w:t>
      </w:r>
    </w:p>
    <w:p w:rsidR="00A3140B" w:rsidRPr="004275BA" w:rsidRDefault="004275BA">
      <w:pPr>
        <w:rPr>
          <w:rFonts w:eastAsia="Times New Roman"/>
          <w:sz w:val="18"/>
          <w:szCs w:val="18"/>
        </w:rPr>
      </w:pPr>
      <w:r w:rsidRPr="004275BA">
        <w:rPr>
          <w:rFonts w:eastAsia="Times New Roman"/>
          <w:sz w:val="18"/>
          <w:szCs w:val="18"/>
        </w:rPr>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A3140B" w:rsidRPr="004275BA" w:rsidRDefault="004275BA">
      <w:pPr>
        <w:pStyle w:val="NormalWeb"/>
        <w:rPr>
          <w:sz w:val="18"/>
          <w:szCs w:val="18"/>
        </w:rPr>
      </w:pPr>
      <w:r w:rsidRPr="004275BA">
        <w:rPr>
          <w:i/>
          <w:iCs/>
          <w:sz w:val="18"/>
          <w:szCs w:val="18"/>
        </w:rPr>
        <w:t xml:space="preserve">Recognition of rental income. </w:t>
      </w:r>
      <w:r w:rsidRPr="004275BA">
        <w:rPr>
          <w:sz w:val="18"/>
          <w:szCs w:val="18"/>
        </w:rPr>
        <w:t>Rental income for commercial property leases is recognized on a straight-line basis over the respective lease terms.</w:t>
      </w:r>
    </w:p>
    <w:p w:rsidR="00A3140B" w:rsidRPr="004275BA" w:rsidRDefault="004275BA">
      <w:pPr>
        <w:pStyle w:val="NormalWeb"/>
        <w:rPr>
          <w:sz w:val="18"/>
          <w:szCs w:val="18"/>
        </w:rPr>
      </w:pPr>
      <w:r w:rsidRPr="004275BA">
        <w:rPr>
          <w:sz w:val="18"/>
          <w:szCs w:val="18"/>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A3140B" w:rsidRPr="004275BA" w:rsidRDefault="004275BA">
      <w:pPr>
        <w:pStyle w:val="NormalWeb"/>
        <w:rPr>
          <w:sz w:val="18"/>
          <w:szCs w:val="18"/>
        </w:rPr>
      </w:pPr>
      <w:r w:rsidRPr="004275BA">
        <w:rPr>
          <w:i/>
          <w:iCs/>
          <w:sz w:val="18"/>
          <w:szCs w:val="18"/>
        </w:rPr>
        <w:t xml:space="preserve">Revenue recognition on the sale of real estate. </w:t>
      </w:r>
    </w:p>
    <w:p w:rsidR="00A3140B" w:rsidRPr="004275BA" w:rsidRDefault="004275BA">
      <w:pPr>
        <w:pStyle w:val="NormalWeb"/>
        <w:rPr>
          <w:sz w:val="18"/>
          <w:szCs w:val="18"/>
        </w:rPr>
      </w:pPr>
      <w:r w:rsidRPr="004275BA">
        <w:rPr>
          <w:sz w:val="18"/>
          <w:szCs w:val="18"/>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A3140B" w:rsidRPr="004275BA" w:rsidRDefault="004275BA">
      <w:pPr>
        <w:pStyle w:val="NormalWeb"/>
        <w:rPr>
          <w:sz w:val="18"/>
          <w:szCs w:val="18"/>
        </w:rPr>
      </w:pPr>
      <w:r w:rsidRPr="004275BA">
        <w:rPr>
          <w:sz w:val="18"/>
          <w:szCs w:val="18"/>
        </w:rPr>
        <w:t>Interest Recognition on Notes Receivable</w:t>
      </w:r>
    </w:p>
    <w:p w:rsidR="00A3140B" w:rsidRPr="004275BA" w:rsidRDefault="004275BA">
      <w:pPr>
        <w:pStyle w:val="NormalWeb"/>
        <w:rPr>
          <w:sz w:val="18"/>
          <w:szCs w:val="18"/>
        </w:rPr>
      </w:pPr>
      <w:r w:rsidRPr="004275BA">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A3140B" w:rsidRPr="004275BA" w:rsidRDefault="004275BA">
      <w:pPr>
        <w:pStyle w:val="NormalWeb"/>
        <w:rPr>
          <w:sz w:val="18"/>
          <w:szCs w:val="18"/>
        </w:rPr>
      </w:pPr>
      <w:r w:rsidRPr="004275BA">
        <w:rPr>
          <w:i/>
          <w:iCs/>
          <w:sz w:val="18"/>
          <w:szCs w:val="18"/>
        </w:rPr>
        <w:t>Foreign currency translation:</w:t>
      </w:r>
    </w:p>
    <w:p w:rsidR="00A3140B" w:rsidRPr="004275BA" w:rsidRDefault="004275BA">
      <w:pPr>
        <w:pStyle w:val="NormalWeb"/>
        <w:rPr>
          <w:sz w:val="18"/>
          <w:szCs w:val="18"/>
        </w:rPr>
      </w:pPr>
      <w:r w:rsidRPr="004275BA">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A3140B" w:rsidRPr="004275BA" w:rsidRDefault="004275BA">
      <w:pPr>
        <w:pStyle w:val="NormalWeb"/>
        <w:rPr>
          <w:sz w:val="18"/>
          <w:szCs w:val="18"/>
        </w:rPr>
      </w:pPr>
      <w:r w:rsidRPr="004275BA">
        <w:rPr>
          <w:i/>
          <w:iCs/>
          <w:sz w:val="18"/>
          <w:szCs w:val="18"/>
        </w:rPr>
        <w:t>Income Taxes:</w:t>
      </w:r>
    </w:p>
    <w:p w:rsidR="00A3140B" w:rsidRPr="004275BA" w:rsidRDefault="004275BA">
      <w:pPr>
        <w:pStyle w:val="NormalWeb"/>
        <w:rPr>
          <w:sz w:val="18"/>
          <w:szCs w:val="18"/>
        </w:rPr>
      </w:pPr>
      <w:r w:rsidRPr="004275BA">
        <w:rPr>
          <w:sz w:val="18"/>
          <w:szCs w:val="18"/>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A3140B" w:rsidRPr="004275BA" w:rsidRDefault="004275BA">
      <w:pPr>
        <w:pStyle w:val="NormalWeb"/>
        <w:rPr>
          <w:sz w:val="18"/>
          <w:szCs w:val="18"/>
        </w:rPr>
      </w:pPr>
      <w:r w:rsidRPr="004275BA">
        <w:rPr>
          <w:sz w:val="18"/>
          <w:szCs w:val="18"/>
        </w:rPr>
        <w:t>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2" style="width:0;height:3pt" o:hralign="center" o:hrstd="t" o:hrnoshade="t" o:hr="t" fillcolor="black" stroked="f"/>
        </w:pict>
      </w:r>
    </w:p>
    <w:p w:rsidR="00A3140B" w:rsidRPr="004275BA" w:rsidRDefault="004275BA">
      <w:pPr>
        <w:pStyle w:val="NormalWeb"/>
        <w:rPr>
          <w:sz w:val="18"/>
          <w:szCs w:val="18"/>
        </w:rPr>
      </w:pPr>
      <w:r w:rsidRPr="004275BA">
        <w:rPr>
          <w:i/>
          <w:iCs/>
          <w:sz w:val="18"/>
          <w:szCs w:val="18"/>
        </w:rPr>
        <w:lastRenderedPageBreak/>
        <w:t>Net Earnings per Share:</w:t>
      </w:r>
    </w:p>
    <w:p w:rsidR="00A3140B" w:rsidRPr="004275BA" w:rsidRDefault="004275BA">
      <w:pPr>
        <w:pStyle w:val="NormalWeb"/>
        <w:rPr>
          <w:sz w:val="18"/>
          <w:szCs w:val="18"/>
        </w:rPr>
      </w:pPr>
      <w:r w:rsidRPr="004275BA">
        <w:rPr>
          <w:sz w:val="18"/>
          <w:szCs w:val="18"/>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A3140B" w:rsidRPr="004275BA" w:rsidRDefault="004275BA">
      <w:pPr>
        <w:pStyle w:val="NormalWeb"/>
        <w:rPr>
          <w:sz w:val="18"/>
          <w:szCs w:val="18"/>
        </w:rPr>
      </w:pPr>
      <w:r w:rsidRPr="004275BA">
        <w:rPr>
          <w:i/>
          <w:iCs/>
          <w:sz w:val="18"/>
          <w:szCs w:val="18"/>
        </w:rPr>
        <w:t>Cash and Cash Equivalents:</w:t>
      </w:r>
    </w:p>
    <w:p w:rsidR="00A3140B" w:rsidRPr="004275BA" w:rsidRDefault="004275BA">
      <w:pPr>
        <w:pStyle w:val="NormalWeb"/>
        <w:rPr>
          <w:sz w:val="18"/>
          <w:szCs w:val="18"/>
        </w:rPr>
      </w:pPr>
      <w:r w:rsidRPr="004275BA">
        <w:rPr>
          <w:sz w:val="18"/>
          <w:szCs w:val="18"/>
        </w:rPr>
        <w:t>For purposes of the statement of cash flows, the Company considers all highly-liquid investments purchased with original maturities of three months or less to be cash equivalents.</w:t>
      </w:r>
    </w:p>
    <w:p w:rsidR="00A3140B" w:rsidRPr="004275BA" w:rsidRDefault="004275BA">
      <w:pPr>
        <w:pStyle w:val="NormalWeb"/>
        <w:rPr>
          <w:sz w:val="18"/>
          <w:szCs w:val="18"/>
        </w:rPr>
      </w:pPr>
      <w:r w:rsidRPr="004275BA">
        <w:rPr>
          <w:sz w:val="18"/>
          <w:szCs w:val="18"/>
        </w:rPr>
        <w:t>The Company maintains its cash in bank deposit accounts which, at December 31, 2013 did not exceed federally insured limits. The Company has not experienced any losses in such accounts and believes that it is not exposed to any significant credit risk on such amounts.</w:t>
      </w:r>
    </w:p>
    <w:p w:rsidR="00A3140B" w:rsidRPr="004275BA" w:rsidRDefault="004275BA">
      <w:pPr>
        <w:pStyle w:val="NormalWeb"/>
        <w:rPr>
          <w:sz w:val="18"/>
          <w:szCs w:val="18"/>
        </w:rPr>
      </w:pPr>
      <w:r w:rsidRPr="004275BA">
        <w:rPr>
          <w:i/>
          <w:iCs/>
          <w:sz w:val="18"/>
          <w:szCs w:val="18"/>
        </w:rPr>
        <w:t>Estimates:</w:t>
      </w:r>
    </w:p>
    <w:p w:rsidR="00A3140B" w:rsidRPr="004275BA" w:rsidRDefault="004275BA">
      <w:pPr>
        <w:pStyle w:val="NormalWeb"/>
        <w:rPr>
          <w:sz w:val="18"/>
          <w:szCs w:val="18"/>
        </w:rPr>
      </w:pPr>
      <w:r w:rsidRPr="004275BA">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A3140B" w:rsidRPr="004275BA" w:rsidRDefault="004275BA">
      <w:pPr>
        <w:pStyle w:val="NormalWeb"/>
        <w:rPr>
          <w:sz w:val="18"/>
          <w:szCs w:val="18"/>
        </w:rPr>
      </w:pPr>
      <w:r w:rsidRPr="004275BA">
        <w:rPr>
          <w:i/>
          <w:iCs/>
          <w:sz w:val="18"/>
          <w:szCs w:val="18"/>
        </w:rPr>
        <w:t>Concentrations of Credit Risk</w:t>
      </w:r>
      <w:r w:rsidRPr="004275BA">
        <w:rPr>
          <w:sz w:val="18"/>
          <w:szCs w:val="18"/>
        </w:rPr>
        <w:t>:</w:t>
      </w:r>
    </w:p>
    <w:p w:rsidR="00A3140B" w:rsidRPr="004275BA" w:rsidRDefault="004275BA">
      <w:pPr>
        <w:pStyle w:val="NormalWeb"/>
        <w:rPr>
          <w:sz w:val="18"/>
          <w:szCs w:val="18"/>
        </w:rPr>
      </w:pPr>
      <w:r w:rsidRPr="004275BA">
        <w:rPr>
          <w:sz w:val="18"/>
          <w:szCs w:val="18"/>
        </w:rPr>
        <w:t>Financial instruments that potentially subject the Company to major credit risk consist principally of a single subsidiary of Anton Nielsen Vojens ApS and its customer concentration.</w:t>
      </w:r>
    </w:p>
    <w:p w:rsidR="00A3140B" w:rsidRPr="004275BA" w:rsidRDefault="004275BA">
      <w:pPr>
        <w:pStyle w:val="NormalWeb"/>
        <w:rPr>
          <w:sz w:val="18"/>
          <w:szCs w:val="18"/>
        </w:rPr>
      </w:pPr>
      <w:r w:rsidRPr="004275BA">
        <w:rPr>
          <w:i/>
          <w:iCs/>
          <w:sz w:val="18"/>
          <w:szCs w:val="18"/>
        </w:rPr>
        <w:t>Recently Issued Accounting Standards</w:t>
      </w:r>
    </w:p>
    <w:p w:rsidR="00A3140B" w:rsidRPr="004275BA" w:rsidRDefault="004275BA">
      <w:pPr>
        <w:pStyle w:val="NormalWeb"/>
        <w:rPr>
          <w:sz w:val="18"/>
          <w:szCs w:val="18"/>
        </w:rPr>
      </w:pPr>
      <w:r w:rsidRPr="004275BA">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A3140B" w:rsidRPr="004275BA" w:rsidRDefault="004275BA">
      <w:pPr>
        <w:pStyle w:val="NormalWeb"/>
        <w:rPr>
          <w:sz w:val="18"/>
          <w:szCs w:val="18"/>
        </w:rPr>
      </w:pPr>
      <w:r w:rsidRPr="004275BA">
        <w:rPr>
          <w:sz w:val="18"/>
          <w:szCs w:val="18"/>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A3140B" w:rsidRPr="004275BA" w:rsidRDefault="004275BA">
      <w:pPr>
        <w:pStyle w:val="NormalWeb"/>
        <w:spacing w:after="240" w:afterAutospacing="0"/>
        <w:rPr>
          <w:sz w:val="18"/>
          <w:szCs w:val="18"/>
        </w:rPr>
      </w:pPr>
      <w:r w:rsidRPr="004275BA">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
    <w:p w:rsidR="00A3140B" w:rsidRPr="004275BA" w:rsidRDefault="004275BA">
      <w:pPr>
        <w:pStyle w:val="NormalWeb"/>
        <w:rPr>
          <w:sz w:val="18"/>
          <w:szCs w:val="18"/>
        </w:rPr>
      </w:pPr>
      <w:r w:rsidRPr="004275BA">
        <w:rPr>
          <w:sz w:val="18"/>
          <w:szCs w:val="18"/>
        </w:rP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A3140B" w:rsidRPr="004275BA" w:rsidRDefault="004275BA">
      <w:pPr>
        <w:pStyle w:val="NormalWeb"/>
        <w:rPr>
          <w:sz w:val="18"/>
          <w:szCs w:val="18"/>
        </w:rPr>
      </w:pPr>
      <w:r w:rsidRPr="004275BA">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3" style="width:0;height:3pt" o:hralign="center" o:hrstd="t" o:hrnoshade="t" o:hr="t" fillcolor="black" stroked="f"/>
        </w:pict>
      </w:r>
    </w:p>
    <w:p w:rsidR="00A3140B" w:rsidRPr="004275BA" w:rsidRDefault="004275BA">
      <w:pPr>
        <w:pStyle w:val="NormalWeb"/>
        <w:rPr>
          <w:sz w:val="18"/>
          <w:szCs w:val="18"/>
        </w:rPr>
      </w:pPr>
      <w:r w:rsidRPr="004275BA">
        <w:rPr>
          <w:sz w:val="18"/>
          <w:szCs w:val="18"/>
        </w:rPr>
        <w:lastRenderedPageBreak/>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w:t>
      </w:r>
      <w:r>
        <w:rPr>
          <w:sz w:val="18"/>
          <w:szCs w:val="18"/>
        </w:rPr>
        <w:t xml:space="preserve"> </w:t>
      </w:r>
      <w:r w:rsidRPr="004275BA">
        <w:rPr>
          <w:sz w:val="18"/>
          <w:szCs w:val="18"/>
        </w:rPr>
        <w:t>of a materiality assessment. SAB 108 was effective for fiscal years ending after November 15, 2006. The adoption of SAB 108 did not have an impact on the Company’s consolidated financial statements.</w:t>
      </w:r>
    </w:p>
    <w:p w:rsidR="00A3140B" w:rsidRPr="004275BA" w:rsidRDefault="004275BA">
      <w:pPr>
        <w:pStyle w:val="NormalWeb"/>
        <w:rPr>
          <w:sz w:val="18"/>
          <w:szCs w:val="18"/>
        </w:rPr>
      </w:pPr>
      <w:r w:rsidRPr="004275BA">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A3140B" w:rsidRPr="004275BA" w:rsidRDefault="004275BA">
      <w:pPr>
        <w:pStyle w:val="NormalWeb"/>
        <w:rPr>
          <w:sz w:val="18"/>
          <w:szCs w:val="18"/>
        </w:rPr>
      </w:pPr>
      <w:r w:rsidRPr="004275BA">
        <w:rPr>
          <w:sz w:val="18"/>
          <w:szCs w:val="18"/>
        </w:rPr>
        <w:t>RESULTS OF OPERATIONS FOR THE THREE MONTH PERIOD ENDING DECEMBER 31, 2013 COMPARED TO 2012</w:t>
      </w:r>
    </w:p>
    <w:p w:rsidR="00A3140B" w:rsidRPr="004275BA" w:rsidRDefault="004275BA">
      <w:pPr>
        <w:pStyle w:val="NormalWeb"/>
        <w:rPr>
          <w:sz w:val="18"/>
          <w:szCs w:val="18"/>
        </w:rPr>
      </w:pPr>
      <w:r w:rsidRPr="004275BA">
        <w:rPr>
          <w:i/>
          <w:iCs/>
          <w:sz w:val="18"/>
          <w:szCs w:val="18"/>
        </w:rPr>
        <w:t>Revenues:</w:t>
      </w:r>
      <w:r w:rsidRPr="004275BA">
        <w:rPr>
          <w:sz w:val="18"/>
          <w:szCs w:val="18"/>
        </w:rPr>
        <w:t xml:space="preserve"> Revenues from operations for the three month period ending December 31, 2013 and December 31, 2012 were $8,555 and $10,276 respectively . They were attributable to rental payments for the commercial real estate held by Anton Nielsen Vojens and the fluctuation was due to currency value changes.</w:t>
      </w:r>
    </w:p>
    <w:p w:rsidR="00A3140B" w:rsidRPr="004275BA" w:rsidRDefault="004275BA">
      <w:pPr>
        <w:pStyle w:val="NormalWeb"/>
        <w:rPr>
          <w:sz w:val="18"/>
          <w:szCs w:val="18"/>
        </w:rPr>
      </w:pPr>
      <w:r w:rsidRPr="004275BA">
        <w:rPr>
          <w:i/>
          <w:iCs/>
          <w:sz w:val="18"/>
          <w:szCs w:val="18"/>
        </w:rPr>
        <w:t xml:space="preserve">Selling, general and administrative expenses: </w:t>
      </w:r>
      <w:r w:rsidRPr="004275BA">
        <w:rPr>
          <w:sz w:val="18"/>
          <w:szCs w:val="18"/>
        </w:rPr>
        <w:t>SG&amp;A expenses for the three month period ending December 31, 2013 and December 31, 2012 were $41,179 and $4,514 respectively. The expenses are attributable to ANV's operations and the increase in 2013 is attributable to the 2011 tax liability.</w:t>
      </w:r>
    </w:p>
    <w:p w:rsidR="00A3140B" w:rsidRPr="004275BA" w:rsidRDefault="004275BA">
      <w:pPr>
        <w:pStyle w:val="NormalWeb"/>
        <w:rPr>
          <w:sz w:val="18"/>
          <w:szCs w:val="18"/>
        </w:rPr>
      </w:pPr>
      <w:r w:rsidRPr="004275BA">
        <w:rPr>
          <w:i/>
          <w:iCs/>
          <w:sz w:val="18"/>
          <w:szCs w:val="18"/>
        </w:rPr>
        <w:t xml:space="preserve">Interest expense: </w:t>
      </w:r>
      <w:r w:rsidRPr="004275BA">
        <w:rPr>
          <w:sz w:val="18"/>
          <w:szCs w:val="18"/>
        </w:rPr>
        <w:t>Interest expense for the three month period ending December 31, 2013 and December 31, 2012 was $1,053 and $1,157 respectively. Interest expenses flucuations are primarily due to the foreign currency adjustments of the US Dollar.</w:t>
      </w:r>
    </w:p>
    <w:p w:rsidR="00A3140B" w:rsidRPr="004275BA" w:rsidRDefault="004275BA">
      <w:pPr>
        <w:pStyle w:val="NormalWeb"/>
        <w:rPr>
          <w:sz w:val="18"/>
          <w:szCs w:val="18"/>
        </w:rPr>
      </w:pPr>
      <w:r w:rsidRPr="004275BA">
        <w:rPr>
          <w:i/>
          <w:iCs/>
          <w:sz w:val="18"/>
          <w:szCs w:val="18"/>
        </w:rPr>
        <w:t>Other income (expense), net:</w:t>
      </w:r>
      <w:r w:rsidRPr="004275BA">
        <w:rPr>
          <w:sz w:val="18"/>
          <w:szCs w:val="18"/>
        </w:rPr>
        <w:t xml:space="preserve"> Other income (expense) net for the three month period ending December 31, 2013 and December 31, 2012 was $0. Other income is completely associated with interest income of cash deposits.</w:t>
      </w:r>
    </w:p>
    <w:p w:rsidR="00A3140B" w:rsidRPr="004275BA" w:rsidRDefault="004275BA">
      <w:pPr>
        <w:pStyle w:val="NormalWeb"/>
        <w:rPr>
          <w:sz w:val="18"/>
          <w:szCs w:val="18"/>
        </w:rPr>
      </w:pPr>
      <w:r w:rsidRPr="004275BA">
        <w:rPr>
          <w:i/>
          <w:iCs/>
          <w:sz w:val="18"/>
          <w:szCs w:val="18"/>
        </w:rPr>
        <w:t>Financing Activities (expense), net:</w:t>
      </w:r>
      <w:r w:rsidRPr="004275BA">
        <w:rPr>
          <w:sz w:val="18"/>
          <w:szCs w:val="18"/>
        </w:rPr>
        <w:t xml:space="preserve"> During the three month period ending December 31, 2013 the Company's subsidiary took a loan from a Bank for 1,132,000 DKK ($195,172 USD). The loan is a 10 year term loan with a 2% interest with quarterly payments due of 37,593 DKK ($6,482 USD).</w:t>
      </w:r>
    </w:p>
    <w:p w:rsidR="00A3140B" w:rsidRPr="004275BA" w:rsidRDefault="004275BA">
      <w:pPr>
        <w:pStyle w:val="NormalWeb"/>
        <w:rPr>
          <w:sz w:val="18"/>
          <w:szCs w:val="18"/>
        </w:rPr>
      </w:pPr>
      <w:r w:rsidRPr="004275BA">
        <w:rPr>
          <w:i/>
          <w:iCs/>
          <w:sz w:val="18"/>
          <w:szCs w:val="18"/>
        </w:rPr>
        <w:t xml:space="preserve">Net income (loss) attributed to common stockholders: </w:t>
      </w:r>
      <w:r w:rsidRPr="004275BA">
        <w:rPr>
          <w:sz w:val="18"/>
          <w:szCs w:val="18"/>
        </w:rPr>
        <w:t>Net loss and income for the three month period ending December 31, 2013 and December 31, 2012 attributed to common stockholders was $(41,249) and $(7,671), or $(0.0009) and $0.000 per share respectively.</w:t>
      </w:r>
    </w:p>
    <w:p w:rsidR="00A3140B" w:rsidRPr="004275BA" w:rsidRDefault="004275BA">
      <w:pPr>
        <w:pStyle w:val="NormalWeb"/>
        <w:rPr>
          <w:sz w:val="18"/>
          <w:szCs w:val="18"/>
        </w:rPr>
      </w:pPr>
      <w:r w:rsidRPr="004275BA">
        <w:rPr>
          <w:i/>
          <w:iCs/>
          <w:sz w:val="18"/>
          <w:szCs w:val="18"/>
        </w:rPr>
        <w:t xml:space="preserve">Liquidity and capital resources: </w:t>
      </w:r>
      <w:r w:rsidRPr="004275BA">
        <w:rPr>
          <w:sz w:val="18"/>
          <w:szCs w:val="18"/>
        </w:rPr>
        <w:t>As of December 31, 2013 the Company had $92,294 in cash and cash equivalents and a working capital of $231,498 as compared to December 31, 2012 the Company had $2,277 in cash and cash equivalents and a working capital of $252,193. The change in cash is primarily due to financing activities and the payments made on the debt of the acquisition of ANV and normal operations. The decrease in the working capital is primarily related operations of ANV real estate.</w:t>
      </w:r>
    </w:p>
    <w:p w:rsidR="00A3140B" w:rsidRPr="004275BA" w:rsidRDefault="004275BA">
      <w:pPr>
        <w:pStyle w:val="NormalWeb"/>
        <w:rPr>
          <w:sz w:val="18"/>
          <w:szCs w:val="18"/>
        </w:rPr>
      </w:pPr>
      <w:r w:rsidRPr="004275BA">
        <w:rPr>
          <w:sz w:val="18"/>
          <w:szCs w:val="18"/>
        </w:rPr>
        <w:t>Net cash provided (used) by operating activities for three month period ending December 31, 2013 was $(78,503) compared to December 31, 2012 was $2,558 . The net cash used by operating activities was primarily due to the operations of ANV and its settlement of the 2011 tax liability.</w:t>
      </w:r>
    </w:p>
    <w:p w:rsidR="00A3140B" w:rsidRPr="004275BA" w:rsidRDefault="004275BA">
      <w:pPr>
        <w:pStyle w:val="NormalWeb"/>
        <w:rPr>
          <w:sz w:val="18"/>
          <w:szCs w:val="18"/>
        </w:rPr>
      </w:pPr>
      <w:r w:rsidRPr="004275BA">
        <w:rPr>
          <w:sz w:val="18"/>
          <w:szCs w:val="18"/>
        </w:rPr>
        <w:t>OFF BALANCE SHEET ARRANGEMENTS</w:t>
      </w:r>
    </w:p>
    <w:p w:rsidR="00A3140B" w:rsidRPr="004275BA" w:rsidRDefault="004275BA">
      <w:pPr>
        <w:pStyle w:val="NormalWeb"/>
        <w:rPr>
          <w:sz w:val="18"/>
          <w:szCs w:val="18"/>
        </w:rPr>
      </w:pPr>
      <w:r w:rsidRPr="004275BA">
        <w:rPr>
          <w:sz w:val="18"/>
          <w:szCs w:val="18"/>
        </w:rPr>
        <w:t>We do not currently have any off balance sheet arrangements.</w:t>
      </w:r>
    </w:p>
    <w:p w:rsidR="00A3140B" w:rsidRPr="004275BA" w:rsidRDefault="004275BA">
      <w:pPr>
        <w:pStyle w:val="NormalWeb"/>
        <w:rPr>
          <w:sz w:val="18"/>
          <w:szCs w:val="18"/>
        </w:rPr>
      </w:pPr>
      <w:r w:rsidRPr="004275BA">
        <w:rPr>
          <w:sz w:val="18"/>
          <w:szCs w:val="18"/>
        </w:rPr>
        <w:t>ACQUISITION EFFORTS:</w:t>
      </w:r>
    </w:p>
    <w:p w:rsidR="00A3140B" w:rsidRPr="004275BA" w:rsidRDefault="004275BA">
      <w:pPr>
        <w:pStyle w:val="NormalWeb"/>
        <w:rPr>
          <w:sz w:val="18"/>
          <w:szCs w:val="18"/>
        </w:rPr>
      </w:pPr>
      <w:r w:rsidRPr="004275BA">
        <w:rPr>
          <w:sz w:val="18"/>
          <w:szCs w:val="18"/>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A3140B" w:rsidRPr="004275BA" w:rsidRDefault="004275BA">
      <w:pPr>
        <w:pStyle w:val="NormalWeb"/>
        <w:rPr>
          <w:sz w:val="18"/>
          <w:szCs w:val="18"/>
        </w:rPr>
      </w:pPr>
      <w:r w:rsidRPr="004275BA">
        <w:rPr>
          <w:sz w:val="18"/>
          <w:szCs w:val="18"/>
        </w:rPr>
        <w:t>HISTORICAL OPERATIONS:</w:t>
      </w:r>
    </w:p>
    <w:p w:rsidR="00A3140B" w:rsidRPr="004275BA" w:rsidRDefault="004275BA">
      <w:pPr>
        <w:pStyle w:val="NormalWeb"/>
        <w:rPr>
          <w:sz w:val="18"/>
          <w:szCs w:val="18"/>
        </w:rPr>
      </w:pPr>
      <w:r w:rsidRPr="004275BA">
        <w:rPr>
          <w:sz w:val="18"/>
          <w:szCs w:val="18"/>
        </w:rPr>
        <w:t>On March 9, 1998, pursuant to an Agreement for Purchase and Sale of Specified Business Assets ("Purchase Agreement"), a Promissory Note ("Note"),and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4" style="width:0;height:3pt" o:hralign="center" o:hrstd="t" o:hrnoshade="t" o:hr="t" fillcolor="black" stroked="f"/>
        </w:pict>
      </w:r>
    </w:p>
    <w:p w:rsidR="00A3140B" w:rsidRPr="004275BA" w:rsidRDefault="004275BA">
      <w:pPr>
        <w:pStyle w:val="NormalWeb"/>
        <w:rPr>
          <w:sz w:val="18"/>
          <w:szCs w:val="18"/>
        </w:rPr>
      </w:pPr>
      <w:r w:rsidRPr="004275BA">
        <w:rPr>
          <w:sz w:val="18"/>
          <w:szCs w:val="18"/>
        </w:rPr>
        <w:lastRenderedPageBreak/>
        <w:t xml:space="preserve">Pursuant to an employment agreement dated March 09, 1998 between the Company and John Teuber ("Employment Agreement"), on September 04, 1998 the Company terminated John Teuber for cause without relinquishing any of its rights or remedies. </w:t>
      </w:r>
    </w:p>
    <w:p w:rsidR="00A3140B" w:rsidRPr="004275BA" w:rsidRDefault="004275BA">
      <w:pPr>
        <w:pStyle w:val="NormalWeb"/>
        <w:rPr>
          <w:sz w:val="18"/>
          <w:szCs w:val="18"/>
        </w:rPr>
      </w:pPr>
      <w:r w:rsidRPr="004275BA">
        <w:rPr>
          <w:sz w:val="18"/>
          <w:szCs w:val="18"/>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A3140B" w:rsidRPr="004275BA" w:rsidRDefault="004275BA">
      <w:pPr>
        <w:pStyle w:val="NormalWeb"/>
        <w:rPr>
          <w:sz w:val="18"/>
          <w:szCs w:val="18"/>
        </w:rPr>
      </w:pPr>
      <w:r w:rsidRPr="004275BA">
        <w:rPr>
          <w:sz w:val="18"/>
          <w:szCs w:val="18"/>
        </w:rPr>
        <w:t xml:space="preserve">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06,1998 in Santa Clarita for its CA location. Currently, this is the only California location of the Company. </w:t>
      </w:r>
    </w:p>
    <w:p w:rsidR="00A3140B" w:rsidRPr="004275BA" w:rsidRDefault="004275BA">
      <w:pPr>
        <w:pStyle w:val="NormalWeb"/>
        <w:rPr>
          <w:sz w:val="18"/>
          <w:szCs w:val="18"/>
        </w:rPr>
      </w:pPr>
      <w:r w:rsidRPr="004275BA">
        <w:rPr>
          <w:sz w:val="18"/>
          <w:szCs w:val="18"/>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A3140B" w:rsidRPr="004275BA" w:rsidRDefault="004275BA">
      <w:pPr>
        <w:pStyle w:val="NormalWeb"/>
        <w:rPr>
          <w:sz w:val="18"/>
          <w:szCs w:val="18"/>
        </w:rPr>
      </w:pPr>
      <w:r w:rsidRPr="004275BA">
        <w:rPr>
          <w:sz w:val="18"/>
          <w:szCs w:val="18"/>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A3140B" w:rsidRPr="004275BA" w:rsidRDefault="004275BA">
      <w:pPr>
        <w:pStyle w:val="NormalWeb"/>
        <w:rPr>
          <w:sz w:val="18"/>
          <w:szCs w:val="18"/>
        </w:rPr>
      </w:pPr>
      <w:r w:rsidRPr="004275BA">
        <w:rPr>
          <w:sz w:val="18"/>
          <w:szCs w:val="18"/>
        </w:rPr>
        <w:t xml:space="preserve">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w:t>
      </w:r>
    </w:p>
    <w:p w:rsidR="00A3140B" w:rsidRPr="004275BA" w:rsidRDefault="004275BA">
      <w:pPr>
        <w:pStyle w:val="NormalWeb"/>
        <w:rPr>
          <w:sz w:val="18"/>
          <w:szCs w:val="18"/>
        </w:rPr>
      </w:pPr>
      <w:r w:rsidRPr="004275BA">
        <w:rPr>
          <w:sz w:val="18"/>
          <w:szCs w:val="18"/>
        </w:rPr>
        <w:t>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A3140B" w:rsidRPr="004275BA" w:rsidRDefault="004275BA">
      <w:pPr>
        <w:pStyle w:val="NormalWeb"/>
        <w:rPr>
          <w:sz w:val="18"/>
          <w:szCs w:val="18"/>
        </w:rPr>
      </w:pPr>
      <w:r w:rsidRPr="004275BA">
        <w:rPr>
          <w:sz w:val="18"/>
          <w:szCs w:val="18"/>
        </w:rPr>
        <w:t>On December 31, 2000, AOXY entered into an agreement with Eastern Star, ltd, and Baldwin Construction Co (the "Purchasers") whereby  the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A3140B" w:rsidRPr="004275BA" w:rsidRDefault="004275BA">
      <w:pPr>
        <w:pStyle w:val="NormalWeb"/>
        <w:rPr>
          <w:sz w:val="18"/>
          <w:szCs w:val="18"/>
        </w:rPr>
      </w:pPr>
      <w:r w:rsidRPr="004275BA">
        <w:rPr>
          <w:sz w:val="18"/>
          <w:szCs w:val="18"/>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A3140B" w:rsidRPr="004275BA" w:rsidRDefault="004275BA">
      <w:pPr>
        <w:pStyle w:val="NormalWeb"/>
        <w:rPr>
          <w:sz w:val="18"/>
          <w:szCs w:val="18"/>
        </w:rPr>
      </w:pPr>
      <w:r w:rsidRPr="004275BA">
        <w:rPr>
          <w:sz w:val="18"/>
          <w:szCs w:val="18"/>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5" style="width:0;height:3pt" o:hralign="center" o:hrstd="t" o:hrnoshade="t" o:hr="t" fillcolor="black" stroked="f"/>
        </w:pict>
      </w:r>
    </w:p>
    <w:p w:rsidR="004275BA" w:rsidRDefault="004275BA">
      <w:pPr>
        <w:pStyle w:val="NormalWeb"/>
        <w:rPr>
          <w:sz w:val="18"/>
          <w:szCs w:val="18"/>
        </w:rPr>
      </w:pPr>
    </w:p>
    <w:p w:rsidR="004275BA" w:rsidRDefault="004275BA">
      <w:pPr>
        <w:pStyle w:val="NormalWeb"/>
        <w:rPr>
          <w:sz w:val="18"/>
          <w:szCs w:val="18"/>
        </w:rPr>
      </w:pPr>
    </w:p>
    <w:p w:rsidR="00A3140B" w:rsidRPr="004275BA" w:rsidRDefault="004275BA">
      <w:pPr>
        <w:pStyle w:val="NormalWeb"/>
        <w:rPr>
          <w:sz w:val="18"/>
          <w:szCs w:val="18"/>
        </w:rPr>
      </w:pPr>
      <w:r w:rsidRPr="004275BA">
        <w:rPr>
          <w:sz w:val="18"/>
          <w:szCs w:val="18"/>
        </w:rPr>
        <w:lastRenderedPageBreak/>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r w:rsidRPr="004275BA">
        <w:rPr>
          <w:sz w:val="18"/>
          <w:szCs w:val="18"/>
        </w:rPr>
        <w:br/>
      </w:r>
      <w:r w:rsidRPr="004275BA">
        <w:rPr>
          <w:sz w:val="18"/>
          <w:szCs w:val="18"/>
        </w:rPr>
        <w:b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A3140B" w:rsidRPr="004275BA" w:rsidRDefault="004275BA">
      <w:pPr>
        <w:pStyle w:val="NormalWeb"/>
        <w:rPr>
          <w:sz w:val="18"/>
          <w:szCs w:val="18"/>
        </w:rPr>
      </w:pPr>
      <w:r w:rsidRPr="004275BA">
        <w:rPr>
          <w:sz w:val="18"/>
          <w:szCs w:val="18"/>
        </w:rPr>
        <w:t>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A3140B" w:rsidRPr="004275BA" w:rsidRDefault="004275BA">
      <w:pPr>
        <w:pStyle w:val="NormalWeb"/>
        <w:rPr>
          <w:sz w:val="18"/>
          <w:szCs w:val="18"/>
        </w:rPr>
      </w:pPr>
      <w:r w:rsidRPr="004275BA">
        <w:rPr>
          <w:sz w:val="18"/>
          <w:szCs w:val="18"/>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r w:rsidRPr="004275BA">
        <w:rPr>
          <w:sz w:val="18"/>
          <w:szCs w:val="18"/>
        </w:rPr>
        <w:br/>
      </w:r>
      <w:r w:rsidRPr="004275BA">
        <w:rPr>
          <w:sz w:val="18"/>
          <w:szCs w:val="18"/>
        </w:rPr>
        <w:br/>
        <w:t>On August 1, 2006, the Company was notified by Bernstien &amp; Pinchuk LLP that they had resigned as the Company's independent auditors. On September 12, 2006 the Company engaged Horwath Revisorenrne, AS Strandvejen 58, Hellerup, Denmark as its certified independent accounting firm/outside auditor.</w:t>
      </w:r>
    </w:p>
    <w:p w:rsidR="00A3140B" w:rsidRPr="004275BA" w:rsidRDefault="004275BA">
      <w:pPr>
        <w:pStyle w:val="NormalWeb"/>
        <w:rPr>
          <w:sz w:val="18"/>
          <w:szCs w:val="18"/>
        </w:rPr>
      </w:pPr>
      <w:r w:rsidRPr="004275BA">
        <w:rPr>
          <w:sz w:val="18"/>
          <w:szCs w:val="18"/>
        </w:rPr>
        <w:t>On September 1, 2006 the Company sold its minority position of 20% of Mobile Group Inc. to KBA Holding ApS for one dollar.</w:t>
      </w:r>
    </w:p>
    <w:p w:rsidR="00A3140B" w:rsidRPr="004275BA" w:rsidRDefault="004275BA">
      <w:pPr>
        <w:pStyle w:val="NormalWeb"/>
        <w:rPr>
          <w:sz w:val="18"/>
          <w:szCs w:val="18"/>
        </w:rPr>
      </w:pPr>
      <w:r w:rsidRPr="004275BA">
        <w:rPr>
          <w:sz w:val="18"/>
          <w:szCs w:val="18"/>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A3140B" w:rsidRPr="004275BA" w:rsidRDefault="004275BA">
      <w:pPr>
        <w:pStyle w:val="NormalWeb"/>
        <w:rPr>
          <w:sz w:val="18"/>
          <w:szCs w:val="18"/>
        </w:rPr>
      </w:pPr>
      <w:r w:rsidRPr="004275BA">
        <w:rPr>
          <w:sz w:val="18"/>
          <w:szCs w:val="18"/>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A3140B" w:rsidRPr="004275BA" w:rsidRDefault="004275BA">
      <w:pPr>
        <w:pStyle w:val="NormalWeb"/>
        <w:rPr>
          <w:sz w:val="18"/>
          <w:szCs w:val="18"/>
        </w:rPr>
      </w:pPr>
      <w:r w:rsidRPr="004275BA">
        <w:rPr>
          <w:sz w:val="18"/>
          <w:szCs w:val="18"/>
        </w:rPr>
        <w:t>On March 04, 2011, the Company was notified by Howarth Revisorerne vmba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6" style="width:0;height:3pt" o:hralign="center" o:hrstd="t" o:hrnoshade="t" o:hr="t" fillcolor="black" stroked="f"/>
        </w:pict>
      </w:r>
    </w:p>
    <w:p w:rsidR="00A3140B" w:rsidRPr="004275BA" w:rsidRDefault="004275BA">
      <w:pPr>
        <w:pStyle w:val="NormalWeb"/>
        <w:rPr>
          <w:sz w:val="18"/>
          <w:szCs w:val="18"/>
        </w:rPr>
      </w:pPr>
      <w:r w:rsidRPr="004275BA">
        <w:rPr>
          <w:sz w:val="18"/>
          <w:szCs w:val="18"/>
        </w:rPr>
        <w:lastRenderedPageBreak/>
        <w:t>On March 04, 2011 the Company has engaged Chr. Mortensen - Revisionsfirma, statsautoriseret revisionsinteressentskab, Adelgade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A3140B" w:rsidRPr="004275BA" w:rsidRDefault="004275BA">
      <w:pPr>
        <w:pStyle w:val="NormalWeb"/>
        <w:rPr>
          <w:sz w:val="18"/>
          <w:szCs w:val="18"/>
        </w:rPr>
      </w:pPr>
      <w:r w:rsidRPr="004275BA">
        <w:rPr>
          <w:b/>
          <w:bCs/>
          <w:sz w:val="18"/>
          <w:szCs w:val="18"/>
        </w:rPr>
        <w:t>ITEM 3. Quantitative and Qualitative Disclosures About Market Risk:</w:t>
      </w:r>
    </w:p>
    <w:p w:rsidR="00A3140B" w:rsidRPr="004275BA" w:rsidRDefault="004275BA">
      <w:pPr>
        <w:pStyle w:val="NormalWeb"/>
        <w:rPr>
          <w:sz w:val="18"/>
          <w:szCs w:val="18"/>
        </w:rPr>
      </w:pPr>
      <w:r w:rsidRPr="004275BA">
        <w:rPr>
          <w:sz w:val="18"/>
          <w:szCs w:val="18"/>
        </w:rPr>
        <w:t>Smaller reporting companies are not required to provide the information required by this Item.</w:t>
      </w:r>
    </w:p>
    <w:p w:rsidR="00A3140B" w:rsidRPr="004275BA" w:rsidRDefault="004275BA">
      <w:pPr>
        <w:pStyle w:val="NormalWeb"/>
        <w:spacing w:after="240" w:afterAutospacing="0"/>
        <w:rPr>
          <w:sz w:val="18"/>
          <w:szCs w:val="18"/>
        </w:rPr>
      </w:pPr>
      <w:r w:rsidRPr="004275BA">
        <w:rPr>
          <w:b/>
          <w:bCs/>
          <w:sz w:val="18"/>
          <w:szCs w:val="18"/>
        </w:rPr>
        <w:t>ITEM 4. CONTROLS AND PROCEDURES</w:t>
      </w:r>
    </w:p>
    <w:p w:rsidR="00A3140B" w:rsidRPr="004275BA" w:rsidRDefault="004275BA">
      <w:pPr>
        <w:pStyle w:val="NormalWeb"/>
        <w:rPr>
          <w:sz w:val="18"/>
          <w:szCs w:val="18"/>
        </w:rPr>
      </w:pPr>
      <w:r w:rsidRPr="004275BA">
        <w:rPr>
          <w:sz w:val="18"/>
          <w:szCs w:val="18"/>
        </w:rPr>
        <w:t>EVALUATION OF DISCLOSURE CONTROLS AND PROCEDURES</w:t>
      </w:r>
    </w:p>
    <w:p w:rsidR="00A3140B" w:rsidRPr="004275BA" w:rsidRDefault="004275BA">
      <w:pPr>
        <w:pStyle w:val="NormalWeb"/>
        <w:rPr>
          <w:sz w:val="18"/>
          <w:szCs w:val="18"/>
        </w:rPr>
      </w:pPr>
      <w:r w:rsidRPr="004275BA">
        <w:rPr>
          <w:sz w:val="18"/>
          <w:szCs w:val="18"/>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2013 that our disclosure controls and procedures were effective at ensuring that the material information required to be disclosed in the Exchange Act reports is recorded, processed, summarized and reported as required in applicable SEC rules and forms.</w:t>
      </w:r>
    </w:p>
    <w:p w:rsidR="00A3140B" w:rsidRPr="004275BA" w:rsidRDefault="004275BA">
      <w:pPr>
        <w:pStyle w:val="NormalWeb"/>
        <w:rPr>
          <w:sz w:val="18"/>
          <w:szCs w:val="18"/>
        </w:rPr>
      </w:pPr>
      <w:r w:rsidRPr="004275BA">
        <w:rPr>
          <w:sz w:val="18"/>
          <w:szCs w:val="18"/>
        </w:rPr>
        <w:t>During the quarter ended December 31, 2013,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A3140B" w:rsidRPr="004275BA" w:rsidRDefault="004275BA">
      <w:pPr>
        <w:rPr>
          <w:rFonts w:eastAsia="Times New Roman"/>
          <w:sz w:val="18"/>
          <w:szCs w:val="18"/>
        </w:rPr>
      </w:pPr>
      <w:r w:rsidRPr="004275BA">
        <w:rPr>
          <w:rFonts w:eastAsia="Times New Roman"/>
          <w:b/>
          <w:bCs/>
          <w:sz w:val="18"/>
          <w:szCs w:val="18"/>
        </w:rPr>
        <w:t xml:space="preserve">PART II </w:t>
      </w:r>
    </w:p>
    <w:p w:rsidR="00A3140B" w:rsidRPr="004275BA" w:rsidRDefault="004275BA">
      <w:pPr>
        <w:pStyle w:val="NormalWeb"/>
        <w:rPr>
          <w:sz w:val="18"/>
          <w:szCs w:val="18"/>
        </w:rPr>
      </w:pPr>
      <w:r w:rsidRPr="004275BA">
        <w:rPr>
          <w:b/>
          <w:bCs/>
          <w:sz w:val="18"/>
          <w:szCs w:val="18"/>
        </w:rPr>
        <w:t>ITEM 1: LEGAL PROCEEDINGS</w:t>
      </w:r>
    </w:p>
    <w:p w:rsidR="00A3140B" w:rsidRPr="004275BA" w:rsidRDefault="004275BA">
      <w:pPr>
        <w:pStyle w:val="NormalWeb"/>
        <w:rPr>
          <w:sz w:val="18"/>
          <w:szCs w:val="18"/>
        </w:rPr>
      </w:pPr>
      <w:r w:rsidRPr="004275BA">
        <w:rPr>
          <w:sz w:val="18"/>
          <w:szCs w:val="18"/>
        </w:rPr>
        <w:t>None</w:t>
      </w:r>
      <w:r w:rsidRPr="004275BA">
        <w:rPr>
          <w:sz w:val="18"/>
          <w:szCs w:val="18"/>
        </w:rPr>
        <w:br/>
      </w:r>
      <w:r w:rsidRPr="004275BA">
        <w:rPr>
          <w:sz w:val="18"/>
          <w:szCs w:val="18"/>
        </w:rPr>
        <w:br/>
      </w:r>
      <w:r w:rsidRPr="004275BA">
        <w:rPr>
          <w:b/>
          <w:bCs/>
          <w:sz w:val="18"/>
          <w:szCs w:val="18"/>
        </w:rPr>
        <w:t>ITEM 2. UNREGISTERED SALES OF EQUITY SECURITIES AND USE OF PROCEEDS</w:t>
      </w:r>
    </w:p>
    <w:p w:rsidR="00A3140B" w:rsidRPr="004275BA" w:rsidRDefault="004275BA">
      <w:pPr>
        <w:pStyle w:val="NormalWeb"/>
        <w:rPr>
          <w:sz w:val="18"/>
          <w:szCs w:val="18"/>
        </w:rPr>
      </w:pPr>
      <w:r w:rsidRPr="004275BA">
        <w:rPr>
          <w:sz w:val="18"/>
          <w:szCs w:val="18"/>
        </w:rPr>
        <w:t>None</w:t>
      </w:r>
      <w:r w:rsidRPr="004275BA">
        <w:rPr>
          <w:sz w:val="18"/>
          <w:szCs w:val="18"/>
        </w:rPr>
        <w:br/>
      </w:r>
      <w:r w:rsidRPr="004275BA">
        <w:rPr>
          <w:sz w:val="18"/>
          <w:szCs w:val="18"/>
        </w:rPr>
        <w:br/>
      </w:r>
      <w:r w:rsidRPr="004275BA">
        <w:rPr>
          <w:b/>
          <w:bCs/>
          <w:sz w:val="18"/>
          <w:szCs w:val="18"/>
        </w:rPr>
        <w:t>ITEM 3. DEFAULTS UPON SENIOR SECURITIES</w:t>
      </w:r>
    </w:p>
    <w:p w:rsidR="00A3140B" w:rsidRPr="004275BA" w:rsidRDefault="004275BA">
      <w:pPr>
        <w:pStyle w:val="NormalWeb"/>
        <w:rPr>
          <w:sz w:val="18"/>
          <w:szCs w:val="18"/>
        </w:rPr>
      </w:pPr>
      <w:r w:rsidRPr="004275BA">
        <w:rPr>
          <w:sz w:val="18"/>
          <w:szCs w:val="18"/>
        </w:rPr>
        <w:t>None</w:t>
      </w:r>
    </w:p>
    <w:p w:rsidR="00A3140B" w:rsidRPr="004275BA" w:rsidRDefault="004275BA">
      <w:pPr>
        <w:pStyle w:val="NormalWeb"/>
        <w:rPr>
          <w:sz w:val="18"/>
          <w:szCs w:val="18"/>
        </w:rPr>
      </w:pPr>
      <w:r w:rsidRPr="004275BA">
        <w:rPr>
          <w:b/>
          <w:bCs/>
          <w:sz w:val="18"/>
          <w:szCs w:val="18"/>
        </w:rPr>
        <w:t>ITEM 4. SUBMISSION OF MATTERS TO A VOTE OF SECURITY HOLDERS</w:t>
      </w:r>
    </w:p>
    <w:p w:rsidR="00A3140B" w:rsidRPr="004275BA" w:rsidRDefault="004275BA">
      <w:pPr>
        <w:pStyle w:val="NormalWeb"/>
        <w:rPr>
          <w:sz w:val="18"/>
          <w:szCs w:val="18"/>
        </w:rPr>
      </w:pPr>
      <w:r w:rsidRPr="004275BA">
        <w:rPr>
          <w:sz w:val="18"/>
          <w:szCs w:val="18"/>
        </w:rPr>
        <w:t>None</w:t>
      </w:r>
    </w:p>
    <w:p w:rsidR="00A3140B" w:rsidRPr="004275BA" w:rsidRDefault="004275BA">
      <w:pPr>
        <w:pStyle w:val="NormalWeb"/>
        <w:rPr>
          <w:sz w:val="18"/>
          <w:szCs w:val="18"/>
        </w:rPr>
      </w:pPr>
      <w:r w:rsidRPr="004275BA">
        <w:rPr>
          <w:b/>
          <w:bCs/>
          <w:sz w:val="18"/>
          <w:szCs w:val="18"/>
        </w:rPr>
        <w:t>ITEM 5. OTHER INFORMATION</w:t>
      </w:r>
    </w:p>
    <w:p w:rsidR="00A3140B" w:rsidRPr="004275BA" w:rsidRDefault="004275BA">
      <w:pPr>
        <w:pStyle w:val="NormalWeb"/>
        <w:rPr>
          <w:sz w:val="18"/>
          <w:szCs w:val="18"/>
        </w:rPr>
      </w:pPr>
      <w:r w:rsidRPr="004275BA">
        <w:rPr>
          <w:sz w:val="18"/>
          <w:szCs w:val="18"/>
        </w:rPr>
        <w:t>None</w:t>
      </w:r>
    </w:p>
    <w:p w:rsidR="00A3140B" w:rsidRPr="004275BA" w:rsidRDefault="004275BA">
      <w:pPr>
        <w:pStyle w:val="NormalWeb"/>
        <w:rPr>
          <w:sz w:val="18"/>
          <w:szCs w:val="18"/>
        </w:rPr>
      </w:pPr>
      <w:r w:rsidRPr="004275BA">
        <w:rPr>
          <w:b/>
          <w:bCs/>
          <w:sz w:val="18"/>
          <w:szCs w:val="18"/>
        </w:rPr>
        <w:t>ITEM 6: EXHIBITS AND REPORTS ON FORM 8-K</w:t>
      </w:r>
    </w:p>
    <w:p w:rsidR="00A3140B" w:rsidRPr="004275BA" w:rsidRDefault="004275BA">
      <w:pPr>
        <w:pStyle w:val="NormalWeb"/>
        <w:rPr>
          <w:sz w:val="18"/>
          <w:szCs w:val="18"/>
        </w:rPr>
      </w:pPr>
      <w:r w:rsidRPr="004275BA">
        <w:rPr>
          <w:sz w:val="18"/>
          <w:szCs w:val="18"/>
        </w:rPr>
        <w:t>During the 3 month period ending December 31, 2013, the Company filed no reports on Form 8-K.</w:t>
      </w:r>
    </w:p>
    <w:p w:rsidR="004275BA" w:rsidRPr="004275BA" w:rsidRDefault="00CA6465" w:rsidP="004275BA">
      <w:pPr>
        <w:rPr>
          <w:rFonts w:eastAsia="Times New Roman"/>
          <w:sz w:val="18"/>
          <w:szCs w:val="18"/>
        </w:rPr>
      </w:pPr>
      <w:hyperlink w:anchor="toc" w:history="1">
        <w:r w:rsidR="004275BA" w:rsidRPr="004275BA">
          <w:rPr>
            <w:rStyle w:val="Hyperlink"/>
            <w:rFonts w:eastAsia="Times New Roman"/>
            <w:b/>
            <w:bCs/>
            <w:sz w:val="18"/>
            <w:szCs w:val="18"/>
          </w:rPr>
          <w:t>Return to Table of Contents</w:t>
        </w:r>
      </w:hyperlink>
      <w:r w:rsidR="004275BA" w:rsidRPr="004275BA">
        <w:rPr>
          <w:rFonts w:eastAsia="Times New Roman"/>
          <w:sz w:val="18"/>
          <w:szCs w:val="18"/>
        </w:rPr>
        <w:t xml:space="preserve"> </w:t>
      </w:r>
    </w:p>
    <w:p w:rsidR="004275BA" w:rsidRDefault="00CA6465" w:rsidP="004275BA">
      <w:pPr>
        <w:rPr>
          <w:rFonts w:eastAsia="Times New Roman"/>
          <w:sz w:val="18"/>
          <w:szCs w:val="18"/>
        </w:rPr>
      </w:pPr>
      <w:r w:rsidRPr="00CA6465">
        <w:rPr>
          <w:rFonts w:eastAsia="Times New Roman"/>
          <w:sz w:val="18"/>
          <w:szCs w:val="18"/>
        </w:rPr>
        <w:pict>
          <v:rect id="_x0000_i1057" style="width:0;height:3pt" o:hralign="center" o:hrstd="t" o:hrnoshade="t" o:hr="t" fillcolor="black" stroked="f"/>
        </w:pict>
      </w:r>
    </w:p>
    <w:p w:rsidR="00A3140B" w:rsidRPr="004275BA" w:rsidRDefault="004275BA">
      <w:pPr>
        <w:pStyle w:val="NormalWeb"/>
        <w:rPr>
          <w:sz w:val="18"/>
          <w:szCs w:val="18"/>
        </w:rPr>
      </w:pPr>
      <w:r w:rsidRPr="004275BA">
        <w:rPr>
          <w:b/>
          <w:bCs/>
          <w:sz w:val="18"/>
          <w:szCs w:val="18"/>
        </w:rPr>
        <w:lastRenderedPageBreak/>
        <w:t>EXHIBIT 99.906CERT (A)</w:t>
      </w:r>
      <w:r w:rsidRPr="004275BA">
        <w:rPr>
          <w:b/>
          <w:bCs/>
          <w:sz w:val="18"/>
          <w:szCs w:val="18"/>
        </w:rPr>
        <w:br/>
        <w:t>CERTIFICATION OF CHIEF EXECUTIVE OFFICER</w:t>
      </w:r>
      <w:r w:rsidRPr="004275BA">
        <w:rPr>
          <w:b/>
          <w:bCs/>
          <w:sz w:val="18"/>
          <w:szCs w:val="18"/>
        </w:rPr>
        <w:br/>
        <w:t>PURSUANT TO 18 U.S.C. SECTION 1350, AS ADOPTED PURSUANT TO</w:t>
      </w:r>
      <w:r w:rsidRPr="004275BA">
        <w:rPr>
          <w:b/>
          <w:bCs/>
          <w:sz w:val="18"/>
          <w:szCs w:val="18"/>
        </w:rPr>
        <w:br/>
        <w:t>SECTION 906 OF THE SARBANES-OXLEY ACT OF 2002</w:t>
      </w:r>
    </w:p>
    <w:p w:rsidR="00A3140B" w:rsidRPr="004275BA" w:rsidRDefault="004275BA">
      <w:pPr>
        <w:pStyle w:val="NormalWeb"/>
        <w:rPr>
          <w:sz w:val="18"/>
          <w:szCs w:val="18"/>
        </w:rPr>
      </w:pPr>
      <w:r w:rsidRPr="004275BA">
        <w:rPr>
          <w:b/>
          <w:bCs/>
          <w:sz w:val="18"/>
          <w:szCs w:val="18"/>
        </w:rPr>
        <w:t>EXHIBIT 99.906CERT (B)</w:t>
      </w:r>
      <w:r w:rsidRPr="004275BA">
        <w:rPr>
          <w:b/>
          <w:bCs/>
          <w:sz w:val="18"/>
          <w:szCs w:val="18"/>
        </w:rPr>
        <w:br/>
        <w:t>CERTIFICATION OF TREASURER</w:t>
      </w:r>
      <w:r w:rsidRPr="004275BA">
        <w:rPr>
          <w:b/>
          <w:bCs/>
          <w:sz w:val="18"/>
          <w:szCs w:val="18"/>
        </w:rPr>
        <w:br/>
        <w:t>PURSUANT TO18 U.S.C. SECTION 1350, AS ADOPTED PURSUANT TO</w:t>
      </w:r>
      <w:r w:rsidRPr="004275BA">
        <w:rPr>
          <w:b/>
          <w:bCs/>
          <w:sz w:val="18"/>
          <w:szCs w:val="18"/>
        </w:rPr>
        <w:br/>
        <w:t>SECTION 906 OF THE SARBANES-OXLEY ACT OF 2002</w:t>
      </w:r>
    </w:p>
    <w:p w:rsidR="00A3140B" w:rsidRPr="004275BA" w:rsidRDefault="004275BA">
      <w:pPr>
        <w:pStyle w:val="NormalWeb"/>
        <w:rPr>
          <w:sz w:val="18"/>
          <w:szCs w:val="18"/>
        </w:rPr>
      </w:pPr>
      <w:r w:rsidRPr="004275BA">
        <w:rPr>
          <w:b/>
          <w:bCs/>
          <w:sz w:val="18"/>
          <w:szCs w:val="18"/>
        </w:rPr>
        <w:t>EXHIBIT 99.CERT (C)</w:t>
      </w:r>
      <w:r w:rsidRPr="004275BA">
        <w:rPr>
          <w:b/>
          <w:bCs/>
          <w:sz w:val="18"/>
          <w:szCs w:val="18"/>
        </w:rPr>
        <w:br/>
        <w:t>CERTIFICATION PURSUANT TO</w:t>
      </w:r>
      <w:r w:rsidRPr="004275BA">
        <w:rPr>
          <w:b/>
          <w:bCs/>
          <w:sz w:val="18"/>
          <w:szCs w:val="18"/>
        </w:rPr>
        <w:br/>
        <w:t>SECTION 302 OF THE SARBANES-OXLEY ACT OF 2002</w:t>
      </w:r>
    </w:p>
    <w:p w:rsidR="00A3140B" w:rsidRPr="004275BA" w:rsidRDefault="004275BA">
      <w:pPr>
        <w:pStyle w:val="NormalWeb"/>
        <w:rPr>
          <w:sz w:val="18"/>
          <w:szCs w:val="18"/>
        </w:rPr>
      </w:pPr>
      <w:r w:rsidRPr="004275BA">
        <w:rPr>
          <w:b/>
          <w:bCs/>
          <w:sz w:val="18"/>
          <w:szCs w:val="18"/>
        </w:rPr>
        <w:t>EXHIBIT 99.CERT (D)</w:t>
      </w:r>
      <w:r w:rsidRPr="004275BA">
        <w:rPr>
          <w:b/>
          <w:bCs/>
          <w:sz w:val="18"/>
          <w:szCs w:val="18"/>
        </w:rPr>
        <w:br/>
        <w:t>CERTIFICATION PURSUANT TO</w:t>
      </w:r>
      <w:r w:rsidRPr="004275BA">
        <w:rPr>
          <w:b/>
          <w:bCs/>
          <w:sz w:val="18"/>
          <w:szCs w:val="18"/>
        </w:rPr>
        <w:br/>
        <w:t>SECTION 302 OF THE SARBANES-OXLEY ACT OF 2002</w:t>
      </w:r>
    </w:p>
    <w:p w:rsidR="00A3140B" w:rsidRPr="004275BA" w:rsidRDefault="00A3140B">
      <w:pPr>
        <w:pStyle w:val="NormalWeb"/>
        <w:rPr>
          <w:sz w:val="18"/>
          <w:szCs w:val="18"/>
        </w:rPr>
      </w:pPr>
    </w:p>
    <w:p w:rsidR="00A3140B" w:rsidRPr="004275BA" w:rsidRDefault="004275BA">
      <w:pPr>
        <w:pStyle w:val="NormalWeb"/>
        <w:rPr>
          <w:sz w:val="18"/>
          <w:szCs w:val="18"/>
        </w:rPr>
      </w:pPr>
      <w:r w:rsidRPr="004275BA">
        <w:rPr>
          <w:sz w:val="18"/>
          <w:szCs w:val="18"/>
        </w:rPr>
        <w:t xml:space="preserve">SIGNATURE </w:t>
      </w:r>
    </w:p>
    <w:p w:rsidR="00A3140B" w:rsidRPr="004275BA" w:rsidRDefault="004275BA">
      <w:pPr>
        <w:pStyle w:val="NormalWeb"/>
        <w:rPr>
          <w:sz w:val="18"/>
          <w:szCs w:val="18"/>
        </w:rPr>
      </w:pPr>
      <w:r w:rsidRPr="004275BA">
        <w:rPr>
          <w:sz w:val="18"/>
          <w:szCs w:val="18"/>
        </w:rPr>
        <w:t xml:space="preserve">In accordance with the requirements of the Exchange Act, the Registrant has caused this report to be signed on its behalf by the undersigned, thereunto duly authorized. </w:t>
      </w:r>
    </w:p>
    <w:p w:rsidR="00A3140B" w:rsidRPr="004275BA" w:rsidRDefault="004275BA">
      <w:pPr>
        <w:pStyle w:val="NormalWeb"/>
        <w:rPr>
          <w:sz w:val="18"/>
          <w:szCs w:val="18"/>
        </w:rPr>
      </w:pPr>
      <w:r w:rsidRPr="004275BA">
        <w:rPr>
          <w:sz w:val="18"/>
          <w:szCs w:val="18"/>
        </w:rPr>
        <w:t>Date: February 6, 2014</w:t>
      </w:r>
    </w:p>
    <w:p w:rsidR="00A3140B" w:rsidRPr="004275BA" w:rsidRDefault="004275BA">
      <w:pPr>
        <w:pStyle w:val="NormalWeb"/>
        <w:rPr>
          <w:sz w:val="18"/>
          <w:szCs w:val="18"/>
        </w:rPr>
      </w:pPr>
      <w:r w:rsidRPr="004275BA">
        <w:rPr>
          <w:sz w:val="18"/>
          <w:szCs w:val="18"/>
        </w:rPr>
        <w:t> </w:t>
      </w:r>
    </w:p>
    <w:p w:rsidR="00A3140B" w:rsidRPr="004275BA" w:rsidRDefault="004275BA">
      <w:pPr>
        <w:pStyle w:val="NormalWeb"/>
        <w:rPr>
          <w:sz w:val="18"/>
          <w:szCs w:val="18"/>
        </w:rPr>
      </w:pPr>
      <w:r w:rsidRPr="004275BA">
        <w:rPr>
          <w:sz w:val="18"/>
          <w:szCs w:val="18"/>
        </w:rPr>
        <w:t>/s/ Robert E. Wolfe /s/</w:t>
      </w:r>
      <w:r w:rsidRPr="004275BA">
        <w:rPr>
          <w:sz w:val="18"/>
          <w:szCs w:val="18"/>
        </w:rPr>
        <w:br/>
        <w:t>------------------------------------------</w:t>
      </w:r>
      <w:r w:rsidRPr="004275BA">
        <w:rPr>
          <w:sz w:val="18"/>
          <w:szCs w:val="18"/>
        </w:rPr>
        <w:br/>
        <w:t>Robert E. Wolfe, Chairman of the Board and</w:t>
      </w:r>
      <w:r w:rsidRPr="004275BA">
        <w:rPr>
          <w:sz w:val="18"/>
          <w:szCs w:val="18"/>
        </w:rPr>
        <w:br/>
        <w:t>Chief Executive Officer and Principal</w:t>
      </w:r>
      <w:r w:rsidRPr="004275BA">
        <w:rPr>
          <w:sz w:val="18"/>
          <w:szCs w:val="18"/>
        </w:rPr>
        <w:br/>
        <w:t xml:space="preserve">Financial Officer </w:t>
      </w:r>
    </w:p>
    <w:p w:rsidR="00A3140B" w:rsidRPr="004275BA" w:rsidRDefault="004275BA">
      <w:pPr>
        <w:pStyle w:val="NormalWeb"/>
        <w:rPr>
          <w:sz w:val="18"/>
          <w:szCs w:val="18"/>
        </w:rPr>
      </w:pPr>
      <w:r w:rsidRPr="004275BA">
        <w:rPr>
          <w:sz w:val="18"/>
          <w:szCs w:val="18"/>
        </w:rPr>
        <w:t> </w:t>
      </w:r>
    </w:p>
    <w:sectPr w:rsidR="00A3140B" w:rsidRPr="004275BA" w:rsidSect="004275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noPunctuationKerning/>
  <w:characterSpacingControl w:val="doNotCompress"/>
  <w:compat/>
  <w:rsids>
    <w:rsidRoot w:val="002E153E"/>
    <w:rsid w:val="002E153E"/>
    <w:rsid w:val="004275BA"/>
    <w:rsid w:val="007B44A7"/>
    <w:rsid w:val="00A3140B"/>
    <w:rsid w:val="00A34F07"/>
    <w:rsid w:val="00CA6465"/>
    <w:rsid w:val="00CC5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0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40B"/>
    <w:rPr>
      <w:color w:val="0000FF"/>
      <w:u w:val="single"/>
    </w:rPr>
  </w:style>
  <w:style w:type="character" w:styleId="FollowedHyperlink">
    <w:name w:val="FollowedHyperlink"/>
    <w:basedOn w:val="DefaultParagraphFont"/>
    <w:uiPriority w:val="99"/>
    <w:semiHidden/>
    <w:unhideWhenUsed/>
    <w:rsid w:val="00A3140B"/>
    <w:rPr>
      <w:color w:val="800080"/>
      <w:u w:val="single"/>
    </w:rPr>
  </w:style>
  <w:style w:type="paragraph" w:styleId="NormalWeb">
    <w:name w:val="Normal (Web)"/>
    <w:basedOn w:val="Normal"/>
    <w:uiPriority w:val="99"/>
    <w:unhideWhenUsed/>
    <w:rsid w:val="00A3140B"/>
    <w:pPr>
      <w:spacing w:before="100" w:beforeAutospacing="1" w:after="100" w:afterAutospacing="1"/>
    </w:pPr>
  </w:style>
  <w:style w:type="character" w:styleId="Strong">
    <w:name w:val="Strong"/>
    <w:basedOn w:val="DefaultParagraphFont"/>
    <w:uiPriority w:val="22"/>
    <w:qFormat/>
    <w:rsid w:val="00A3140B"/>
    <w:rPr>
      <w:b/>
      <w:bCs/>
    </w:rPr>
  </w:style>
</w:styles>
</file>

<file path=word/webSettings.xml><?xml version="1.0" encoding="utf-8"?>
<w:webSettings xmlns:r="http://schemas.openxmlformats.org/officeDocument/2006/relationships" xmlns:w="http://schemas.openxmlformats.org/wordprocessingml/2006/main">
  <w:divs>
    <w:div w:id="131601912">
      <w:marLeft w:val="0"/>
      <w:marRight w:val="0"/>
      <w:marTop w:val="0"/>
      <w:marBottom w:val="0"/>
      <w:divBdr>
        <w:top w:val="none" w:sz="0" w:space="0" w:color="auto"/>
        <w:left w:val="none" w:sz="0" w:space="0" w:color="auto"/>
        <w:bottom w:val="none" w:sz="0" w:space="0" w:color="auto"/>
        <w:right w:val="none" w:sz="0" w:space="0" w:color="auto"/>
      </w:divBdr>
    </w:div>
    <w:div w:id="315887654">
      <w:marLeft w:val="0"/>
      <w:marRight w:val="0"/>
      <w:marTop w:val="0"/>
      <w:marBottom w:val="0"/>
      <w:divBdr>
        <w:top w:val="none" w:sz="0" w:space="0" w:color="auto"/>
        <w:left w:val="none" w:sz="0" w:space="0" w:color="auto"/>
        <w:bottom w:val="none" w:sz="0" w:space="0" w:color="auto"/>
        <w:right w:val="none" w:sz="0" w:space="0" w:color="auto"/>
      </w:divBdr>
    </w:div>
    <w:div w:id="1163159352">
      <w:marLeft w:val="0"/>
      <w:marRight w:val="0"/>
      <w:marTop w:val="0"/>
      <w:marBottom w:val="0"/>
      <w:divBdr>
        <w:top w:val="none" w:sz="0" w:space="0" w:color="auto"/>
        <w:left w:val="none" w:sz="0" w:space="0" w:color="auto"/>
        <w:bottom w:val="none" w:sz="0" w:space="0" w:color="auto"/>
        <w:right w:val="none" w:sz="0" w:space="0" w:color="auto"/>
      </w:divBdr>
    </w:div>
    <w:div w:id="152482867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10024</Words>
  <Characters>54532</Characters>
  <Application>Microsoft Office Word</Application>
  <DocSecurity>0</DocSecurity>
  <Lines>1555</Lines>
  <Paragraphs>786</Paragraphs>
  <ScaleCrop>false</ScaleCrop>
  <Company>Crossfield, Inc.</Company>
  <LinksUpToDate>false</LinksUpToDate>
  <CharactersWithSpaces>64119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2013 10Q</dc:title>
  <dc:subject/>
  <dc:creator>Robert Wolfe</dc:creator>
  <cp:keywords/>
  <dc:description/>
  <cp:lastModifiedBy>Robert Wolfe</cp:lastModifiedBy>
  <cp:revision>6</cp:revision>
  <dcterms:created xsi:type="dcterms:W3CDTF">2014-01-30T15:49:00Z</dcterms:created>
  <dcterms:modified xsi:type="dcterms:W3CDTF">2014-02-01T16:39:00Z</dcterms:modified>
</cp:coreProperties>
</file>